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825500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793115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140"/>
        <w:spacing w:after="0"/>
        <w:rPr>
          <w:sz w:val="20"/>
          <w:szCs w:val="20"/>
          <w:color w:val="auto"/>
        </w:rPr>
      </w:pPr>
      <w:r>
        <w:rPr>
          <w:rFonts w:ascii="Arial" w:cs="Arial" w:eastAsia="Arial" w:hAnsi="Arial"/>
          <w:sz w:val="21"/>
          <w:szCs w:val="21"/>
          <w:color w:val="auto"/>
        </w:rPr>
        <w:t>__________________________</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79" w:lineRule="exact"/>
        <w:rPr>
          <w:sz w:val="24"/>
          <w:szCs w:val="24"/>
          <w:color w:val="auto"/>
        </w:rPr>
      </w:pPr>
    </w:p>
    <w:p>
      <w:pPr>
        <w:ind w:left="680" w:right="500" w:hanging="660"/>
        <w:spacing w:after="0" w:line="245"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6" w:lineRule="exact"/>
        <w:rPr>
          <w:sz w:val="24"/>
          <w:szCs w:val="24"/>
          <w:color w:val="auto"/>
        </w:rPr>
      </w:pPr>
    </w:p>
    <w:p>
      <w:pPr>
        <w:ind w:left="3540"/>
        <w:spacing w:after="0"/>
        <w:rPr>
          <w:sz w:val="20"/>
          <w:szCs w:val="20"/>
          <w:color w:val="auto"/>
        </w:rPr>
      </w:pPr>
      <w:r>
        <w:rPr>
          <w:rFonts w:ascii="Arial" w:cs="Arial" w:eastAsia="Arial" w:hAnsi="Arial"/>
          <w:sz w:val="21"/>
          <w:szCs w:val="21"/>
          <w:b w:val="1"/>
          <w:bCs w:val="1"/>
          <w:color w:val="auto"/>
        </w:rPr>
        <w:t xml:space="preserve">For the quarterly period ended </w:t>
      </w:r>
      <w:r>
        <w:rPr>
          <w:rFonts w:ascii="Arial" w:cs="Arial" w:eastAsia="Arial" w:hAnsi="Arial"/>
          <w:sz w:val="21"/>
          <w:szCs w:val="21"/>
          <w:b w:val="1"/>
          <w:bCs w:val="1"/>
          <w:u w:val="single" w:color="auto"/>
          <w:color w:val="auto"/>
        </w:rPr>
        <w:t>January 31, 2026</w:t>
      </w:r>
    </w:p>
    <w:p>
      <w:pPr>
        <w:spacing w:after="0" w:line="23" w:lineRule="exact"/>
        <w:rPr>
          <w:sz w:val="24"/>
          <w:szCs w:val="24"/>
          <w:color w:val="auto"/>
        </w:rPr>
      </w:pPr>
    </w:p>
    <w:p>
      <w:pPr>
        <w:ind w:left="5540"/>
        <w:spacing w:after="0"/>
        <w:rPr>
          <w:sz w:val="20"/>
          <w:szCs w:val="20"/>
          <w:color w:val="auto"/>
        </w:rPr>
      </w:pPr>
      <w:r>
        <w:rPr>
          <w:rFonts w:ascii="Arial" w:cs="Arial" w:eastAsia="Arial" w:hAnsi="Arial"/>
          <w:sz w:val="21"/>
          <w:szCs w:val="21"/>
          <w:color w:val="auto"/>
        </w:rPr>
        <w:t>or</w:t>
      </w:r>
    </w:p>
    <w:p>
      <w:pPr>
        <w:spacing w:after="0" w:line="164" w:lineRule="exact"/>
        <w:rPr>
          <w:sz w:val="24"/>
          <w:szCs w:val="24"/>
          <w:color w:val="auto"/>
        </w:rPr>
      </w:pPr>
    </w:p>
    <w:p>
      <w:pPr>
        <w:ind w:left="680" w:right="500" w:hanging="660"/>
        <w:spacing w:after="0" w:line="245"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-5080</wp:posOffset>
            </wp:positionV>
            <wp:extent cx="890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1-8929</w:t>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ABM INDUSTRIES INCORPORATED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121920</wp:posOffset>
            </wp:positionV>
            <wp:extent cx="1604645"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4645" cy="622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220" w:type="dxa"/>
            <w:vAlign w:val="bottom"/>
          </w:tcPr>
          <w:p>
            <w:pPr>
              <w:jc w:val="center"/>
              <w:ind w:right="61"/>
              <w:spacing w:after="0"/>
              <w:rPr>
                <w:sz w:val="20"/>
                <w:szCs w:val="20"/>
                <w:color w:val="auto"/>
              </w:rPr>
            </w:pPr>
            <w:r>
              <w:rPr>
                <w:rFonts w:ascii="Arial" w:cs="Arial" w:eastAsia="Arial" w:hAnsi="Arial"/>
                <w:sz w:val="15"/>
                <w:szCs w:val="15"/>
                <w:b w:val="1"/>
                <w:bCs w:val="1"/>
                <w:color w:val="auto"/>
              </w:rPr>
              <w:t>Delaware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jc w:val="center"/>
              <w:ind w:left="923"/>
              <w:spacing w:after="0"/>
              <w:rPr>
                <w:sz w:val="20"/>
                <w:szCs w:val="20"/>
                <w:color w:val="auto"/>
              </w:rPr>
            </w:pPr>
            <w:r>
              <w:rPr>
                <w:rFonts w:ascii="Arial" w:cs="Arial" w:eastAsia="Arial" w:hAnsi="Arial"/>
                <w:sz w:val="15"/>
                <w:szCs w:val="15"/>
                <w:b w:val="1"/>
                <w:bCs w:val="1"/>
                <w:color w:val="auto"/>
              </w:rPr>
              <w:t>94-1369354</w:t>
            </w:r>
          </w:p>
        </w:tc>
      </w:tr>
      <w:tr>
        <w:trPr>
          <w:trHeight w:val="155"/>
        </w:trPr>
        <w:tc>
          <w:tcPr>
            <w:tcW w:w="3220" w:type="dxa"/>
            <w:vAlign w:val="bottom"/>
          </w:tcPr>
          <w:p>
            <w:pPr>
              <w:jc w:val="center"/>
              <w:ind w:right="61"/>
              <w:spacing w:after="0" w:line="155" w:lineRule="exact"/>
              <w:rPr>
                <w:sz w:val="20"/>
                <w:szCs w:val="20"/>
                <w:color w:val="auto"/>
              </w:rPr>
            </w:pPr>
            <w:r>
              <w:rPr>
                <w:rFonts w:ascii="Arial" w:cs="Arial" w:eastAsia="Arial" w:hAnsi="Arial"/>
                <w:sz w:val="15"/>
                <w:szCs w:val="15"/>
                <w:color w:val="auto"/>
              </w:rPr>
              <w:t>(State or other jurisdiction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00" w:type="dxa"/>
            <w:vAlign w:val="bottom"/>
          </w:tcPr>
          <w:p>
            <w:pPr>
              <w:jc w:val="center"/>
              <w:ind w:left="923"/>
              <w:spacing w:after="0" w:line="155" w:lineRule="exact"/>
              <w:rPr>
                <w:sz w:val="20"/>
                <w:szCs w:val="20"/>
                <w:color w:val="auto"/>
              </w:rPr>
            </w:pPr>
            <w:r>
              <w:rPr>
                <w:rFonts w:ascii="Arial" w:cs="Arial" w:eastAsia="Arial" w:hAnsi="Arial"/>
                <w:sz w:val="15"/>
                <w:szCs w:val="15"/>
                <w:color w:val="auto"/>
              </w:rPr>
              <w:t>(I.R.S. Employer</w:t>
            </w:r>
          </w:p>
        </w:tc>
      </w:tr>
      <w:tr>
        <w:trPr>
          <w:trHeight w:val="204"/>
        </w:trPr>
        <w:tc>
          <w:tcPr>
            <w:tcW w:w="3220" w:type="dxa"/>
            <w:vAlign w:val="bottom"/>
          </w:tcPr>
          <w:p>
            <w:pPr>
              <w:jc w:val="center"/>
              <w:ind w:right="61"/>
              <w:spacing w:after="0"/>
              <w:rPr>
                <w:sz w:val="20"/>
                <w:szCs w:val="20"/>
                <w:color w:val="auto"/>
              </w:rPr>
            </w:pPr>
            <w:r>
              <w:rPr>
                <w:rFonts w:ascii="Arial" w:cs="Arial" w:eastAsia="Arial" w:hAnsi="Arial"/>
                <w:sz w:val="15"/>
                <w:szCs w:val="15"/>
                <w:color w:val="auto"/>
              </w:rPr>
              <w:t>incorporation or organization)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left="943"/>
              <w:spacing w:after="0"/>
              <w:rPr>
                <w:sz w:val="20"/>
                <w:szCs w:val="20"/>
                <w:color w:val="auto"/>
              </w:rPr>
            </w:pPr>
            <w:r>
              <w:rPr>
                <w:rFonts w:ascii="Arial" w:cs="Arial" w:eastAsia="Arial" w:hAnsi="Arial"/>
                <w:sz w:val="15"/>
                <w:szCs w:val="15"/>
                <w:color w:val="auto"/>
              </w:rPr>
              <w:t>Identification No.)</w:t>
            </w:r>
          </w:p>
        </w:tc>
      </w:tr>
      <w:tr>
        <w:trPr>
          <w:trHeight w:val="326"/>
        </w:trPr>
        <w:tc>
          <w:tcPr>
            <w:tcW w:w="3220" w:type="dxa"/>
            <w:vAlign w:val="bottom"/>
          </w:tcPr>
          <w:p>
            <w:pPr>
              <w:spacing w:after="0"/>
              <w:rPr>
                <w:sz w:val="24"/>
                <w:szCs w:val="24"/>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24"/>
                <w:szCs w:val="24"/>
                <w:color w:val="auto"/>
              </w:rPr>
            </w:pPr>
          </w:p>
        </w:tc>
      </w:tr>
      <w:tr>
        <w:trPr>
          <w:trHeight w:val="288"/>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b w:val="1"/>
                <w:bCs w:val="1"/>
                <w:color w:val="auto"/>
                <w:w w:val="99"/>
              </w:rPr>
              <w:t>One Liberty Plaza, 7</w:t>
            </w:r>
            <w:r>
              <w:rPr>
                <w:rFonts w:ascii="Arial" w:cs="Arial" w:eastAsia="Arial" w:hAnsi="Arial"/>
                <w:sz w:val="22"/>
                <w:szCs w:val="22"/>
                <w:b w:val="1"/>
                <w:bCs w:val="1"/>
                <w:color w:val="auto"/>
                <w:w w:val="99"/>
                <w:vertAlign w:val="superscript"/>
              </w:rPr>
              <w:t>th</w:t>
            </w:r>
            <w:r>
              <w:rPr>
                <w:rFonts w:ascii="Arial" w:cs="Arial" w:eastAsia="Arial" w:hAnsi="Arial"/>
                <w:sz w:val="17"/>
                <w:szCs w:val="17"/>
                <w:b w:val="1"/>
                <w:bCs w:val="1"/>
                <w:color w:val="auto"/>
                <w:w w:val="99"/>
              </w:rPr>
              <w:t xml:space="preserve"> Floor</w:t>
            </w:r>
          </w:p>
        </w:tc>
        <w:tc>
          <w:tcPr>
            <w:tcW w:w="390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5"/>
          </w:tcPr>
          <w:p>
            <w:pPr>
              <w:jc w:val="center"/>
              <w:ind w:left="238"/>
              <w:spacing w:after="0"/>
              <w:rPr>
                <w:sz w:val="20"/>
                <w:szCs w:val="20"/>
                <w:color w:val="auto"/>
              </w:rPr>
            </w:pPr>
            <w:r>
              <w:rPr>
                <w:rFonts w:ascii="Arial" w:cs="Arial" w:eastAsia="Arial" w:hAnsi="Arial"/>
                <w:sz w:val="17"/>
                <w:szCs w:val="17"/>
                <w:b w:val="1"/>
                <w:bCs w:val="1"/>
                <w:color w:val="auto"/>
                <w:w w:val="99"/>
              </w:rPr>
              <w:t>New York, New York 10006</w:t>
            </w:r>
          </w:p>
        </w:tc>
        <w:tc>
          <w:tcPr>
            <w:tcW w:w="3900" w:type="dxa"/>
            <w:vAlign w:val="bottom"/>
          </w:tcPr>
          <w:p>
            <w:pPr>
              <w:spacing w:after="0"/>
              <w:rPr>
                <w:sz w:val="20"/>
                <w:szCs w:val="20"/>
                <w:color w:val="auto"/>
              </w:rPr>
            </w:pPr>
          </w:p>
        </w:tc>
      </w:tr>
      <w:tr>
        <w:trPr>
          <w:trHeight w:val="299"/>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left="258"/>
              <w:spacing w:after="0"/>
              <w:rPr>
                <w:sz w:val="20"/>
                <w:szCs w:val="20"/>
                <w:color w:val="auto"/>
              </w:rPr>
            </w:pPr>
            <w:r>
              <w:rPr>
                <w:rFonts w:ascii="Arial" w:cs="Arial" w:eastAsia="Arial" w:hAnsi="Arial"/>
                <w:sz w:val="17"/>
                <w:szCs w:val="17"/>
                <w:color w:val="auto"/>
              </w:rPr>
              <w:t>(Address of principal executive offices)</w:t>
            </w:r>
          </w:p>
        </w:tc>
        <w:tc>
          <w:tcPr>
            <w:tcW w:w="3900" w:type="dxa"/>
            <w:vAlign w:val="bottom"/>
          </w:tcPr>
          <w:p>
            <w:pPr>
              <w:spacing w:after="0"/>
              <w:rPr>
                <w:sz w:val="24"/>
                <w:szCs w:val="24"/>
                <w:color w:val="auto"/>
              </w:rPr>
            </w:pPr>
          </w:p>
        </w:tc>
      </w:tr>
      <w:tr>
        <w:trPr>
          <w:trHeight w:val="397"/>
        </w:trPr>
        <w:tc>
          <w:tcPr>
            <w:tcW w:w="3220" w:type="dxa"/>
            <w:vAlign w:val="bottom"/>
          </w:tcPr>
          <w:p>
            <w:pPr>
              <w:spacing w:after="0"/>
              <w:rPr>
                <w:sz w:val="24"/>
                <w:szCs w:val="24"/>
                <w:color w:val="auto"/>
              </w:rPr>
            </w:pPr>
          </w:p>
        </w:tc>
        <w:tc>
          <w:tcPr>
            <w:tcW w:w="3000" w:type="dxa"/>
            <w:vAlign w:val="bottom"/>
            <w:gridSpan w:val="4"/>
          </w:tcPr>
          <w:p>
            <w:pPr>
              <w:jc w:val="center"/>
              <w:ind w:left="1734"/>
              <w:spacing w:after="0"/>
              <w:rPr>
                <w:sz w:val="20"/>
                <w:szCs w:val="20"/>
                <w:color w:val="auto"/>
              </w:rPr>
            </w:pPr>
            <w:r>
              <w:rPr>
                <w:rFonts w:ascii="Arial" w:cs="Arial" w:eastAsia="Arial" w:hAnsi="Arial"/>
                <w:sz w:val="17"/>
                <w:szCs w:val="17"/>
                <w:b w:val="1"/>
                <w:bCs w:val="1"/>
                <w:color w:val="auto"/>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r>
      <w:tr>
        <w:trPr>
          <w:trHeight w:val="331"/>
        </w:trPr>
        <w:tc>
          <w:tcPr>
            <w:tcW w:w="3220" w:type="dxa"/>
            <w:vAlign w:val="bottom"/>
          </w:tcPr>
          <w:p>
            <w:pPr>
              <w:spacing w:after="0"/>
              <w:rPr>
                <w:sz w:val="24"/>
                <w:szCs w:val="24"/>
                <w:color w:val="auto"/>
              </w:rPr>
            </w:pPr>
          </w:p>
        </w:tc>
        <w:tc>
          <w:tcPr>
            <w:tcW w:w="7880" w:type="dxa"/>
            <w:vAlign w:val="bottom"/>
            <w:gridSpan w:val="8"/>
          </w:tcPr>
          <w:p>
            <w:pPr>
              <w:jc w:val="center"/>
              <w:ind w:right="2983"/>
              <w:spacing w:after="0"/>
              <w:rPr>
                <w:sz w:val="20"/>
                <w:szCs w:val="20"/>
                <w:color w:val="auto"/>
              </w:rPr>
            </w:pPr>
            <w:r>
              <w:rPr>
                <w:rFonts w:ascii="Arial" w:cs="Arial" w:eastAsia="Arial" w:hAnsi="Arial"/>
                <w:sz w:val="17"/>
                <w:szCs w:val="17"/>
                <w:color w:val="auto"/>
              </w:rPr>
              <w:t>(Registrant’s telephone number, including area code)</w:t>
            </w:r>
          </w:p>
        </w:tc>
      </w:tr>
      <w:tr>
        <w:trPr>
          <w:trHeight w:val="290"/>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rPr>
              <w:t>None</w:t>
            </w:r>
          </w:p>
        </w:tc>
        <w:tc>
          <w:tcPr>
            <w:tcW w:w="3900" w:type="dxa"/>
            <w:vAlign w:val="bottom"/>
          </w:tcPr>
          <w:p>
            <w:pPr>
              <w:spacing w:after="0"/>
              <w:rPr>
                <w:sz w:val="24"/>
                <w:szCs w:val="24"/>
                <w:color w:val="auto"/>
              </w:rPr>
            </w:pPr>
          </w:p>
        </w:tc>
      </w:tr>
      <w:tr>
        <w:trPr>
          <w:trHeight w:val="206"/>
        </w:trPr>
        <w:tc>
          <w:tcPr>
            <w:tcW w:w="11100" w:type="dxa"/>
            <w:vAlign w:val="bottom"/>
            <w:gridSpan w:val="9"/>
          </w:tcPr>
          <w:p>
            <w:pPr>
              <w:jc w:val="center"/>
              <w:ind w:left="61"/>
              <w:spacing w:after="0"/>
              <w:rPr>
                <w:sz w:val="20"/>
                <w:szCs w:val="20"/>
                <w:color w:val="auto"/>
              </w:rPr>
            </w:pPr>
            <w:r>
              <w:rPr>
                <w:rFonts w:ascii="Arial" w:cs="Arial" w:eastAsia="Arial" w:hAnsi="Arial"/>
                <w:sz w:val="17"/>
                <w:szCs w:val="17"/>
                <w:color w:val="auto"/>
              </w:rPr>
              <w:t>(Former name, former address and former fiscal year, if changed since last report)</w:t>
            </w:r>
          </w:p>
        </w:tc>
      </w:tr>
      <w:tr>
        <w:trPr>
          <w:trHeight w:val="226"/>
        </w:trPr>
        <w:tc>
          <w:tcPr>
            <w:tcW w:w="3220" w:type="dxa"/>
            <w:vAlign w:val="bottom"/>
          </w:tcPr>
          <w:p>
            <w:pPr>
              <w:spacing w:after="0"/>
              <w:rPr>
                <w:sz w:val="19"/>
                <w:szCs w:val="19"/>
                <w:color w:val="auto"/>
              </w:rPr>
            </w:pPr>
          </w:p>
        </w:tc>
        <w:tc>
          <w:tcPr>
            <w:tcW w:w="3980" w:type="dxa"/>
            <w:vAlign w:val="bottom"/>
            <w:gridSpan w:val="7"/>
          </w:tcPr>
          <w:p>
            <w:pPr>
              <w:jc w:val="center"/>
              <w:ind w:left="734"/>
              <w:spacing w:after="0"/>
              <w:rPr>
                <w:sz w:val="20"/>
                <w:szCs w:val="20"/>
                <w:color w:val="auto"/>
              </w:rPr>
            </w:pPr>
            <w:r>
              <w:rPr>
                <w:rFonts w:ascii="Arial" w:cs="Arial" w:eastAsia="Arial" w:hAnsi="Arial"/>
                <w:sz w:val="17"/>
                <w:szCs w:val="17"/>
                <w:color w:val="auto"/>
              </w:rPr>
              <w:t>__________________________</w:t>
            </w:r>
          </w:p>
        </w:tc>
        <w:tc>
          <w:tcPr>
            <w:tcW w:w="3900" w:type="dxa"/>
            <w:vAlign w:val="bottom"/>
          </w:tcPr>
          <w:p>
            <w:pPr>
              <w:spacing w:after="0"/>
              <w:rPr>
                <w:sz w:val="19"/>
                <w:szCs w:val="19"/>
                <w:color w:val="auto"/>
              </w:rPr>
            </w:pPr>
          </w:p>
        </w:tc>
      </w:tr>
      <w:tr>
        <w:trPr>
          <w:trHeight w:val="309"/>
        </w:trPr>
        <w:tc>
          <w:tcPr>
            <w:tcW w:w="3220" w:type="dxa"/>
            <w:vAlign w:val="bottom"/>
          </w:tcPr>
          <w:p>
            <w:pPr>
              <w:spacing w:after="0"/>
              <w:rPr>
                <w:sz w:val="24"/>
                <w:szCs w:val="24"/>
                <w:color w:val="auto"/>
              </w:rPr>
            </w:pPr>
          </w:p>
        </w:tc>
        <w:tc>
          <w:tcPr>
            <w:tcW w:w="7880" w:type="dxa"/>
            <w:vAlign w:val="bottom"/>
            <w:gridSpan w:val="8"/>
          </w:tcPr>
          <w:p>
            <w:pPr>
              <w:jc w:val="center"/>
              <w:ind w:right="3003"/>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384"/>
        </w:trPr>
        <w:tc>
          <w:tcPr>
            <w:tcW w:w="3220" w:type="dxa"/>
            <w:vAlign w:val="bottom"/>
          </w:tcPr>
          <w:p>
            <w:pPr>
              <w:jc w:val="center"/>
              <w:ind w:left="341"/>
              <w:spacing w:after="0"/>
              <w:rPr>
                <w:sz w:val="20"/>
                <w:szCs w:val="20"/>
                <w:color w:val="auto"/>
              </w:rPr>
            </w:pPr>
            <w:r>
              <w:rPr>
                <w:rFonts w:ascii="Arial" w:cs="Arial" w:eastAsia="Arial" w:hAnsi="Arial"/>
                <w:sz w:val="15"/>
                <w:szCs w:val="15"/>
                <w:color w:val="auto"/>
              </w:rPr>
              <w:t>Title of each class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5"/>
          </w:tcPr>
          <w:p>
            <w:pPr>
              <w:jc w:val="center"/>
              <w:ind w:right="720"/>
              <w:spacing w:after="0"/>
              <w:rPr>
                <w:sz w:val="20"/>
                <w:szCs w:val="20"/>
                <w:color w:val="auto"/>
              </w:rPr>
            </w:pPr>
            <w:r>
              <w:rPr>
                <w:rFonts w:ascii="Arial" w:cs="Arial" w:eastAsia="Arial" w:hAnsi="Arial"/>
                <w:sz w:val="15"/>
                <w:szCs w:val="15"/>
                <w:color w:val="auto"/>
              </w:rPr>
              <w:t>Trading Symbol</w:t>
            </w:r>
          </w:p>
        </w:tc>
        <w:tc>
          <w:tcPr>
            <w:tcW w:w="3900" w:type="dxa"/>
            <w:vAlign w:val="bottom"/>
          </w:tcPr>
          <w:p>
            <w:pPr>
              <w:jc w:val="center"/>
              <w:ind w:right="543"/>
              <w:spacing w:after="0"/>
              <w:rPr>
                <w:sz w:val="20"/>
                <w:szCs w:val="20"/>
                <w:color w:val="auto"/>
              </w:rPr>
            </w:pPr>
            <w:r>
              <w:rPr>
                <w:rFonts w:ascii="Arial" w:cs="Arial" w:eastAsia="Arial" w:hAnsi="Arial"/>
                <w:sz w:val="15"/>
                <w:szCs w:val="15"/>
                <w:color w:val="auto"/>
              </w:rPr>
              <w:t>Name of each exchange on which registered</w:t>
            </w:r>
          </w:p>
        </w:tc>
      </w:tr>
      <w:tr>
        <w:trPr>
          <w:trHeight w:val="208"/>
        </w:trPr>
        <w:tc>
          <w:tcPr>
            <w:tcW w:w="3220" w:type="dxa"/>
            <w:vAlign w:val="bottom"/>
            <w:tcBorders>
              <w:top w:val="single" w:sz="8" w:color="auto"/>
            </w:tcBorders>
          </w:tcPr>
          <w:p>
            <w:pPr>
              <w:jc w:val="center"/>
              <w:ind w:left="341"/>
              <w:spacing w:after="0"/>
              <w:rPr>
                <w:sz w:val="20"/>
                <w:szCs w:val="20"/>
                <w:color w:val="auto"/>
              </w:rPr>
            </w:pPr>
            <w:r>
              <w:rPr>
                <w:rFonts w:ascii="Arial" w:cs="Arial" w:eastAsia="Arial" w:hAnsi="Arial"/>
                <w:sz w:val="15"/>
                <w:szCs w:val="15"/>
                <w:b w:val="1"/>
                <w:bCs w:val="1"/>
                <w:color w:val="auto"/>
              </w:rPr>
              <w:t>Common Stock, $0.01 par value</w:t>
            </w: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ABM</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43"/>
              <w:spacing w:after="0"/>
              <w:rPr>
                <w:sz w:val="20"/>
                <w:szCs w:val="20"/>
                <w:color w:val="auto"/>
              </w:rPr>
            </w:pPr>
            <w:r>
              <w:rPr>
                <w:rFonts w:ascii="Arial" w:cs="Arial" w:eastAsia="Arial" w:hAnsi="Arial"/>
                <w:sz w:val="15"/>
                <w:szCs w:val="15"/>
                <w:b w:val="1"/>
                <w:bCs w:val="1"/>
                <w:color w:val="auto"/>
              </w:rPr>
              <w:t>New York Stock Exchange</w:t>
            </w:r>
          </w:p>
        </w:tc>
      </w:tr>
    </w:tbl>
    <w:p>
      <w:pPr>
        <w:spacing w:after="0" w:line="22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528955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0"/>
          <w:szCs w:val="20"/>
          <w:color w:val="auto"/>
        </w:rPr>
      </w:pPr>
    </w:p>
    <w:p>
      <w:pPr>
        <w:ind w:left="180"/>
        <w:spacing w:after="0" w:line="196" w:lineRule="exact"/>
        <w:tabs>
          <w:tab w:leader="none" w:pos="2060" w:val="left"/>
          <w:tab w:leader="none" w:pos="6240" w:val="left"/>
          <w:tab w:leader="none" w:pos="84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 xml:space="preserve">  ☐  </w:t>
      </w:r>
      <w:r>
        <w:rPr>
          <w:rFonts w:ascii="Arial" w:cs="Arial" w:eastAsia="Arial" w:hAnsi="Arial"/>
          <w:sz w:val="17"/>
          <w:szCs w:val="17"/>
          <w:color w:val="auto"/>
        </w:rPr>
        <w:t>Non-accelerated filer</w:t>
      </w:r>
      <w:r>
        <w:rPr>
          <w:rFonts w:ascii="MS PGothic" w:cs="MS PGothic" w:eastAsia="MS PGothic" w:hAnsi="MS PGothic"/>
          <w:sz w:val="17"/>
          <w:szCs w:val="17"/>
          <w:color w:val="auto"/>
        </w:rPr>
        <w:t xml:space="preserve">  ☐</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Emerging growth company</w:t>
      </w:r>
      <w:r>
        <w:rPr>
          <w:rFonts w:ascii="MS PGothic" w:cs="MS PGothic" w:eastAsia="MS PGothic" w:hAnsi="MS PGothic"/>
          <w:sz w:val="17"/>
          <w:szCs w:val="17"/>
          <w:color w:val="auto"/>
        </w:rPr>
        <w:t xml:space="preserve">  ☐</w:t>
      </w:r>
    </w:p>
    <w:p>
      <w:pPr>
        <w:spacing w:after="0" w:line="290" w:lineRule="exact"/>
        <w:rPr>
          <w:sz w:val="20"/>
          <w:szCs w:val="20"/>
          <w:color w:val="auto"/>
        </w:rPr>
      </w:pPr>
    </w:p>
    <w:p>
      <w:pPr>
        <w:jc w:val="both"/>
        <w:spacing w:after="0" w:line="22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3" w:lineRule="exact"/>
        <w:rPr>
          <w:sz w:val="20"/>
          <w:szCs w:val="20"/>
          <w:color w:val="auto"/>
        </w:rPr>
      </w:pPr>
    </w:p>
    <w:p>
      <w:pPr>
        <w:spacing w:after="0" w:line="196" w:lineRule="exact"/>
        <w:tabs>
          <w:tab w:leader="none" w:pos="872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20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Number of shares of the registrant’s common stock outstanding as of March 9, 2026: 58,532,820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165100</wp:posOffset>
            </wp:positionV>
            <wp:extent cx="7122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132080</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1</w:t>
            </w:r>
          </w:p>
        </w:tc>
        <w:tc>
          <w:tcPr>
            <w:tcW w:w="120" w:type="dxa"/>
            <w:vAlign w:val="bottom"/>
          </w:tcPr>
          <w:p>
            <w:pPr>
              <w:spacing w:after="0"/>
              <w:rPr>
                <w:sz w:val="14"/>
                <w:szCs w:val="14"/>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5"/>
                <w:szCs w:val="15"/>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3</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24</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35</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3.</w:t>
            </w:r>
          </w:p>
        </w:tc>
        <w:tc>
          <w:tcPr>
            <w:tcW w:w="1050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36</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4.</w:t>
            </w:r>
          </w:p>
        </w:tc>
        <w:tc>
          <w:tcPr>
            <w:tcW w:w="1050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36</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5.</w:t>
            </w:r>
          </w:p>
        </w:tc>
        <w:tc>
          <w:tcPr>
            <w:tcW w:w="1050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36</w:t>
            </w:r>
          </w:p>
        </w:tc>
        <w:tc>
          <w:tcPr>
            <w:tcW w:w="120" w:type="dxa"/>
            <w:vAlign w:val="bottom"/>
          </w:tcPr>
          <w:p>
            <w:pPr>
              <w:spacing w:after="0"/>
              <w:rPr>
                <w:sz w:val="15"/>
                <w:szCs w:val="15"/>
                <w:color w:val="auto"/>
              </w:rPr>
            </w:pPr>
          </w:p>
        </w:tc>
      </w:tr>
      <w:tr>
        <w:trPr>
          <w:trHeight w:val="173"/>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6.</w:t>
            </w:r>
          </w:p>
        </w:tc>
        <w:tc>
          <w:tcPr>
            <w:tcW w:w="10500" w:type="dxa"/>
            <w:vAlign w:val="bottom"/>
          </w:tcPr>
          <w:p>
            <w:pPr>
              <w:ind w:left="20"/>
              <w:spacing w:after="0"/>
              <w:rPr>
                <w:sz w:val="20"/>
                <w:szCs w:val="20"/>
                <w:color w:val="auto"/>
              </w:rPr>
            </w:pPr>
            <w:r>
              <w:rPr>
                <w:rFonts w:ascii="Arial" w:cs="Arial" w:eastAsia="Arial" w:hAnsi="Arial"/>
                <w:sz w:val="14"/>
                <w:szCs w:val="14"/>
                <w:color w:val="auto"/>
              </w:rPr>
              <w:t>Exhibits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37</w:t>
            </w:r>
          </w:p>
        </w:tc>
        <w:tc>
          <w:tcPr>
            <w:tcW w:w="120" w:type="dxa"/>
            <w:vAlign w:val="bottom"/>
          </w:tcPr>
          <w:p>
            <w:pPr>
              <w:spacing w:after="0"/>
              <w:rPr>
                <w:sz w:val="15"/>
                <w:szCs w:val="15"/>
                <w:color w:val="auto"/>
              </w:rPr>
            </w:pPr>
          </w:p>
        </w:tc>
      </w:tr>
      <w:tr>
        <w:trPr>
          <w:trHeight w:val="173"/>
        </w:trPr>
        <w:tc>
          <w:tcPr>
            <w:tcW w:w="1096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83"/>
              </w:rPr>
              <w:t>38</w:t>
            </w:r>
          </w:p>
        </w:tc>
        <w:tc>
          <w:tcPr>
            <w:tcW w:w="120" w:type="dxa"/>
            <w:vAlign w:val="bottom"/>
          </w:tcPr>
          <w:p>
            <w:pPr>
              <w:spacing w:after="0"/>
              <w:rPr>
                <w:sz w:val="15"/>
                <w:szCs w:val="15"/>
                <w:color w:val="auto"/>
              </w:rPr>
            </w:pPr>
          </w:p>
        </w:tc>
      </w:tr>
      <w:tr>
        <w:trPr>
          <w:trHeight w:val="1004"/>
        </w:trPr>
        <w:tc>
          <w:tcPr>
            <w:tcW w:w="460" w:type="dxa"/>
            <w:vAlign w:val="bottom"/>
            <w:tcBorders>
              <w:bottom w:val="single" w:sz="8" w:color="9A9A9A"/>
            </w:tcBorders>
          </w:tcPr>
          <w:p>
            <w:pPr>
              <w:spacing w:after="0"/>
              <w:rPr>
                <w:sz w:val="24"/>
                <w:szCs w:val="24"/>
                <w:color w:val="auto"/>
              </w:rPr>
            </w:pPr>
          </w:p>
        </w:tc>
        <w:tc>
          <w:tcPr>
            <w:tcW w:w="10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046AD"/>
        </w:rPr>
        <w:t>FORWARD-LOOKING STATEMENTS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gain profitable business despite competitive market pressures.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results of operations can be adversely affected by labor shortages, turnover, and labor cost increases.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attract and retain qualified personnel and senior management we need to support our business.</w:t>
      </w:r>
    </w:p>
    <w:p>
      <w:pPr>
        <w:spacing w:after="0" w:line="62"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preserve long-term client relationships is essential to our continued success.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use of subcontractors or joint venture partners to perform work under customer contracts exposes us to liability and financial risk.</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international business involves risks different from those we face in the United States that could negatively impact our results of operations and financial condition.</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commercial office space utilization due to hybrid work models and increases in office vacancy rates could adversely affect our financial condition.</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8"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experience breaches of, or disruptions to, our information technology systems or those of our third-party providers or clients, or other compromises of our data that could adversely affect our business.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implementation of new enterprise resource planning (“ERP”) and related boundary systems could adversely impact our ability to operate our business, including the timing and amount of working capital needed, and report our financial results.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divestitures, and other strategic transactions could fail to achieve financial or strategic objectives, disrupt our ongoing business, and adversely impact our results of operations.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realize the growth opportunities and synergies that are anticipated from our acquisition of Iveagh New Opportunities Limited, a company incorporated in Ireland, and its direct and indirect wholly owned subsidiaries (collectively, “WGNSTAR”).</w:t>
      </w:r>
    </w:p>
    <w:p>
      <w:pPr>
        <w:spacing w:after="0" w:line="1" w:lineRule="exact"/>
        <w:rPr>
          <w:rFonts w:ascii="Arial" w:cs="Arial" w:eastAsia="Arial" w:hAnsi="Arial"/>
          <w:sz w:val="17"/>
          <w:szCs w:val="17"/>
          <w:color w:val="auto"/>
        </w:rPr>
      </w:pPr>
    </w:p>
    <w:p>
      <w:pPr>
        <w:jc w:val="both"/>
        <w:ind w:left="620" w:hanging="307"/>
        <w:spacing w:after="0" w:line="26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22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risk management and safety programs may not have the intended effect of reducing our liability for personal injury or property loss.</w:t>
      </w:r>
    </w:p>
    <w:p>
      <w:pPr>
        <w:spacing w:after="0" w:line="6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developments in our class and representative actions and other lawsuits alleging various claims could cause us to incur substantial liabilities.</w:t>
      </w:r>
    </w:p>
    <w:p>
      <w:pPr>
        <w:spacing w:after="0" w:line="1"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legal and regulatory requirements, which could limit our profitability by increasing the costs of legal and regulatory compliance.</w:t>
      </w:r>
    </w:p>
    <w:p>
      <w:pPr>
        <w:spacing w:after="0" w:line="1"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 w:name="page5"/>
    <w:bookmarkEnd w:id="4"/>
    <w:p>
      <w:pPr>
        <w:ind w:left="620" w:hanging="307"/>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materially affected by changes to fiscal and tax policies. Negative or unexpected tax consequences could adversely affect our results of operations.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increases in the level of our borrowings and interest rates could affect our results of operations.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Impairment of goodwill and long-lived assets could have a material adverse effect on our financial condition and results of operations.</w:t>
      </w:r>
    </w:p>
    <w:p>
      <w:pPr>
        <w:spacing w:after="0" w:line="62"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8"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may be negatively impacted by adverse weather conditions.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Catastrophic events, disasters, pandemics, and terrorist attacks could disrupt our services.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of activist investors could disrupt our business.</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and other risks and uncertainties we face is contained in our Annual Report on Form 10-K for the year ended October 31, 2025, and in other reports (including all amendments to those reports) we file from time to time with the Securities and Exchange Commission (“SEC”).</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0046AD"/>
        </w:rPr>
        <w:t>PART I. FINANCIAL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CONSOLIDATED FINANCIAL STATEMENTS.</w:t>
      </w:r>
    </w:p>
    <w:p>
      <w:pPr>
        <w:spacing w:after="0" w:line="11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0046AD"/>
        </w:rPr>
        <w:t>CONSOLIDATED BALANCE SHEETS</w:t>
      </w:r>
    </w:p>
    <w:p>
      <w:pPr>
        <w:spacing w:after="0" w:line="12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0046AD"/>
        </w:rPr>
        <w:t>(UNAUDITED)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 except share and per share amounts)</w:t>
            </w:r>
          </w:p>
        </w:tc>
        <w:tc>
          <w:tcPr>
            <w:tcW w:w="220" w:type="dxa"/>
            <w:vAlign w:val="bottom"/>
          </w:tcPr>
          <w:p>
            <w:pPr>
              <w:spacing w:after="0"/>
              <w:rPr>
                <w:sz w:val="15"/>
                <w:szCs w:val="15"/>
                <w:color w:val="auto"/>
              </w:rPr>
            </w:pPr>
          </w:p>
        </w:tc>
        <w:tc>
          <w:tcPr>
            <w:tcW w:w="1740" w:type="dxa"/>
            <w:vAlign w:val="bottom"/>
            <w:gridSpan w:val="2"/>
          </w:tcPr>
          <w:p>
            <w:pPr>
              <w:ind w:left="100"/>
              <w:spacing w:after="0"/>
              <w:rPr>
                <w:sz w:val="20"/>
                <w:szCs w:val="20"/>
                <w:color w:val="auto"/>
              </w:rPr>
            </w:pPr>
            <w:r>
              <w:rPr>
                <w:rFonts w:ascii="Arial" w:cs="Arial" w:eastAsia="Arial" w:hAnsi="Arial"/>
                <w:sz w:val="15"/>
                <w:szCs w:val="15"/>
                <w:b w:val="1"/>
                <w:bCs w:val="1"/>
                <w:color w:val="auto"/>
              </w:rPr>
              <w:t>January 31, 2026</w:t>
            </w:r>
          </w:p>
        </w:tc>
        <w:tc>
          <w:tcPr>
            <w:tcW w:w="180" w:type="dxa"/>
            <w:vAlign w:val="bottom"/>
          </w:tcPr>
          <w:p>
            <w:pPr>
              <w:spacing w:after="0"/>
              <w:rPr>
                <w:sz w:val="15"/>
                <w:szCs w:val="15"/>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b w:val="1"/>
                <w:bCs w:val="1"/>
                <w:color w:val="auto"/>
              </w:rPr>
              <w:t>October 31,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306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100.4</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Trade accounts receivable, net of allowances of $26.0 and $25.5</w:t>
            </w:r>
          </w:p>
        </w:tc>
        <w:tc>
          <w:tcPr>
            <w:tcW w:w="22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1,493.0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1,471.1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440"/>
              <w:spacing w:after="0"/>
              <w:rPr>
                <w:sz w:val="20"/>
                <w:szCs w:val="20"/>
                <w:color w:val="auto"/>
              </w:rPr>
            </w:pPr>
            <w:r>
              <w:rPr>
                <w:rFonts w:ascii="Arial" w:cs="Arial" w:eastAsia="Arial" w:hAnsi="Arial"/>
                <w:sz w:val="15"/>
                <w:szCs w:val="15"/>
                <w:color w:val="auto"/>
              </w:rPr>
              <w:t>at January 31, 2026 and October 31, 2025, respectively</w:t>
            </w:r>
          </w:p>
        </w:tc>
        <w:tc>
          <w:tcPr>
            <w:tcW w:w="2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Costs incurred in excess of amounts billed</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162.0</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Prepaid expenses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117.1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DCE2EF"/>
          </w:tcPr>
          <w:p>
            <w:pPr>
              <w:spacing w:after="0"/>
              <w:rPr>
                <w:sz w:val="18"/>
                <w:szCs w:val="18"/>
                <w:color w:val="auto"/>
              </w:rPr>
            </w:pP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86.4</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78.6</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62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1,958.9</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1,938.7</w:t>
            </w:r>
          </w:p>
        </w:tc>
        <w:tc>
          <w:tcPr>
            <w:tcW w:w="0" w:type="dxa"/>
            <w:vAlign w:val="bottom"/>
          </w:tcPr>
          <w:p>
            <w:pPr>
              <w:spacing w:after="0"/>
              <w:rPr>
                <w:sz w:val="1"/>
                <w:szCs w:val="1"/>
                <w:color w:val="auto"/>
              </w:rPr>
            </w:pPr>
          </w:p>
        </w:tc>
      </w:tr>
      <w:tr>
        <w:trPr>
          <w:trHeight w:val="200"/>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20" w:type="dxa"/>
            <w:vAlign w:val="bottom"/>
            <w:shd w:val="clear" w:color="auto" w:fill="DCE2EF"/>
          </w:tcPr>
          <w:p>
            <w:pPr>
              <w:spacing w:after="0"/>
              <w:rPr>
                <w:sz w:val="17"/>
                <w:szCs w:val="17"/>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48.6</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Property, plant and equipment, net of accumulated depreciation of $394.3 and $379.8 at January 31, 2026</w:t>
            </w:r>
          </w:p>
        </w:tc>
        <w:tc>
          <w:tcPr>
            <w:tcW w:w="22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177.5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177.2</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and October 31, 2025, respectively</w:t>
            </w:r>
          </w:p>
        </w:tc>
        <w:tc>
          <w:tcPr>
            <w:tcW w:w="2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Right-of-use assets</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90.5</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95.1</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Other intangible assets, net of accumulated amortization of $544.9 and $532.2</w:t>
            </w:r>
          </w:p>
        </w:tc>
        <w:tc>
          <w:tcPr>
            <w:tcW w:w="22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231.9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243.2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January 31, 2026 and October 31, 2025, respectively</w:t>
            </w:r>
          </w:p>
        </w:tc>
        <w:tc>
          <w:tcPr>
            <w:tcW w:w="2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2,595.3</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2,591.1</w:t>
            </w:r>
          </w:p>
        </w:tc>
        <w:tc>
          <w:tcPr>
            <w:tcW w:w="0" w:type="dxa"/>
            <w:vAlign w:val="bottom"/>
          </w:tcPr>
          <w:p>
            <w:pPr>
              <w:spacing w:after="0"/>
              <w:rPr>
                <w:sz w:val="1"/>
                <w:szCs w:val="1"/>
                <w:color w:val="auto"/>
              </w:rPr>
            </w:pPr>
          </w:p>
        </w:tc>
      </w:tr>
      <w:tr>
        <w:trPr>
          <w:trHeight w:val="205"/>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184.9</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5,289.0</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5,269.5</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6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3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DCE2EF"/>
          </w:tcPr>
          <w:p>
            <w:pPr>
              <w:spacing w:after="0"/>
              <w:rPr>
                <w:sz w:val="17"/>
                <w:szCs w:val="17"/>
                <w:color w:val="auto"/>
              </w:rPr>
            </w:pPr>
          </w:p>
        </w:tc>
        <w:tc>
          <w:tcPr>
            <w:tcW w:w="16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Current portion of debt, net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Trade accounts payable</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382.2</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Accrued compensation</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145.4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195.0</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Accrued taxes — other than income</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74.7</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Insurance claims</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202.1</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30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2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Current portion of lease liabilities</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339.8</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324.1</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62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auto"/>
            </w:tcBorders>
            <w:shd w:val="clear" w:color="auto" w:fill="DCE2EF"/>
          </w:tcPr>
          <w:p>
            <w:pPr>
              <w:spacing w:after="0"/>
              <w:rPr>
                <w:sz w:val="17"/>
                <w:szCs w:val="17"/>
                <w:color w:val="auto"/>
              </w:rPr>
            </w:pP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1,306.1</w:t>
            </w:r>
          </w:p>
        </w:tc>
        <w:tc>
          <w:tcPr>
            <w:tcW w:w="100" w:type="dxa"/>
            <w:vAlign w:val="bottom"/>
            <w:shd w:val="clear" w:color="auto" w:fill="DCE2EF"/>
          </w:tcPr>
          <w:p>
            <w:pPr>
              <w:spacing w:after="0"/>
              <w:rPr>
                <w:sz w:val="17"/>
                <w:szCs w:val="17"/>
                <w:color w:val="auto"/>
              </w:rPr>
            </w:pPr>
          </w:p>
        </w:tc>
        <w:tc>
          <w:tcPr>
            <w:tcW w:w="180" w:type="dxa"/>
            <w:vAlign w:val="bottom"/>
            <w:tcBorders>
              <w:bottom w:val="single" w:sz="8" w:color="auto"/>
            </w:tcBorders>
            <w:shd w:val="clear" w:color="auto" w:fill="DCE2EF"/>
          </w:tcPr>
          <w:p>
            <w:pPr>
              <w:spacing w:after="0"/>
              <w:rPr>
                <w:sz w:val="17"/>
                <w:szCs w:val="17"/>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1,305.7</w:t>
            </w:r>
          </w:p>
        </w:tc>
        <w:tc>
          <w:tcPr>
            <w:tcW w:w="0" w:type="dxa"/>
            <w:vAlign w:val="bottom"/>
          </w:tcPr>
          <w:p>
            <w:pPr>
              <w:spacing w:after="0"/>
              <w:rPr>
                <w:sz w:val="1"/>
                <w:szCs w:val="1"/>
                <w:color w:val="auto"/>
              </w:rPr>
            </w:pPr>
          </w:p>
        </w:tc>
      </w:tr>
      <w:tr>
        <w:trPr>
          <w:trHeight w:val="198"/>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1,600.8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1,537.1</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lease liabilities</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465.0</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459.3</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20" w:type="dxa"/>
            <w:vAlign w:val="bottom"/>
            <w:tcBorders>
              <w:bottom w:val="single" w:sz="8" w:color="auto"/>
            </w:tcBorders>
            <w:shd w:val="clear" w:color="auto" w:fill="DCE2EF"/>
          </w:tcPr>
          <w:p>
            <w:pPr>
              <w:spacing w:after="0"/>
              <w:rPr>
                <w:sz w:val="18"/>
                <w:szCs w:val="18"/>
                <w:color w:val="auto"/>
              </w:rPr>
            </w:pP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3,564.7</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3,483.8</w:t>
            </w:r>
          </w:p>
        </w:tc>
        <w:tc>
          <w:tcPr>
            <w:tcW w:w="0" w:type="dxa"/>
            <w:vAlign w:val="bottom"/>
          </w:tcPr>
          <w:p>
            <w:pPr>
              <w:spacing w:after="0"/>
              <w:rPr>
                <w:sz w:val="1"/>
                <w:szCs w:val="1"/>
                <w:color w:val="auto"/>
              </w:rPr>
            </w:pPr>
          </w:p>
        </w:tc>
      </w:tr>
      <w:tr>
        <w:trPr>
          <w:trHeight w:val="18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2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5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0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20" w:type="dxa"/>
            <w:vAlign w:val="bottom"/>
            <w:shd w:val="clear" w:color="auto" w:fill="DCE2EF"/>
          </w:tcPr>
          <w:p>
            <w:pPr>
              <w:spacing w:after="0"/>
              <w:rPr>
                <w:sz w:val="17"/>
                <w:szCs w:val="17"/>
                <w:color w:val="auto"/>
              </w:rPr>
            </w:pPr>
          </w:p>
        </w:tc>
        <w:tc>
          <w:tcPr>
            <w:tcW w:w="174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CE2EF"/>
          </w:tcPr>
          <w:p>
            <w:pPr>
              <w:spacing w:after="0"/>
              <w:rPr>
                <w:sz w:val="17"/>
                <w:szCs w:val="17"/>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730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Common stock, $0.01 par value; 100,000,000 shares authorized;</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80" w:type="dxa"/>
            <w:vAlign w:val="bottom"/>
            <w:gridSpan w:val="2"/>
          </w:tcPr>
          <w:p>
            <w:pPr>
              <w:ind w:left="520"/>
              <w:spacing w:after="0" w:line="155" w:lineRule="exact"/>
              <w:rPr>
                <w:sz w:val="20"/>
                <w:szCs w:val="20"/>
                <w:color w:val="auto"/>
              </w:rPr>
            </w:pPr>
            <w:r>
              <w:rPr>
                <w:rFonts w:ascii="Arial" w:cs="Arial" w:eastAsia="Arial" w:hAnsi="Arial"/>
                <w:sz w:val="15"/>
                <w:szCs w:val="15"/>
                <w:color w:val="auto"/>
              </w:rPr>
              <w:t>58,598,372 and 60,176,611 shares issued and outstanding at</w:t>
            </w:r>
          </w:p>
        </w:tc>
        <w:tc>
          <w:tcPr>
            <w:tcW w:w="22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80" w:type="dxa"/>
            <w:vAlign w:val="bottom"/>
            <w:gridSpan w:val="2"/>
          </w:tcPr>
          <w:p>
            <w:pPr>
              <w:ind w:left="520"/>
              <w:spacing w:after="0"/>
              <w:rPr>
                <w:sz w:val="20"/>
                <w:szCs w:val="20"/>
                <w:color w:val="auto"/>
              </w:rPr>
            </w:pPr>
            <w:r>
              <w:rPr>
                <w:rFonts w:ascii="Arial" w:cs="Arial" w:eastAsia="Arial" w:hAnsi="Arial"/>
                <w:sz w:val="15"/>
                <w:szCs w:val="15"/>
                <w:color w:val="auto"/>
              </w:rPr>
              <w:t>January 31, 2026 and October 31, 2025, respectively</w:t>
            </w:r>
          </w:p>
        </w:tc>
        <w:tc>
          <w:tcPr>
            <w:tcW w:w="2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347.5</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20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Accumulated other comprehensive loss, net of taxes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shd w:val="clear" w:color="auto" w:fill="DCE2EF"/>
          </w:tcPr>
          <w:p>
            <w:pPr>
              <w:spacing w:after="0"/>
              <w:rPr>
                <w:sz w:val="18"/>
                <w:szCs w:val="18"/>
                <w:color w:val="auto"/>
              </w:rPr>
            </w:pP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1,388.6</w:t>
            </w:r>
          </w:p>
        </w:tc>
        <w:tc>
          <w:tcPr>
            <w:tcW w:w="10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1,368.1</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1,724.3</w:t>
            </w:r>
          </w:p>
        </w:tc>
        <w:tc>
          <w:tcPr>
            <w:tcW w:w="100" w:type="dxa"/>
            <w:vAlign w:val="bottom"/>
            <w:tcBorders>
              <w:bottom w:val="single" w:sz="8" w:color="DCE2E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1,785.6</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5,289.0</w:t>
            </w:r>
          </w:p>
        </w:tc>
        <w:tc>
          <w:tcPr>
            <w:tcW w:w="100" w:type="dxa"/>
            <w:vAlign w:val="bottom"/>
            <w:tcBorders>
              <w:bottom w:val="single" w:sz="8" w:color="DCE2EF"/>
            </w:tcBorders>
            <w:shd w:val="clear" w:color="auto" w:fill="DCE2EF"/>
          </w:tcPr>
          <w:p>
            <w:pPr>
              <w:spacing w:after="0"/>
              <w:rPr>
                <w:sz w:val="19"/>
                <w:szCs w:val="19"/>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5,269.5</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3060" w:type="dxa"/>
            <w:vAlign w:val="bottom"/>
            <w:tcBorders>
              <w:top w:val="single" w:sz="8" w:color="DCE2EF"/>
            </w:tcBorders>
          </w:tcPr>
          <w:p>
            <w:pPr>
              <w:spacing w:after="0" w:line="20" w:lineRule="exact"/>
              <w:rPr>
                <w:sz w:val="1"/>
                <w:szCs w:val="1"/>
                <w:color w:val="auto"/>
              </w:rPr>
            </w:pPr>
          </w:p>
        </w:tc>
        <w:tc>
          <w:tcPr>
            <w:tcW w:w="42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6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accompanying notes to unaudited consolidated financial statements.</w:t>
      </w:r>
    </w:p>
    <w:p>
      <w:pPr>
        <w:sectPr>
          <w:pgSz w:w="11900" w:h="16838" w:orient="portrait"/>
          <w:cols w:equalWidth="0" w:num="1">
            <w:col w:w="11120"/>
          </w:cols>
          <w:pgMar w:left="320" w:top="1204" w:right="4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04" w:right="45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CONSOLIDATED STATEMENTS OF COMPREHENSIVE INCOME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5"/>
                <w:szCs w:val="15"/>
                <w:b w:val="1"/>
                <w:bCs w:val="1"/>
                <w:color w:val="auto"/>
              </w:rPr>
              <w:t>Three Months Ended January 31,</w:t>
            </w:r>
          </w:p>
        </w:tc>
      </w:tr>
      <w:tr>
        <w:trPr>
          <w:trHeight w:val="160"/>
        </w:trPr>
        <w:tc>
          <w:tcPr>
            <w:tcW w:w="64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500" w:type="dxa"/>
            <w:vAlign w:val="bottom"/>
          </w:tcPr>
          <w:p>
            <w:pPr>
              <w:spacing w:after="0"/>
              <w:rPr>
                <w:sz w:val="13"/>
                <w:szCs w:val="13"/>
                <w:color w:val="auto"/>
              </w:rPr>
            </w:pPr>
          </w:p>
        </w:tc>
        <w:tc>
          <w:tcPr>
            <w:tcW w:w="1640" w:type="dxa"/>
            <w:vAlign w:val="bottom"/>
          </w:tcPr>
          <w:p>
            <w:pPr>
              <w:jc w:val="right"/>
              <w:ind w:right="823"/>
              <w:spacing w:after="0" w:line="161" w:lineRule="exact"/>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tcPr>
          <w:p>
            <w:pPr>
              <w:jc w:val="right"/>
              <w:ind w:right="763"/>
              <w:spacing w:after="0" w:line="161" w:lineRule="exact"/>
              <w:rPr>
                <w:sz w:val="20"/>
                <w:szCs w:val="20"/>
                <w:color w:val="auto"/>
              </w:rPr>
            </w:pPr>
            <w:r>
              <w:rPr>
                <w:rFonts w:ascii="Arial" w:cs="Arial" w:eastAsia="Arial" w:hAnsi="Arial"/>
                <w:sz w:val="15"/>
                <w:szCs w:val="15"/>
                <w:b w:val="1"/>
                <w:bCs w:val="1"/>
                <w:color w:val="auto"/>
              </w:rPr>
              <w:t>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404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8"/>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50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2,243.5</w:t>
            </w:r>
          </w:p>
        </w:tc>
        <w:tc>
          <w:tcPr>
            <w:tcW w:w="80" w:type="dxa"/>
            <w:vAlign w:val="bottom"/>
            <w:shd w:val="clear" w:color="auto" w:fill="DCE2EF"/>
          </w:tcPr>
          <w:p>
            <w:pPr>
              <w:spacing w:after="0"/>
              <w:rPr>
                <w:sz w:val="17"/>
                <w:szCs w:val="17"/>
                <w:color w:val="auto"/>
              </w:rPr>
            </w:pPr>
          </w:p>
        </w:tc>
        <w:tc>
          <w:tcPr>
            <w:tcW w:w="460" w:type="dxa"/>
            <w:vAlign w:val="bottom"/>
            <w:shd w:val="clear" w:color="auto" w:fill="DCE2EF"/>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2,114.9</w:t>
            </w:r>
          </w:p>
        </w:tc>
      </w:tr>
      <w:tr>
        <w:trPr>
          <w:trHeight w:val="205"/>
        </w:trPr>
        <w:tc>
          <w:tcPr>
            <w:tcW w:w="648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5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1,983.5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1,855.1</w:t>
            </w:r>
          </w:p>
        </w:tc>
      </w:tr>
      <w:tr>
        <w:trPr>
          <w:trHeight w:val="207"/>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169.8</w:t>
            </w:r>
          </w:p>
        </w:tc>
        <w:tc>
          <w:tcPr>
            <w:tcW w:w="8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169.0</w:t>
            </w:r>
          </w:p>
        </w:tc>
      </w:tr>
      <w:tr>
        <w:trPr>
          <w:trHeight w:val="205"/>
        </w:trPr>
        <w:tc>
          <w:tcPr>
            <w:tcW w:w="6480" w:type="dxa"/>
            <w:vAlign w:val="bottom"/>
            <w:gridSpan w:val="3"/>
          </w:tcPr>
          <w:p>
            <w:pPr>
              <w:ind w:left="20"/>
              <w:spacing w:after="0"/>
              <w:rPr>
                <w:sz w:val="20"/>
                <w:szCs w:val="20"/>
                <w:color w:val="auto"/>
              </w:rPr>
            </w:pPr>
            <w:r>
              <w:rPr>
                <w:rFonts w:ascii="Arial" w:cs="Arial" w:eastAsia="Arial" w:hAnsi="Arial"/>
                <w:sz w:val="15"/>
                <w:szCs w:val="15"/>
                <w:color w:val="auto"/>
              </w:rPr>
              <w:t>Restructuring and related expenses</w:t>
            </w:r>
          </w:p>
        </w:tc>
        <w:tc>
          <w:tcPr>
            <w:tcW w:w="5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4"/>
                <w:szCs w:val="14"/>
                <w:color w:val="auto"/>
              </w:rPr>
              <w:t>—</w:t>
            </w:r>
          </w:p>
        </w:tc>
      </w:tr>
      <w:tr>
        <w:trPr>
          <w:trHeight w:val="207"/>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Amortization of intangible assets</w:t>
            </w:r>
          </w:p>
        </w:tc>
        <w:tc>
          <w:tcPr>
            <w:tcW w:w="500" w:type="dxa"/>
            <w:vAlign w:val="bottom"/>
            <w:tcBorders>
              <w:bottom w:val="single" w:sz="8" w:color="auto"/>
            </w:tcBorders>
            <w:shd w:val="clear" w:color="auto" w:fill="DCE2EF"/>
          </w:tcPr>
          <w:p>
            <w:pPr>
              <w:spacing w:after="0"/>
              <w:rPr>
                <w:sz w:val="18"/>
                <w:szCs w:val="18"/>
                <w:color w:val="auto"/>
              </w:rPr>
            </w:pPr>
          </w:p>
        </w:tc>
        <w:tc>
          <w:tcPr>
            <w:tcW w:w="16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11.9</w:t>
            </w:r>
          </w:p>
        </w:tc>
        <w:tc>
          <w:tcPr>
            <w:tcW w:w="80" w:type="dxa"/>
            <w:vAlign w:val="bottom"/>
            <w:shd w:val="clear" w:color="auto" w:fill="DCE2EF"/>
          </w:tcPr>
          <w:p>
            <w:pPr>
              <w:spacing w:after="0"/>
              <w:rPr>
                <w:sz w:val="18"/>
                <w:szCs w:val="18"/>
                <w:color w:val="auto"/>
              </w:rPr>
            </w:pPr>
          </w:p>
        </w:tc>
        <w:tc>
          <w:tcPr>
            <w:tcW w:w="460" w:type="dxa"/>
            <w:vAlign w:val="bottom"/>
            <w:tcBorders>
              <w:bottom w:val="single" w:sz="8" w:color="auto"/>
            </w:tcBorders>
            <w:shd w:val="clear" w:color="auto" w:fill="DCE2EF"/>
          </w:tcPr>
          <w:p>
            <w:pPr>
              <w:spacing w:after="0"/>
              <w:rPr>
                <w:sz w:val="18"/>
                <w:szCs w:val="18"/>
                <w:color w:val="auto"/>
              </w:rPr>
            </w:pPr>
          </w:p>
        </w:tc>
        <w:tc>
          <w:tcPr>
            <w:tcW w:w="15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13.3</w:t>
            </w:r>
          </w:p>
        </w:tc>
      </w:tr>
      <w:tr>
        <w:trPr>
          <w:trHeight w:val="199"/>
        </w:trPr>
        <w:tc>
          <w:tcPr>
            <w:tcW w:w="6480" w:type="dxa"/>
            <w:vAlign w:val="bottom"/>
            <w:gridSpan w:val="3"/>
          </w:tcPr>
          <w:p>
            <w:pPr>
              <w:ind w:left="20"/>
              <w:spacing w:after="0"/>
              <w:rPr>
                <w:sz w:val="20"/>
                <w:szCs w:val="20"/>
                <w:color w:val="auto"/>
              </w:rPr>
            </w:pPr>
            <w:r>
              <w:rPr>
                <w:rFonts w:ascii="Arial" w:cs="Arial" w:eastAsia="Arial" w:hAnsi="Arial"/>
                <w:sz w:val="15"/>
                <w:szCs w:val="15"/>
                <w:b w:val="1"/>
                <w:bCs w:val="1"/>
                <w:color w:val="auto"/>
              </w:rPr>
              <w:t>Operating profit</w:t>
            </w:r>
          </w:p>
        </w:tc>
        <w:tc>
          <w:tcPr>
            <w:tcW w:w="5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74.7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77.6</w:t>
            </w:r>
          </w:p>
        </w:tc>
      </w:tr>
      <w:tr>
        <w:trPr>
          <w:trHeight w:val="206"/>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50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1.4</w:t>
            </w:r>
          </w:p>
        </w:tc>
        <w:tc>
          <w:tcPr>
            <w:tcW w:w="8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0.8</w:t>
            </w:r>
          </w:p>
        </w:tc>
      </w:tr>
      <w:tr>
        <w:trPr>
          <w:trHeight w:val="205"/>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Borders>
              <w:bottom w:val="single" w:sz="8" w:color="DCE2E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r>
      <w:tr>
        <w:trPr>
          <w:trHeight w:val="200"/>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before income taxes</w:t>
            </w:r>
          </w:p>
        </w:tc>
        <w:tc>
          <w:tcPr>
            <w:tcW w:w="50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52.1</w:t>
            </w:r>
          </w:p>
        </w:tc>
        <w:tc>
          <w:tcPr>
            <w:tcW w:w="8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55.5</w:t>
            </w:r>
          </w:p>
        </w:tc>
      </w:tr>
      <w:tr>
        <w:trPr>
          <w:trHeight w:val="205"/>
        </w:trPr>
        <w:tc>
          <w:tcPr>
            <w:tcW w:w="648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Income tax provision</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80" w:type="dxa"/>
            <w:vAlign w:val="bottom"/>
            <w:tcBorders>
              <w:bottom w:val="single" w:sz="8" w:color="DCE2E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w:t>
            </w:r>
          </w:p>
        </w:tc>
      </w:tr>
      <w:tr>
        <w:trPr>
          <w:trHeight w:val="200"/>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income</w:t>
            </w:r>
          </w:p>
        </w:tc>
        <w:tc>
          <w:tcPr>
            <w:tcW w:w="500" w:type="dxa"/>
            <w:vAlign w:val="bottom"/>
            <w:tcBorders>
              <w:bottom w:val="single" w:sz="8" w:color="auto"/>
            </w:tcBorders>
            <w:shd w:val="clear" w:color="auto" w:fill="DCE2EF"/>
          </w:tcPr>
          <w:p>
            <w:pPr>
              <w:spacing w:after="0"/>
              <w:rPr>
                <w:sz w:val="17"/>
                <w:szCs w:val="17"/>
                <w:color w:val="auto"/>
              </w:rPr>
            </w:pPr>
          </w:p>
        </w:tc>
        <w:tc>
          <w:tcPr>
            <w:tcW w:w="16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38.8</w:t>
            </w:r>
          </w:p>
        </w:tc>
        <w:tc>
          <w:tcPr>
            <w:tcW w:w="80" w:type="dxa"/>
            <w:vAlign w:val="bottom"/>
            <w:shd w:val="clear" w:color="auto" w:fill="DCE2EF"/>
          </w:tcPr>
          <w:p>
            <w:pPr>
              <w:spacing w:after="0"/>
              <w:rPr>
                <w:sz w:val="17"/>
                <w:szCs w:val="17"/>
                <w:color w:val="auto"/>
              </w:rPr>
            </w:pPr>
          </w:p>
        </w:tc>
        <w:tc>
          <w:tcPr>
            <w:tcW w:w="460" w:type="dxa"/>
            <w:vAlign w:val="bottom"/>
            <w:tcBorders>
              <w:bottom w:val="single" w:sz="8" w:color="auto"/>
            </w:tcBorders>
            <w:shd w:val="clear" w:color="auto" w:fill="DCE2EF"/>
          </w:tcPr>
          <w:p>
            <w:pPr>
              <w:spacing w:after="0"/>
              <w:rPr>
                <w:sz w:val="17"/>
                <w:szCs w:val="17"/>
                <w:color w:val="auto"/>
              </w:rPr>
            </w:pPr>
          </w:p>
        </w:tc>
        <w:tc>
          <w:tcPr>
            <w:tcW w:w="15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43.6</w:t>
            </w:r>
          </w:p>
        </w:tc>
      </w:tr>
      <w:tr>
        <w:trPr>
          <w:trHeight w:val="185"/>
        </w:trPr>
        <w:tc>
          <w:tcPr>
            <w:tcW w:w="6480" w:type="dxa"/>
            <w:vAlign w:val="bottom"/>
            <w:gridSpan w:val="3"/>
          </w:tcPr>
          <w:p>
            <w:pPr>
              <w:ind w:left="20"/>
              <w:spacing w:after="0"/>
              <w:rPr>
                <w:sz w:val="20"/>
                <w:szCs w:val="20"/>
                <w:color w:val="auto"/>
              </w:rPr>
            </w:pPr>
            <w:r>
              <w:rPr>
                <w:rFonts w:ascii="Arial" w:cs="Arial" w:eastAsia="Arial" w:hAnsi="Arial"/>
                <w:sz w:val="15"/>
                <w:szCs w:val="15"/>
                <w:color w:val="auto"/>
              </w:rPr>
              <w:t>Other comprehensive income</w:t>
            </w: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7"/>
        </w:trPr>
        <w:tc>
          <w:tcPr>
            <w:tcW w:w="20" w:type="dxa"/>
            <w:vAlign w:val="bottom"/>
            <w:shd w:val="clear" w:color="auto" w:fill="DCE2EF"/>
          </w:tcPr>
          <w:p>
            <w:pPr>
              <w:spacing w:after="0"/>
              <w:rPr>
                <w:sz w:val="18"/>
                <w:szCs w:val="18"/>
                <w:color w:val="auto"/>
              </w:rPr>
            </w:pPr>
          </w:p>
        </w:tc>
        <w:tc>
          <w:tcPr>
            <w:tcW w:w="646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Interest rate swaps</w:t>
            </w:r>
          </w:p>
        </w:tc>
        <w:tc>
          <w:tcPr>
            <w:tcW w:w="500" w:type="dxa"/>
            <w:vAlign w:val="bottom"/>
            <w:shd w:val="clear" w:color="auto" w:fill="DCE2EF"/>
          </w:tcPr>
          <w:p>
            <w:pPr>
              <w:spacing w:after="0"/>
              <w:rPr>
                <w:sz w:val="18"/>
                <w:szCs w:val="18"/>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DCE2EF"/>
          </w:tcPr>
          <w:p>
            <w:pPr>
              <w:spacing w:after="0"/>
              <w:rPr>
                <w:sz w:val="18"/>
                <w:szCs w:val="18"/>
                <w:color w:val="auto"/>
              </w:rPr>
            </w:pPr>
          </w:p>
        </w:tc>
        <w:tc>
          <w:tcPr>
            <w:tcW w:w="460" w:type="dxa"/>
            <w:vAlign w:val="bottom"/>
            <w:shd w:val="clear" w:color="auto" w:fill="DCE2EF"/>
          </w:tcPr>
          <w:p>
            <w:pPr>
              <w:spacing w:after="0"/>
              <w:rPr>
                <w:sz w:val="18"/>
                <w:szCs w:val="18"/>
                <w:color w:val="auto"/>
              </w:rPr>
            </w:pPr>
          </w:p>
        </w:tc>
        <w:tc>
          <w:tcPr>
            <w:tcW w:w="15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w:t>
            </w:r>
          </w:p>
        </w:tc>
      </w:tr>
      <w:tr>
        <w:trPr>
          <w:trHeight w:val="205"/>
        </w:trPr>
        <w:tc>
          <w:tcPr>
            <w:tcW w:w="20" w:type="dxa"/>
            <w:vAlign w:val="bottom"/>
          </w:tcPr>
          <w:p>
            <w:pPr>
              <w:spacing w:after="0"/>
              <w:rPr>
                <w:sz w:val="17"/>
                <w:szCs w:val="17"/>
                <w:color w:val="auto"/>
              </w:rPr>
            </w:pPr>
          </w:p>
        </w:tc>
        <w:tc>
          <w:tcPr>
            <w:tcW w:w="6460" w:type="dxa"/>
            <w:vAlign w:val="bottom"/>
            <w:gridSpan w:val="2"/>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5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206"/>
        </w:trPr>
        <w:tc>
          <w:tcPr>
            <w:tcW w:w="20" w:type="dxa"/>
            <w:vAlign w:val="bottom"/>
            <w:shd w:val="clear" w:color="auto" w:fill="DCE2EF"/>
          </w:tcPr>
          <w:p>
            <w:pPr>
              <w:spacing w:after="0"/>
              <w:rPr>
                <w:sz w:val="17"/>
                <w:szCs w:val="17"/>
                <w:color w:val="auto"/>
              </w:rPr>
            </w:pPr>
          </w:p>
        </w:tc>
        <w:tc>
          <w:tcPr>
            <w:tcW w:w="646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Income tax benefit</w:t>
            </w:r>
          </w:p>
        </w:tc>
        <w:tc>
          <w:tcPr>
            <w:tcW w:w="500" w:type="dxa"/>
            <w:vAlign w:val="bottom"/>
            <w:tcBorders>
              <w:bottom w:val="single" w:sz="8" w:color="auto"/>
            </w:tcBorders>
            <w:shd w:val="clear" w:color="auto" w:fill="DCE2EF"/>
          </w:tcPr>
          <w:p>
            <w:pPr>
              <w:spacing w:after="0"/>
              <w:rPr>
                <w:sz w:val="17"/>
                <w:szCs w:val="17"/>
                <w:color w:val="auto"/>
              </w:rPr>
            </w:pPr>
          </w:p>
        </w:tc>
        <w:tc>
          <w:tcPr>
            <w:tcW w:w="16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0.5</w:t>
            </w:r>
          </w:p>
        </w:tc>
        <w:tc>
          <w:tcPr>
            <w:tcW w:w="80" w:type="dxa"/>
            <w:vAlign w:val="bottom"/>
            <w:shd w:val="clear" w:color="auto" w:fill="DCE2EF"/>
          </w:tcPr>
          <w:p>
            <w:pPr>
              <w:spacing w:after="0"/>
              <w:rPr>
                <w:sz w:val="17"/>
                <w:szCs w:val="17"/>
                <w:color w:val="auto"/>
              </w:rPr>
            </w:pPr>
          </w:p>
        </w:tc>
        <w:tc>
          <w:tcPr>
            <w:tcW w:w="460" w:type="dxa"/>
            <w:vAlign w:val="bottom"/>
            <w:tcBorders>
              <w:bottom w:val="single" w:sz="8" w:color="auto"/>
            </w:tcBorders>
            <w:shd w:val="clear" w:color="auto" w:fill="DCE2EF"/>
          </w:tcPr>
          <w:p>
            <w:pPr>
              <w:spacing w:after="0"/>
              <w:rPr>
                <w:sz w:val="17"/>
                <w:szCs w:val="17"/>
                <w:color w:val="auto"/>
              </w:rPr>
            </w:pPr>
          </w:p>
        </w:tc>
        <w:tc>
          <w:tcPr>
            <w:tcW w:w="15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0.3</w:t>
            </w:r>
          </w:p>
        </w:tc>
      </w:tr>
      <w:tr>
        <w:trPr>
          <w:trHeight w:val="200"/>
        </w:trPr>
        <w:tc>
          <w:tcPr>
            <w:tcW w:w="6480" w:type="dxa"/>
            <w:vAlign w:val="bottom"/>
            <w:gridSpan w:val="3"/>
          </w:tcPr>
          <w:p>
            <w:pPr>
              <w:ind w:left="20"/>
              <w:spacing w:after="0"/>
              <w:rPr>
                <w:sz w:val="20"/>
                <w:szCs w:val="20"/>
                <w:color w:val="auto"/>
              </w:rPr>
            </w:pPr>
            <w:r>
              <w:rPr>
                <w:rFonts w:ascii="Arial" w:cs="Arial" w:eastAsia="Arial" w:hAnsi="Arial"/>
                <w:sz w:val="15"/>
                <w:szCs w:val="15"/>
                <w:color w:val="auto"/>
              </w:rPr>
              <w:t>Comprehensive income</w:t>
            </w: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35.2</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bottom w:val="single" w:sz="8" w:color="DCE2EF"/>
            </w:tcBorders>
          </w:tcPr>
          <w:p>
            <w:pPr>
              <w:spacing w:after="0" w:line="20" w:lineRule="exact"/>
              <w:rPr>
                <w:sz w:val="1"/>
                <w:szCs w:val="1"/>
                <w:color w:val="auto"/>
              </w:rPr>
            </w:pPr>
          </w:p>
        </w:tc>
        <w:tc>
          <w:tcPr>
            <w:tcW w:w="404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2"/>
        </w:trPr>
        <w:tc>
          <w:tcPr>
            <w:tcW w:w="64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500" w:type="dxa"/>
            <w:vAlign w:val="bottom"/>
            <w:shd w:val="clear" w:color="auto" w:fill="DCE2EF"/>
          </w:tcPr>
          <w:p>
            <w:pPr>
              <w:spacing w:after="0"/>
              <w:rPr>
                <w:sz w:val="14"/>
                <w:szCs w:val="14"/>
                <w:color w:val="auto"/>
              </w:rPr>
            </w:pPr>
          </w:p>
        </w:tc>
        <w:tc>
          <w:tcPr>
            <w:tcW w:w="164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460" w:type="dxa"/>
            <w:vAlign w:val="bottom"/>
            <w:shd w:val="clear" w:color="auto" w:fill="DCE2EF"/>
          </w:tcPr>
          <w:p>
            <w:pPr>
              <w:spacing w:after="0"/>
              <w:rPr>
                <w:sz w:val="14"/>
                <w:szCs w:val="14"/>
                <w:color w:val="auto"/>
              </w:rPr>
            </w:pPr>
          </w:p>
        </w:tc>
        <w:tc>
          <w:tcPr>
            <w:tcW w:w="1540" w:type="dxa"/>
            <w:vAlign w:val="bottom"/>
            <w:shd w:val="clear" w:color="auto" w:fill="DCE2EF"/>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46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0.64</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0.69</w:t>
            </w:r>
          </w:p>
        </w:tc>
      </w:tr>
      <w:tr>
        <w:trPr>
          <w:trHeight w:val="207"/>
        </w:trPr>
        <w:tc>
          <w:tcPr>
            <w:tcW w:w="20" w:type="dxa"/>
            <w:vAlign w:val="bottom"/>
            <w:shd w:val="clear" w:color="auto" w:fill="DCE2EF"/>
          </w:tcPr>
          <w:p>
            <w:pPr>
              <w:spacing w:after="0"/>
              <w:rPr>
                <w:sz w:val="18"/>
                <w:szCs w:val="18"/>
                <w:color w:val="auto"/>
              </w:rPr>
            </w:pPr>
          </w:p>
        </w:tc>
        <w:tc>
          <w:tcPr>
            <w:tcW w:w="646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Diluted</w:t>
            </w:r>
          </w:p>
        </w:tc>
        <w:tc>
          <w:tcPr>
            <w:tcW w:w="500" w:type="dxa"/>
            <w:vAlign w:val="bottom"/>
            <w:shd w:val="clear" w:color="auto" w:fill="DCE2EF"/>
          </w:tcPr>
          <w:p>
            <w:pPr>
              <w:jc w:val="right"/>
              <w:ind w:right="3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0.64</w:t>
            </w:r>
          </w:p>
        </w:tc>
        <w:tc>
          <w:tcPr>
            <w:tcW w:w="80" w:type="dxa"/>
            <w:vAlign w:val="bottom"/>
            <w:shd w:val="clear" w:color="auto" w:fill="DCE2EF"/>
          </w:tcPr>
          <w:p>
            <w:pPr>
              <w:spacing w:after="0"/>
              <w:rPr>
                <w:sz w:val="18"/>
                <w:szCs w:val="18"/>
                <w:color w:val="auto"/>
              </w:rPr>
            </w:pPr>
          </w:p>
        </w:tc>
        <w:tc>
          <w:tcPr>
            <w:tcW w:w="460" w:type="dxa"/>
            <w:vAlign w:val="bottom"/>
            <w:shd w:val="clear" w:color="auto" w:fill="DCE2EF"/>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0.69</w:t>
            </w:r>
          </w:p>
        </w:tc>
      </w:tr>
      <w:tr>
        <w:trPr>
          <w:trHeight w:val="155"/>
        </w:trPr>
        <w:tc>
          <w:tcPr>
            <w:tcW w:w="6480" w:type="dxa"/>
            <w:vAlign w:val="bottom"/>
            <w:gridSpan w:val="3"/>
          </w:tcPr>
          <w:p>
            <w:pPr>
              <w:ind w:left="20"/>
              <w:spacing w:after="0" w:line="155" w:lineRule="exact"/>
              <w:rPr>
                <w:sz w:val="20"/>
                <w:szCs w:val="20"/>
                <w:color w:val="auto"/>
              </w:rPr>
            </w:pPr>
            <w:r>
              <w:rPr>
                <w:rFonts w:ascii="Arial" w:cs="Arial" w:eastAsia="Arial" w:hAnsi="Arial"/>
                <w:sz w:val="15"/>
                <w:szCs w:val="15"/>
                <w:b w:val="1"/>
                <w:bCs w:val="1"/>
                <w:color w:val="auto"/>
              </w:rPr>
              <w:t>Weighted-average common and common equivalent</w:t>
            </w:r>
          </w:p>
        </w:tc>
        <w:tc>
          <w:tcPr>
            <w:tcW w:w="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6460" w:type="dxa"/>
            <w:vAlign w:val="bottom"/>
            <w:gridSpan w:val="2"/>
          </w:tcPr>
          <w:p>
            <w:pPr>
              <w:ind w:left="120"/>
              <w:spacing w:after="0"/>
              <w:rPr>
                <w:sz w:val="20"/>
                <w:szCs w:val="20"/>
                <w:color w:val="auto"/>
              </w:rPr>
            </w:pPr>
            <w:r>
              <w:rPr>
                <w:rFonts w:ascii="Arial" w:cs="Arial" w:eastAsia="Arial" w:hAnsi="Arial"/>
                <w:sz w:val="15"/>
                <w:szCs w:val="15"/>
                <w:b w:val="1"/>
                <w:bCs w:val="1"/>
                <w:color w:val="auto"/>
              </w:rPr>
              <w:t>shares outstanding</w:t>
            </w: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6"/>
        </w:trPr>
        <w:tc>
          <w:tcPr>
            <w:tcW w:w="20" w:type="dxa"/>
            <w:vAlign w:val="bottom"/>
            <w:shd w:val="clear" w:color="auto" w:fill="DCE2EF"/>
          </w:tcPr>
          <w:p>
            <w:pPr>
              <w:spacing w:after="0"/>
              <w:rPr>
                <w:sz w:val="17"/>
                <w:szCs w:val="17"/>
                <w:color w:val="auto"/>
              </w:rPr>
            </w:pPr>
          </w:p>
        </w:tc>
        <w:tc>
          <w:tcPr>
            <w:tcW w:w="646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Basic</w:t>
            </w:r>
          </w:p>
        </w:tc>
        <w:tc>
          <w:tcPr>
            <w:tcW w:w="500" w:type="dxa"/>
            <w:vAlign w:val="bottom"/>
            <w:shd w:val="clear" w:color="auto" w:fill="DCE2EF"/>
          </w:tcPr>
          <w:p>
            <w:pPr>
              <w:spacing w:after="0"/>
              <w:rPr>
                <w:sz w:val="17"/>
                <w:szCs w:val="17"/>
                <w:color w:val="auto"/>
              </w:rPr>
            </w:pPr>
          </w:p>
        </w:tc>
        <w:tc>
          <w:tcPr>
            <w:tcW w:w="16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60.3</w:t>
            </w:r>
          </w:p>
        </w:tc>
        <w:tc>
          <w:tcPr>
            <w:tcW w:w="8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62.7</w:t>
            </w:r>
          </w:p>
        </w:tc>
      </w:tr>
      <w:tr>
        <w:trPr>
          <w:trHeight w:val="205"/>
        </w:trPr>
        <w:tc>
          <w:tcPr>
            <w:tcW w:w="20" w:type="dxa"/>
            <w:vAlign w:val="bottom"/>
          </w:tcPr>
          <w:p>
            <w:pPr>
              <w:spacing w:after="0"/>
              <w:rPr>
                <w:sz w:val="17"/>
                <w:szCs w:val="17"/>
                <w:color w:val="auto"/>
              </w:rPr>
            </w:pPr>
          </w:p>
        </w:tc>
        <w:tc>
          <w:tcPr>
            <w:tcW w:w="646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5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60.7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63.2</w:t>
            </w: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600" w:top="1204" w:right="599" w:bottom="1440" w:gutter="0" w:footer="0" w:header="0"/>
        </w:sectPr>
      </w:pPr>
    </w:p>
    <w:bookmarkStart w:id="7" w:name="page8"/>
    <w:bookmarkEnd w:id="7"/>
    <w:p>
      <w:pPr>
        <w:ind w:left="33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2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0046AD"/>
        </w:rPr>
        <w:t>CONSOLIDATED STATEMENTS OF STOCKHOLDERS’ EQUITY</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0046AD"/>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Three Months Ended January 31,</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8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rPr>
              <w:t>2026</w:t>
            </w:r>
          </w:p>
        </w:tc>
        <w:tc>
          <w:tcPr>
            <w:tcW w:w="980" w:type="dxa"/>
            <w:vAlign w:val="bottom"/>
          </w:tcPr>
          <w:p>
            <w:pPr>
              <w:spacing w:after="0"/>
              <w:rPr>
                <w:sz w:val="17"/>
                <w:szCs w:val="17"/>
                <w:color w:val="auto"/>
              </w:rPr>
            </w:pPr>
          </w:p>
        </w:tc>
        <w:tc>
          <w:tcPr>
            <w:tcW w:w="1580" w:type="dxa"/>
            <w:vAlign w:val="bottom"/>
            <w:gridSpan w:val="4"/>
          </w:tcPr>
          <w:p>
            <w:pPr>
              <w:jc w:val="right"/>
              <w:ind w:right="3"/>
              <w:spacing w:after="0"/>
              <w:rPr>
                <w:sz w:val="20"/>
                <w:szCs w:val="20"/>
                <w:color w:val="auto"/>
              </w:rPr>
            </w:pPr>
            <w:r>
              <w:rPr>
                <w:rFonts w:ascii="Arial" w:cs="Arial" w:eastAsia="Arial" w:hAnsi="Arial"/>
                <w:sz w:val="15"/>
                <w:szCs w:val="15"/>
                <w:b w:val="1"/>
                <w:bCs w:val="1"/>
                <w:color w:val="auto"/>
              </w:rPr>
              <w:t>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02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1260" w:type="dxa"/>
            <w:vAlign w:val="bottom"/>
            <w:tcBorders>
              <w:top w:val="single" w:sz="8" w:color="auto"/>
            </w:tcBorders>
            <w:gridSpan w:val="2"/>
          </w:tcPr>
          <w:p>
            <w:pPr>
              <w:ind w:left="320"/>
              <w:spacing w:after="0" w:line="161"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43"/>
              <w:spacing w:after="0" w:line="161" w:lineRule="exact"/>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3"/>
                <w:szCs w:val="13"/>
                <w:color w:val="auto"/>
              </w:rPr>
            </w:pPr>
          </w:p>
        </w:tc>
        <w:tc>
          <w:tcPr>
            <w:tcW w:w="1280" w:type="dxa"/>
            <w:vAlign w:val="bottom"/>
            <w:tcBorders>
              <w:top w:val="single" w:sz="8" w:color="auto"/>
            </w:tcBorders>
            <w:gridSpan w:val="2"/>
          </w:tcPr>
          <w:p>
            <w:pPr>
              <w:ind w:left="340"/>
              <w:spacing w:after="0" w:line="161"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23"/>
              <w:spacing w:after="0" w:line="161" w:lineRule="exact"/>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3580" w:type="dxa"/>
            <w:vAlign w:val="bottom"/>
            <w:tcBorders>
              <w:bottom w:val="single" w:sz="8" w:color="DCE2E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Common Stock</w:t>
            </w:r>
          </w:p>
        </w:tc>
        <w:tc>
          <w:tcPr>
            <w:tcW w:w="11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98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5"/>
                <w:szCs w:val="15"/>
                <w:color w:val="auto"/>
              </w:rPr>
              <w:t>Balance, beginning of period</w:t>
            </w:r>
          </w:p>
        </w:tc>
        <w:tc>
          <w:tcPr>
            <w:tcW w:w="1160" w:type="dxa"/>
            <w:vAlign w:val="bottom"/>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1260" w:type="dxa"/>
            <w:vAlign w:val="bottom"/>
            <w:gridSpan w:val="2"/>
          </w:tcPr>
          <w:p>
            <w:pPr>
              <w:jc w:val="right"/>
              <w:ind w:right="3"/>
              <w:spacing w:after="0"/>
              <w:rPr>
                <w:sz w:val="20"/>
                <w:szCs w:val="20"/>
                <w:color w:val="auto"/>
              </w:rPr>
            </w:pPr>
            <w:r>
              <w:rPr>
                <w:rFonts w:ascii="Arial" w:cs="Arial" w:eastAsia="Arial" w:hAnsi="Arial"/>
                <w:sz w:val="15"/>
                <w:szCs w:val="15"/>
                <w:color w:val="auto"/>
              </w:rPr>
              <w:t>62.2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Stock issued under employee stock purchase and share-based compensation plans</w:t>
            </w:r>
          </w:p>
        </w:tc>
        <w:tc>
          <w:tcPr>
            <w:tcW w:w="11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DCE2EF"/>
          </w:tcPr>
          <w:p>
            <w:pPr>
              <w:jc w:val="right"/>
              <w:ind w:right="3"/>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5"/>
                <w:szCs w:val="15"/>
                <w:color w:val="auto"/>
              </w:rPr>
              <w:t>Repurchase of common stock, including excise tax</w:t>
            </w:r>
          </w:p>
        </w:tc>
        <w:tc>
          <w:tcPr>
            <w:tcW w:w="116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Borders>
              <w:top w:val="single" w:sz="8" w:color="DCE2EF"/>
            </w:tcBorders>
            <w:shd w:val="clear" w:color="auto" w:fill="DCE2EF"/>
          </w:tcPr>
          <w:p>
            <w:pPr>
              <w:spacing w:after="0"/>
              <w:rPr>
                <w:sz w:val="17"/>
                <w:szCs w:val="17"/>
                <w:color w:val="auto"/>
              </w:rPr>
            </w:pPr>
          </w:p>
        </w:tc>
        <w:tc>
          <w:tcPr>
            <w:tcW w:w="6000" w:type="dxa"/>
            <w:vAlign w:val="bottom"/>
            <w:tcBorders>
              <w:top w:val="single" w:sz="8" w:color="DCE2EF"/>
            </w:tcBorders>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11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58.6</w:t>
            </w:r>
          </w:p>
        </w:tc>
        <w:tc>
          <w:tcPr>
            <w:tcW w:w="100" w:type="dxa"/>
            <w:vAlign w:val="bottom"/>
            <w:tcBorders>
              <w:top w:val="single" w:sz="8" w:color="auto"/>
            </w:tcBorders>
            <w:shd w:val="clear" w:color="auto" w:fill="DCE2EF"/>
          </w:tcPr>
          <w:p>
            <w:pPr>
              <w:spacing w:after="0"/>
              <w:rPr>
                <w:sz w:val="17"/>
                <w:szCs w:val="17"/>
                <w:color w:val="auto"/>
              </w:rPr>
            </w:pPr>
          </w:p>
        </w:tc>
        <w:tc>
          <w:tcPr>
            <w:tcW w:w="220" w:type="dxa"/>
            <w:vAlign w:val="bottom"/>
            <w:tcBorders>
              <w:top w:val="single" w:sz="8" w:color="auto"/>
            </w:tcBorders>
            <w:shd w:val="clear" w:color="auto" w:fill="DCE2EF"/>
          </w:tcPr>
          <w:p>
            <w:pPr>
              <w:spacing w:after="0"/>
              <w:rPr>
                <w:sz w:val="17"/>
                <w:szCs w:val="17"/>
                <w:color w:val="auto"/>
              </w:rPr>
            </w:pPr>
          </w:p>
        </w:tc>
        <w:tc>
          <w:tcPr>
            <w:tcW w:w="98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1260" w:type="dxa"/>
            <w:vAlign w:val="bottom"/>
            <w:tcBorders>
              <w:top w:val="single" w:sz="8" w:color="auto"/>
            </w:tcBorders>
            <w:gridSpan w:val="2"/>
            <w:shd w:val="clear" w:color="auto" w:fill="DCE2EF"/>
          </w:tcPr>
          <w:p>
            <w:pPr>
              <w:jc w:val="right"/>
              <w:ind w:right="3"/>
              <w:spacing w:after="0"/>
              <w:rPr>
                <w:sz w:val="20"/>
                <w:szCs w:val="20"/>
                <w:color w:val="auto"/>
              </w:rPr>
            </w:pPr>
            <w:r>
              <w:rPr>
                <w:rFonts w:ascii="Arial" w:cs="Arial" w:eastAsia="Arial" w:hAnsi="Arial"/>
                <w:sz w:val="15"/>
                <w:szCs w:val="15"/>
                <w:color w:val="auto"/>
              </w:rPr>
              <w:t>62.2</w:t>
            </w:r>
          </w:p>
        </w:tc>
        <w:tc>
          <w:tcPr>
            <w:tcW w:w="100" w:type="dxa"/>
            <w:vAlign w:val="bottom"/>
            <w:tcBorders>
              <w:top w:val="single" w:sz="8" w:color="auto"/>
            </w:tcBorders>
            <w:shd w:val="clear" w:color="auto" w:fill="DCE2EF"/>
          </w:tcPr>
          <w:p>
            <w:pPr>
              <w:spacing w:after="0"/>
              <w:rPr>
                <w:sz w:val="17"/>
                <w:szCs w:val="17"/>
                <w:color w:val="auto"/>
              </w:rPr>
            </w:pPr>
          </w:p>
        </w:tc>
        <w:tc>
          <w:tcPr>
            <w:tcW w:w="220" w:type="dxa"/>
            <w:vAlign w:val="bottom"/>
            <w:tcBorders>
              <w:top w:val="single" w:sz="8" w:color="auto"/>
            </w:tcBorders>
            <w:shd w:val="clear" w:color="auto" w:fill="DCE2EF"/>
          </w:tcPr>
          <w:p>
            <w:pPr>
              <w:spacing w:after="0"/>
              <w:rPr>
                <w:sz w:val="17"/>
                <w:szCs w:val="17"/>
                <w:color w:val="auto"/>
              </w:rPr>
            </w:pPr>
          </w:p>
        </w:tc>
        <w:tc>
          <w:tcPr>
            <w:tcW w:w="980" w:type="dxa"/>
            <w:vAlign w:val="bottom"/>
            <w:tcBorders>
              <w:top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0.6</w:t>
            </w:r>
          </w:p>
        </w:tc>
        <w:tc>
          <w:tcPr>
            <w:tcW w:w="80" w:type="dxa"/>
            <w:vAlign w:val="bottom"/>
            <w:tcBorders>
              <w:top w:val="single" w:sz="8" w:color="DCE2EF"/>
            </w:tcBorders>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20" w:type="dxa"/>
            <w:vAlign w:val="bottom"/>
            <w:gridSpan w:val="3"/>
          </w:tcPr>
          <w:p>
            <w:pPr>
              <w:ind w:left="20"/>
              <w:spacing w:after="0"/>
              <w:rPr>
                <w:sz w:val="20"/>
                <w:szCs w:val="20"/>
                <w:color w:val="auto"/>
              </w:rPr>
            </w:pPr>
            <w:r>
              <w:rPr>
                <w:rFonts w:ascii="Arial" w:cs="Arial" w:eastAsia="Arial" w:hAnsi="Arial"/>
                <w:sz w:val="15"/>
                <w:szCs w:val="15"/>
                <w:b w:val="1"/>
                <w:bCs w:val="1"/>
                <w:color w:val="auto"/>
              </w:rPr>
              <w:t>Additional Paid-in Capital</w:t>
            </w: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437.4</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527.4</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Taxes withheld under employee stock purchase and share-based compensation</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tcPr>
          <w:p>
            <w:pPr>
              <w:ind w:left="280"/>
              <w:spacing w:after="0"/>
              <w:rPr>
                <w:sz w:val="20"/>
                <w:szCs w:val="20"/>
                <w:color w:val="auto"/>
              </w:rPr>
            </w:pPr>
            <w:r>
              <w:rPr>
                <w:rFonts w:ascii="Arial" w:cs="Arial" w:eastAsia="Arial" w:hAnsi="Arial"/>
                <w:sz w:val="15"/>
                <w:szCs w:val="15"/>
                <w:color w:val="auto"/>
              </w:rPr>
              <w:t>plans, net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Share-based compensation expense</w:t>
            </w:r>
          </w:p>
        </w:tc>
        <w:tc>
          <w:tcPr>
            <w:tcW w:w="11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11.8</w:t>
            </w:r>
          </w:p>
        </w:tc>
        <w:tc>
          <w:tcPr>
            <w:tcW w:w="80" w:type="dxa"/>
            <w:vAlign w:val="bottom"/>
            <w:shd w:val="clear" w:color="auto" w:fill="DCE2EF"/>
          </w:tcPr>
          <w:p>
            <w:pPr>
              <w:spacing w:after="0"/>
              <w:rPr>
                <w:sz w:val="18"/>
                <w:szCs w:val="18"/>
                <w:color w:val="auto"/>
              </w:rPr>
            </w:pPr>
          </w:p>
        </w:tc>
        <w:tc>
          <w:tcPr>
            <w:tcW w:w="11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10.5</w:t>
            </w:r>
          </w:p>
        </w:tc>
        <w:tc>
          <w:tcPr>
            <w:tcW w:w="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6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Repurchase of common stock, including excise tax</w:t>
            </w:r>
          </w:p>
        </w:tc>
        <w:tc>
          <w:tcPr>
            <w:tcW w:w="11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80" w:type="dxa"/>
            <w:vAlign w:val="bottom"/>
            <w:tcBorders>
              <w:bottom w:val="single" w:sz="8" w:color="DCE2EF"/>
            </w:tcBorders>
          </w:tcPr>
          <w:p>
            <w:pPr>
              <w:spacing w:after="0"/>
              <w:rPr>
                <w:sz w:val="17"/>
                <w:szCs w:val="17"/>
                <w:color w:val="auto"/>
              </w:rPr>
            </w:pPr>
          </w:p>
        </w:tc>
        <w:tc>
          <w:tcPr>
            <w:tcW w:w="11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80" w:type="dxa"/>
            <w:vAlign w:val="bottom"/>
            <w:tcBorders>
              <w:bottom w:val="single" w:sz="8" w:color="DCE2E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347.5</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506.8</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gridSpan w:val="2"/>
          </w:tcPr>
          <w:p>
            <w:pPr>
              <w:ind w:left="60"/>
              <w:spacing w:after="0"/>
              <w:rPr>
                <w:sz w:val="20"/>
                <w:szCs w:val="20"/>
                <w:color w:val="auto"/>
              </w:rPr>
            </w:pPr>
            <w:r>
              <w:rPr>
                <w:rFonts w:ascii="Arial" w:cs="Arial" w:eastAsia="Arial" w:hAnsi="Arial"/>
                <w:sz w:val="15"/>
                <w:szCs w:val="15"/>
                <w:b w:val="1"/>
                <w:bCs w:val="1"/>
                <w:color w:val="auto"/>
              </w:rPr>
              <w:t>Accumulated Other Comprehensive Loss, Net of Taxes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(20.5)</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(19.1)</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6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Other comprehensive (loss) / income</w:t>
            </w:r>
          </w:p>
        </w:tc>
        <w:tc>
          <w:tcPr>
            <w:tcW w:w="11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w:t>
            </w:r>
          </w:p>
        </w:tc>
        <w:tc>
          <w:tcPr>
            <w:tcW w:w="80" w:type="dxa"/>
            <w:vAlign w:val="bottom"/>
            <w:tcBorders>
              <w:bottom w:val="single" w:sz="8" w:color="DCE2EF"/>
            </w:tcBorders>
          </w:tcPr>
          <w:p>
            <w:pPr>
              <w:spacing w:after="0"/>
              <w:rPr>
                <w:sz w:val="17"/>
                <w:szCs w:val="17"/>
                <w:color w:val="auto"/>
              </w:rPr>
            </w:pPr>
          </w:p>
        </w:tc>
        <w:tc>
          <w:tcPr>
            <w:tcW w:w="11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80" w:type="dxa"/>
            <w:vAlign w:val="bottom"/>
            <w:tcBorders>
              <w:bottom w:val="single" w:sz="8" w:color="DCE2E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end of period</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(12.3)</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(27.5)</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20" w:type="dxa"/>
            <w:vAlign w:val="bottom"/>
            <w:gridSpan w:val="3"/>
          </w:tcPr>
          <w:p>
            <w:pPr>
              <w:ind w:left="20"/>
              <w:spacing w:after="0"/>
              <w:rPr>
                <w:sz w:val="20"/>
                <w:szCs w:val="20"/>
                <w:color w:val="auto"/>
              </w:rPr>
            </w:pPr>
            <w:r>
              <w:rPr>
                <w:rFonts w:ascii="Arial" w:cs="Arial" w:eastAsia="Arial" w:hAnsi="Arial"/>
                <w:sz w:val="15"/>
                <w:szCs w:val="15"/>
                <w:b w:val="1"/>
                <w:bCs w:val="1"/>
                <w:color w:val="auto"/>
              </w:rPr>
              <w:t>Retained Earnings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Balance, beginning of period</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1,368.1</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1,272.9</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gridSpan w:val="2"/>
          </w:tcPr>
          <w:p>
            <w:pPr>
              <w:ind w:left="120"/>
              <w:spacing w:after="0"/>
              <w:rPr>
                <w:sz w:val="20"/>
                <w:szCs w:val="20"/>
                <w:color w:val="auto"/>
              </w:rPr>
            </w:pPr>
            <w:r>
              <w:rPr>
                <w:rFonts w:ascii="Arial" w:cs="Arial" w:eastAsia="Arial" w:hAnsi="Arial"/>
                <w:sz w:val="15"/>
                <w:szCs w:val="15"/>
                <w:color w:val="auto"/>
              </w:rPr>
              <w:t>Net income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38.8</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60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Dividends</w:t>
            </w:r>
          </w:p>
        </w:tc>
        <w:tc>
          <w:tcPr>
            <w:tcW w:w="11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1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98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 xml:space="preserve">Common stock </w:t>
            </w:r>
            <w:r>
              <w:rPr>
                <w:rFonts w:ascii="Arial" w:cs="Arial" w:eastAsia="Arial" w:hAnsi="Arial"/>
                <w:sz w:val="20"/>
                <w:szCs w:val="20"/>
                <w:color w:val="auto"/>
                <w:vertAlign w:val="superscript"/>
              </w:rPr>
              <w:t>(1)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600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Stock issued under share-based compensation plans</w:t>
            </w:r>
          </w:p>
        </w:tc>
        <w:tc>
          <w:tcPr>
            <w:tcW w:w="11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DCE2EF"/>
          </w:tcPr>
          <w:p>
            <w:pPr>
              <w:spacing w:after="0"/>
              <w:rPr>
                <w:sz w:val="17"/>
                <w:szCs w:val="17"/>
                <w:color w:val="auto"/>
              </w:rPr>
            </w:pPr>
          </w:p>
        </w:tc>
        <w:tc>
          <w:tcPr>
            <w:tcW w:w="11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spacing w:after="0"/>
              <w:rPr>
                <w:sz w:val="17"/>
                <w:szCs w:val="17"/>
                <w:color w:val="auto"/>
              </w:rPr>
            </w:pP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(0.8)</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600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Balance, end of period</w:t>
            </w:r>
          </w:p>
        </w:tc>
        <w:tc>
          <w:tcPr>
            <w:tcW w:w="116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1,388.6</w:t>
            </w:r>
          </w:p>
        </w:tc>
        <w:tc>
          <w:tcPr>
            <w:tcW w:w="80" w:type="dxa"/>
            <w:vAlign w:val="bottom"/>
            <w:tcBorders>
              <w:bottom w:val="single" w:sz="8" w:color="DCE2EF"/>
            </w:tcBorders>
          </w:tcPr>
          <w:p>
            <w:pPr>
              <w:spacing w:after="0"/>
              <w:rPr>
                <w:sz w:val="17"/>
                <w:szCs w:val="17"/>
                <w:color w:val="auto"/>
              </w:rPr>
            </w:pPr>
          </w:p>
        </w:tc>
        <w:tc>
          <w:tcPr>
            <w:tcW w:w="1180" w:type="dxa"/>
            <w:vAlign w:val="bottom"/>
            <w:tcBorders>
              <w:bottom w:val="single" w:sz="8" w:color="DCE2EF"/>
            </w:tcBorders>
          </w:tcPr>
          <w:p>
            <w:pPr>
              <w:spacing w:after="0"/>
              <w:rPr>
                <w:sz w:val="17"/>
                <w:szCs w:val="17"/>
                <w:color w:val="auto"/>
              </w:rPr>
            </w:pPr>
          </w:p>
        </w:tc>
        <w:tc>
          <w:tcPr>
            <w:tcW w:w="100" w:type="dxa"/>
            <w:vAlign w:val="bottom"/>
            <w:tcBorders>
              <w:bottom w:val="single" w:sz="8" w:color="DCE2E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1,299.3</w:t>
            </w:r>
          </w:p>
        </w:tc>
        <w:tc>
          <w:tcPr>
            <w:tcW w:w="80" w:type="dxa"/>
            <w:vAlign w:val="bottom"/>
            <w:tcBorders>
              <w:bottom w:val="single" w:sz="8" w:color="DCE2E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1160" w:type="dxa"/>
            <w:vAlign w:val="bottom"/>
            <w:tcBorders>
              <w:bottom w:val="single" w:sz="8" w:color="DCE2EF"/>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22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1,724.3</w:t>
            </w:r>
          </w:p>
        </w:tc>
        <w:tc>
          <w:tcPr>
            <w:tcW w:w="80" w:type="dxa"/>
            <w:vAlign w:val="bottom"/>
            <w:tcBorders>
              <w:bottom w:val="single" w:sz="8" w:color="DCE2EF"/>
            </w:tcBorders>
            <w:shd w:val="clear" w:color="auto" w:fill="DCE2EF"/>
          </w:tcPr>
          <w:p>
            <w:pPr>
              <w:spacing w:after="0"/>
              <w:rPr>
                <w:sz w:val="19"/>
                <w:szCs w:val="19"/>
                <w:color w:val="auto"/>
              </w:rPr>
            </w:pPr>
          </w:p>
        </w:tc>
        <w:tc>
          <w:tcPr>
            <w:tcW w:w="1180" w:type="dxa"/>
            <w:vAlign w:val="bottom"/>
            <w:tcBorders>
              <w:bottom w:val="single" w:sz="8" w:color="DCE2EF"/>
            </w:tcBorders>
            <w:shd w:val="clear" w:color="auto" w:fill="DCE2EF"/>
          </w:tcPr>
          <w:p>
            <w:pPr>
              <w:spacing w:after="0"/>
              <w:rPr>
                <w:sz w:val="19"/>
                <w:szCs w:val="19"/>
                <w:color w:val="auto"/>
              </w:rPr>
            </w:pPr>
          </w:p>
        </w:tc>
        <w:tc>
          <w:tcPr>
            <w:tcW w:w="100" w:type="dxa"/>
            <w:vAlign w:val="bottom"/>
            <w:tcBorders>
              <w:bottom w:val="single" w:sz="8" w:color="DCE2EF"/>
            </w:tcBorders>
            <w:shd w:val="clear" w:color="auto" w:fill="DCE2EF"/>
          </w:tcPr>
          <w:p>
            <w:pPr>
              <w:spacing w:after="0"/>
              <w:rPr>
                <w:sz w:val="19"/>
                <w:szCs w:val="19"/>
                <w:color w:val="auto"/>
              </w:rPr>
            </w:pPr>
          </w:p>
        </w:tc>
        <w:tc>
          <w:tcPr>
            <w:tcW w:w="22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1,779.2</w:t>
            </w:r>
          </w:p>
        </w:tc>
        <w:tc>
          <w:tcPr>
            <w:tcW w:w="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3580" w:type="dxa"/>
            <w:vAlign w:val="bottom"/>
            <w:tcBorders>
              <w:top w:val="single" w:sz="8" w:color="DCE2EF"/>
            </w:tcBorders>
          </w:tcPr>
          <w:p>
            <w:pPr>
              <w:spacing w:after="0" w:line="20" w:lineRule="exact"/>
              <w:rPr>
                <w:sz w:val="1"/>
                <w:szCs w:val="1"/>
                <w:color w:val="auto"/>
              </w:rPr>
            </w:pPr>
          </w:p>
        </w:tc>
        <w:tc>
          <w:tcPr>
            <w:tcW w:w="116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18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Cash dividends declared per common share were $0.290 and $0.265 for the three months ended January 31, 2026 and 2025, respectively.</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191" w:right="459" w:bottom="1440" w:gutter="0" w:footer="0" w:header="0"/>
        </w:sectPr>
      </w:pPr>
    </w:p>
    <w:bookmarkStart w:id="8" w:name="page9"/>
    <w:bookmarkEnd w:id="8"/>
    <w:p>
      <w:pPr>
        <w:ind w:left="3020"/>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0046AD"/>
        </w:rPr>
        <w:t>CONSOLIDATED STATEMENTS OF CASH FLOWS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46AD"/>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5"/>
                <w:szCs w:val="15"/>
                <w:b w:val="1"/>
                <w:bCs w:val="1"/>
                <w:color w:val="auto"/>
              </w:rPr>
              <w:t>Three Months Ended January 31,</w:t>
            </w:r>
          </w:p>
        </w:tc>
      </w:tr>
      <w:tr>
        <w:trPr>
          <w:trHeight w:val="160"/>
        </w:trPr>
        <w:tc>
          <w:tcPr>
            <w:tcW w:w="20" w:type="dxa"/>
            <w:vAlign w:val="bottom"/>
          </w:tcPr>
          <w:p>
            <w:pPr>
              <w:spacing w:after="0"/>
              <w:rPr>
                <w:sz w:val="13"/>
                <w:szCs w:val="13"/>
                <w:color w:val="auto"/>
              </w:rPr>
            </w:pPr>
          </w:p>
        </w:tc>
        <w:tc>
          <w:tcPr>
            <w:tcW w:w="71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300" w:type="dxa"/>
            <w:vAlign w:val="bottom"/>
          </w:tcPr>
          <w:p>
            <w:pPr>
              <w:spacing w:after="0"/>
              <w:rPr>
                <w:sz w:val="13"/>
                <w:szCs w:val="13"/>
                <w:color w:val="auto"/>
              </w:rPr>
            </w:pPr>
          </w:p>
        </w:tc>
        <w:tc>
          <w:tcPr>
            <w:tcW w:w="138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603"/>
              <w:spacing w:after="0" w:line="161" w:lineRule="exact"/>
              <w:rPr>
                <w:sz w:val="20"/>
                <w:szCs w:val="20"/>
                <w:color w:val="auto"/>
              </w:rPr>
            </w:pPr>
            <w:r>
              <w:rPr>
                <w:rFonts w:ascii="Arial" w:cs="Arial" w:eastAsia="Arial" w:hAnsi="Arial"/>
                <w:sz w:val="15"/>
                <w:szCs w:val="15"/>
                <w:b w:val="1"/>
                <w:bCs w:val="1"/>
                <w:color w:val="auto"/>
              </w:rPr>
              <w:t>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DCE2EF"/>
          </w:tcPr>
          <w:p>
            <w:pPr>
              <w:spacing w:after="0"/>
              <w:rPr>
                <w:sz w:val="16"/>
                <w:szCs w:val="16"/>
                <w:color w:val="auto"/>
              </w:rPr>
            </w:pPr>
          </w:p>
        </w:tc>
        <w:tc>
          <w:tcPr>
            <w:tcW w:w="13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17"/>
                <w:szCs w:val="17"/>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43.6</w:t>
            </w:r>
          </w:p>
        </w:tc>
      </w:tr>
      <w:tr>
        <w:trPr>
          <w:trHeight w:val="155"/>
        </w:trPr>
        <w:tc>
          <w:tcPr>
            <w:tcW w:w="20" w:type="dxa"/>
            <w:vAlign w:val="bottom"/>
            <w:shd w:val="clear" w:color="auto" w:fill="DCE2EF"/>
          </w:tcPr>
          <w:p>
            <w:pPr>
              <w:spacing w:after="0"/>
              <w:rPr>
                <w:sz w:val="13"/>
                <w:szCs w:val="13"/>
                <w:color w:val="auto"/>
              </w:rPr>
            </w:pPr>
          </w:p>
        </w:tc>
        <w:tc>
          <w:tcPr>
            <w:tcW w:w="7180" w:type="dxa"/>
            <w:vAlign w:val="bottom"/>
            <w:gridSpan w:val="2"/>
            <w:shd w:val="clear" w:color="auto" w:fill="DCE2EF"/>
          </w:tcPr>
          <w:p>
            <w:pPr>
              <w:spacing w:after="0" w:line="156" w:lineRule="exact"/>
              <w:rPr>
                <w:sz w:val="20"/>
                <w:szCs w:val="20"/>
                <w:color w:val="auto"/>
              </w:rPr>
            </w:pPr>
            <w:r>
              <w:rPr>
                <w:rFonts w:ascii="Arial" w:cs="Arial" w:eastAsia="Arial" w:hAnsi="Arial"/>
                <w:sz w:val="15"/>
                <w:szCs w:val="15"/>
                <w:b w:val="1"/>
                <w:bCs w:val="1"/>
                <w:color w:val="auto"/>
              </w:rPr>
              <w:t>Adjustments to reconcile net income to net cash provided by operating</w:t>
            </w:r>
          </w:p>
        </w:tc>
        <w:tc>
          <w:tcPr>
            <w:tcW w:w="300" w:type="dxa"/>
            <w:vAlign w:val="bottom"/>
            <w:shd w:val="clear" w:color="auto" w:fill="DCE2EF"/>
          </w:tcPr>
          <w:p>
            <w:pPr>
              <w:spacing w:after="0"/>
              <w:rPr>
                <w:sz w:val="13"/>
                <w:szCs w:val="13"/>
                <w:color w:val="auto"/>
              </w:rPr>
            </w:pPr>
          </w:p>
        </w:tc>
        <w:tc>
          <w:tcPr>
            <w:tcW w:w="138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300" w:type="dxa"/>
            <w:vAlign w:val="bottom"/>
            <w:shd w:val="clear" w:color="auto" w:fill="DCE2EF"/>
          </w:tcPr>
          <w:p>
            <w:pPr>
              <w:spacing w:after="0"/>
              <w:rPr>
                <w:sz w:val="13"/>
                <w:szCs w:val="13"/>
                <w:color w:val="auto"/>
              </w:rPr>
            </w:pP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ind w:left="160"/>
              <w:spacing w:after="0"/>
              <w:rPr>
                <w:sz w:val="20"/>
                <w:szCs w:val="20"/>
                <w:color w:val="auto"/>
              </w:rPr>
            </w:pPr>
            <w:r>
              <w:rPr>
                <w:rFonts w:ascii="Arial" w:cs="Arial" w:eastAsia="Arial" w:hAnsi="Arial"/>
                <w:sz w:val="15"/>
                <w:szCs w:val="15"/>
                <w:b w:val="1"/>
                <w:bCs w:val="1"/>
                <w:color w:val="auto"/>
              </w:rPr>
              <w:t>activities</w:t>
            </w:r>
          </w:p>
        </w:tc>
        <w:tc>
          <w:tcPr>
            <w:tcW w:w="300" w:type="dxa"/>
            <w:vAlign w:val="bottom"/>
            <w:shd w:val="clear" w:color="auto" w:fill="DCE2EF"/>
          </w:tcPr>
          <w:p>
            <w:pPr>
              <w:spacing w:after="0"/>
              <w:rPr>
                <w:sz w:val="17"/>
                <w:szCs w:val="17"/>
                <w:color w:val="auto"/>
              </w:rPr>
            </w:pPr>
          </w:p>
        </w:tc>
        <w:tc>
          <w:tcPr>
            <w:tcW w:w="13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25.9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Share-based compensation expense</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10.5</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Provision for bad debt</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0.7</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Discount accretion on insurance claims</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0.2</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Gain on sale of assets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(0.1)</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Income from unconsolidated affiliates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Trade accounts receivable and costs incurred in excess of amounts billed</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(139.7)</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0.7</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Right-of-use assets</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Other noncurrent assets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(5.2)</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Trade accounts payable and other accrued liabilities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(58.2)</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Long-term lease liabilities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w:t>
            </w:r>
          </w:p>
        </w:tc>
      </w:tr>
      <w:tr>
        <w:trPr>
          <w:trHeight w:val="205"/>
        </w:trPr>
        <w:tc>
          <w:tcPr>
            <w:tcW w:w="20" w:type="dxa"/>
            <w:vAlign w:val="bottom"/>
          </w:tcPr>
          <w:p>
            <w:pPr>
              <w:spacing w:after="0"/>
              <w:rPr>
                <w:sz w:val="17"/>
                <w:szCs w:val="17"/>
                <w:color w:val="auto"/>
              </w:rPr>
            </w:pPr>
          </w:p>
        </w:tc>
        <w:tc>
          <w:tcPr>
            <w:tcW w:w="7180" w:type="dxa"/>
            <w:vAlign w:val="bottom"/>
            <w:gridSpan w:val="2"/>
          </w:tcPr>
          <w:p>
            <w:pPr>
              <w:ind w:left="300"/>
              <w:spacing w:after="0"/>
              <w:rPr>
                <w:sz w:val="20"/>
                <w:szCs w:val="20"/>
                <w:color w:val="auto"/>
              </w:rPr>
            </w:pPr>
            <w:r>
              <w:rPr>
                <w:rFonts w:ascii="Arial" w:cs="Arial" w:eastAsia="Arial" w:hAnsi="Arial"/>
                <w:sz w:val="15"/>
                <w:szCs w:val="15"/>
                <w:color w:val="auto"/>
              </w:rPr>
              <w:t>Insurance claims</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9.5</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Income taxes payable, net</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8.8</w:t>
            </w:r>
          </w:p>
        </w:tc>
      </w:tr>
      <w:tr>
        <w:trPr>
          <w:trHeight w:val="205"/>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r>
      <w:tr>
        <w:trPr>
          <w:trHeight w:val="200"/>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Total adjustments</w:t>
            </w:r>
          </w:p>
        </w:tc>
        <w:tc>
          <w:tcPr>
            <w:tcW w:w="300" w:type="dxa"/>
            <w:vAlign w:val="bottom"/>
            <w:tcBorders>
              <w:bottom w:val="single" w:sz="8" w:color="auto"/>
            </w:tcBorders>
            <w:shd w:val="clear" w:color="auto" w:fill="DCE2EF"/>
          </w:tcPr>
          <w:p>
            <w:pPr>
              <w:spacing w:after="0"/>
              <w:rPr>
                <w:sz w:val="17"/>
                <w:szCs w:val="17"/>
                <w:color w:val="auto"/>
              </w:rPr>
            </w:pPr>
          </w:p>
        </w:tc>
        <w:tc>
          <w:tcPr>
            <w:tcW w:w="13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(149.8)</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62.0</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(106.2)</w:t>
            </w:r>
          </w:p>
        </w:tc>
      </w:tr>
      <w:tr>
        <w:trPr>
          <w:trHeight w:val="186"/>
        </w:trPr>
        <w:tc>
          <w:tcPr>
            <w:tcW w:w="20" w:type="dxa"/>
            <w:vAlign w:val="bottom"/>
            <w:shd w:val="clear" w:color="auto" w:fill="DCE2EF"/>
          </w:tcPr>
          <w:p>
            <w:pPr>
              <w:spacing w:after="0"/>
              <w:rPr>
                <w:sz w:val="16"/>
                <w:szCs w:val="16"/>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DCE2EF"/>
          </w:tcPr>
          <w:p>
            <w:pPr>
              <w:spacing w:after="0"/>
              <w:rPr>
                <w:sz w:val="16"/>
                <w:szCs w:val="16"/>
                <w:color w:val="auto"/>
              </w:rPr>
            </w:pPr>
          </w:p>
        </w:tc>
        <w:tc>
          <w:tcPr>
            <w:tcW w:w="138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30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Additions to property, plant and equipment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(16.7)</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Proceeds from sale of assets</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0.4</w:t>
            </w:r>
          </w:p>
        </w:tc>
      </w:tr>
      <w:tr>
        <w:trPr>
          <w:trHeight w:val="205"/>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color w:val="auto"/>
              </w:rPr>
              <w:t>Purchase of businesses, net of cash acquired</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w:t>
            </w:r>
          </w:p>
        </w:tc>
      </w:tr>
      <w:tr>
        <w:trPr>
          <w:trHeight w:val="200"/>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300" w:type="dxa"/>
            <w:vAlign w:val="bottom"/>
            <w:tcBorders>
              <w:bottom w:val="single" w:sz="8" w:color="auto"/>
            </w:tcBorders>
            <w:shd w:val="clear" w:color="auto" w:fill="DCE2EF"/>
          </w:tcPr>
          <w:p>
            <w:pPr>
              <w:spacing w:after="0"/>
              <w:rPr>
                <w:sz w:val="17"/>
                <w:szCs w:val="17"/>
                <w:color w:val="auto"/>
              </w:rPr>
            </w:pPr>
          </w:p>
        </w:tc>
        <w:tc>
          <w:tcPr>
            <w:tcW w:w="13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(12.6)</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(14.4)</w:t>
            </w:r>
          </w:p>
        </w:tc>
      </w:tr>
      <w:tr>
        <w:trPr>
          <w:trHeight w:val="186"/>
        </w:trPr>
        <w:tc>
          <w:tcPr>
            <w:tcW w:w="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Taxes withheld from issuance of share-based compensation awards, net</w:t>
            </w:r>
          </w:p>
        </w:tc>
        <w:tc>
          <w:tcPr>
            <w:tcW w:w="300" w:type="dxa"/>
            <w:vAlign w:val="bottom"/>
            <w:shd w:val="clear" w:color="auto" w:fill="DCE2EF"/>
          </w:tcPr>
          <w:p>
            <w:pPr>
              <w:spacing w:after="0"/>
              <w:rPr>
                <w:sz w:val="17"/>
                <w:szCs w:val="17"/>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(10.7)</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Repurchases of common stock, including excise taxes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(21.3)</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Dividends paid</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(16.4)</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Borrowings from debt</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354.5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579.9</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borrowings from debt</w:t>
            </w:r>
          </w:p>
        </w:tc>
        <w:tc>
          <w:tcPr>
            <w:tcW w:w="30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(291.0)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(373.0)</w:t>
            </w:r>
          </w:p>
        </w:tc>
      </w:tr>
      <w:tr>
        <w:trPr>
          <w:trHeight w:val="205"/>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color w:val="auto"/>
              </w:rPr>
              <w:t>Changes in book cash overdrafts</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(40.6)</w:t>
            </w:r>
          </w:p>
        </w:tc>
      </w:tr>
      <w:tr>
        <w:trPr>
          <w:trHeight w:val="207"/>
        </w:trPr>
        <w:tc>
          <w:tcPr>
            <w:tcW w:w="20" w:type="dxa"/>
            <w:vAlign w:val="bottom"/>
            <w:shd w:val="clear" w:color="auto" w:fill="DCE2EF"/>
          </w:tcPr>
          <w:p>
            <w:pPr>
              <w:spacing w:after="0"/>
              <w:rPr>
                <w:sz w:val="18"/>
                <w:szCs w:val="18"/>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color w:val="auto"/>
              </w:rPr>
              <w:t>Repayment of finance lease obligations</w:t>
            </w:r>
          </w:p>
        </w:tc>
        <w:tc>
          <w:tcPr>
            <w:tcW w:w="300" w:type="dxa"/>
            <w:vAlign w:val="bottom"/>
            <w:tcBorders>
              <w:bottom w:val="single" w:sz="8" w:color="auto"/>
            </w:tcBorders>
            <w:shd w:val="clear" w:color="auto" w:fill="DCE2EF"/>
          </w:tcPr>
          <w:p>
            <w:pPr>
              <w:spacing w:after="0"/>
              <w:rPr>
                <w:sz w:val="18"/>
                <w:szCs w:val="18"/>
                <w:color w:val="auto"/>
              </w:rPr>
            </w:pPr>
          </w:p>
        </w:tc>
        <w:tc>
          <w:tcPr>
            <w:tcW w:w="13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w:t>
            </w:r>
          </w:p>
        </w:tc>
      </w:tr>
      <w:tr>
        <w:trPr>
          <w:trHeight w:val="199"/>
        </w:trPr>
        <w:tc>
          <w:tcPr>
            <w:tcW w:w="20" w:type="dxa"/>
            <w:vAlign w:val="bottom"/>
            <w:tcBorders>
              <w:bottom w:val="single" w:sz="8" w:color="DCE2EF"/>
            </w:tcBorders>
          </w:tcPr>
          <w:p>
            <w:pPr>
              <w:spacing w:after="0"/>
              <w:rPr>
                <w:sz w:val="17"/>
                <w:szCs w:val="17"/>
                <w:color w:val="auto"/>
              </w:rPr>
            </w:pPr>
          </w:p>
        </w:tc>
        <w:tc>
          <w:tcPr>
            <w:tcW w:w="7180" w:type="dxa"/>
            <w:vAlign w:val="bottom"/>
            <w:tcBorders>
              <w:bottom w:val="single" w:sz="8" w:color="DCE2EF"/>
            </w:tcBorders>
            <w:gridSpan w:val="2"/>
          </w:tcPr>
          <w:p>
            <w:pPr>
              <w:spacing w:after="0"/>
              <w:rPr>
                <w:sz w:val="20"/>
                <w:szCs w:val="20"/>
                <w:color w:val="auto"/>
              </w:rPr>
            </w:pPr>
            <w:r>
              <w:rPr>
                <w:rFonts w:ascii="Arial" w:cs="Arial" w:eastAsia="Arial" w:hAnsi="Arial"/>
                <w:sz w:val="15"/>
                <w:szCs w:val="15"/>
                <w:b w:val="1"/>
                <w:bCs w:val="1"/>
                <w:color w:val="auto"/>
              </w:rPr>
              <w:t>Net cash (used in) provided by financing activities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116.9</w:t>
            </w:r>
          </w:p>
        </w:tc>
      </w:tr>
      <w:tr>
        <w:trPr>
          <w:trHeight w:val="199"/>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Effect of exchange rate changes on cash and cash equivalents</w:t>
            </w:r>
          </w:p>
        </w:tc>
        <w:tc>
          <w:tcPr>
            <w:tcW w:w="300" w:type="dxa"/>
            <w:vAlign w:val="bottom"/>
            <w:tcBorders>
              <w:bottom w:val="single" w:sz="8" w:color="auto"/>
            </w:tcBorders>
            <w:shd w:val="clear" w:color="auto" w:fill="DCE2EF"/>
          </w:tcPr>
          <w:p>
            <w:pPr>
              <w:spacing w:after="0"/>
              <w:rPr>
                <w:sz w:val="17"/>
                <w:szCs w:val="17"/>
                <w:color w:val="auto"/>
              </w:rPr>
            </w:pPr>
          </w:p>
        </w:tc>
        <w:tc>
          <w:tcPr>
            <w:tcW w:w="13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2.0</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(1.8)</w:t>
            </w:r>
          </w:p>
        </w:tc>
      </w:tr>
      <w:tr>
        <w:trPr>
          <w:trHeight w:val="199"/>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Net decrease in cash and cash equivalents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6"/>
        </w:trPr>
        <w:tc>
          <w:tcPr>
            <w:tcW w:w="20" w:type="dxa"/>
            <w:vAlign w:val="bottom"/>
            <w:shd w:val="clear" w:color="auto" w:fill="DCE2EF"/>
          </w:tcPr>
          <w:p>
            <w:pPr>
              <w:spacing w:after="0"/>
              <w:rPr>
                <w:sz w:val="17"/>
                <w:szCs w:val="17"/>
                <w:color w:val="auto"/>
              </w:rPr>
            </w:pPr>
          </w:p>
        </w:tc>
        <w:tc>
          <w:tcPr>
            <w:tcW w:w="7180" w:type="dxa"/>
            <w:vAlign w:val="bottom"/>
            <w:gridSpan w:val="2"/>
            <w:shd w:val="clear" w:color="auto" w:fill="DCE2EF"/>
          </w:tcPr>
          <w:p>
            <w:pPr>
              <w:spacing w:after="0"/>
              <w:rPr>
                <w:sz w:val="20"/>
                <w:szCs w:val="20"/>
                <w:color w:val="auto"/>
              </w:rPr>
            </w:pPr>
            <w:r>
              <w:rPr>
                <w:rFonts w:ascii="Arial" w:cs="Arial" w:eastAsia="Arial" w:hAnsi="Arial"/>
                <w:sz w:val="15"/>
                <w:szCs w:val="15"/>
                <w:b w:val="1"/>
                <w:bCs w:val="1"/>
                <w:color w:val="auto"/>
              </w:rPr>
              <w:t>Cash and cash equivalents at beginning of year</w:t>
            </w:r>
          </w:p>
        </w:tc>
        <w:tc>
          <w:tcPr>
            <w:tcW w:w="300" w:type="dxa"/>
            <w:vAlign w:val="bottom"/>
            <w:tcBorders>
              <w:bottom w:val="single" w:sz="8" w:color="auto"/>
            </w:tcBorders>
            <w:shd w:val="clear" w:color="auto" w:fill="DCE2EF"/>
          </w:tcPr>
          <w:p>
            <w:pPr>
              <w:spacing w:after="0"/>
              <w:rPr>
                <w:sz w:val="17"/>
                <w:szCs w:val="17"/>
                <w:color w:val="auto"/>
              </w:rPr>
            </w:pPr>
          </w:p>
        </w:tc>
        <w:tc>
          <w:tcPr>
            <w:tcW w:w="138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104.1</w:t>
            </w:r>
          </w:p>
        </w:tc>
        <w:tc>
          <w:tcPr>
            <w:tcW w:w="100" w:type="dxa"/>
            <w:vAlign w:val="bottom"/>
            <w:shd w:val="clear" w:color="auto" w:fill="DCE2EF"/>
          </w:tcPr>
          <w:p>
            <w:pPr>
              <w:spacing w:after="0"/>
              <w:rPr>
                <w:sz w:val="17"/>
                <w:szCs w:val="17"/>
                <w:color w:val="auto"/>
              </w:rPr>
            </w:pPr>
          </w:p>
        </w:tc>
        <w:tc>
          <w:tcPr>
            <w:tcW w:w="380" w:type="dxa"/>
            <w:vAlign w:val="bottom"/>
            <w:tcBorders>
              <w:bottom w:val="single" w:sz="8" w:color="auto"/>
            </w:tcBorders>
            <w:shd w:val="clear" w:color="auto" w:fill="DCE2EF"/>
          </w:tcPr>
          <w:p>
            <w:pPr>
              <w:spacing w:after="0"/>
              <w:rPr>
                <w:sz w:val="17"/>
                <w:szCs w:val="17"/>
                <w:color w:val="auto"/>
              </w:rPr>
            </w:pPr>
          </w:p>
        </w:tc>
        <w:tc>
          <w:tcPr>
            <w:tcW w:w="13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64.6</w:t>
            </w:r>
          </w:p>
        </w:tc>
      </w:tr>
      <w:tr>
        <w:trPr>
          <w:trHeight w:val="199"/>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100.4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620" w:top="1049"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0046AD"/>
        </w:rPr>
        <w:t>ABM INDUSTRIES INCORPORATED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NOTES TO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46AD"/>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71120</wp:posOffset>
            </wp:positionV>
            <wp:extent cx="4968875" cy="843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8875" cy="84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 these groups, we offer janitorial, facilities engineering, parking, and specialized mechanical and electrical technical solutions, on a standalone basis or in combination with other services.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Basis of Presentation</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2025. Unless otherwise indicated, all references to years are to our fiscal years, which end on October 31.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Rounding</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Management Reimbursement Revenue by Segment</w:t>
      </w:r>
    </w:p>
    <w:p>
      <w:pPr>
        <w:spacing w:after="0" w:line="1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for the three months ended January 31, 2026, and January 31, 2025, was $91.0 million and $82.0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Recently Adopted Accounting Standards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recently adopted accounting standards during the three months ended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LMC FM</w:t>
      </w:r>
    </w:p>
    <w:p>
      <w:pPr>
        <w:spacing w:after="0" w:line="1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Effective June 1, 2025, we acquired LMC FM Limited (“LMC”), a Dublin-based facilities services company with coverage across Ireland, for a purchase price of approximately $22.0 million in cash plus the potential of $5.9 million of contingent consideration to be paid in calendar year 2027 upon the retention of the top two customers. The acquisition was accounted for under the acquisition method. Accordingly, the assets acquired and liabilities assumed were recognized on the date of acquisition at their estimated fair values, with the excess of the purchase price recorded as goodwill. The goodwill is not deductible for tax reporting purposes. As of January 31, 2026, we recorded preliminary goodwill and intangibles of $14.1 million and $12.9 million, respectively. The total assets acquired, excluding goodwill and intangibles, and liabilities assumed amounted to $19.8 million and $18.9 million, respectively. The purchase price allocation is subject to adjustments within the measurement period not to exceed one year from the acquisition date.</w:t>
      </w:r>
    </w:p>
    <w:p>
      <w:pPr>
        <w:spacing w:after="0" w:line="12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 unaudited Consolidated Statements of Comprehensive Income for the three months ended January 31, 2026, include revenues of $13.0 million attributable to LMC, which are included in our Technical Solutions segment.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Acquisition of RavenVolt</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w:t>
      </w:r>
    </w:p>
    <w:p>
      <w:pPr>
        <w:spacing w:after="0" w:line="1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purchase price for the acquisition was approximately $ 170.0 million in cash at closing plus the potential of post-closing contingent consideration of up to $ 280.0 million. The estimate of the fair value of the contingent consideration on the date of acquisition was $59.0 million. The post-closing contingent consideration would be payable in cash in calendar years 2024, 2025, and 2026 if RavenVolt’s earnings before interest, taxes, depreciation, and amortization (“EBITDA”), as defined in the RavenVolt merger agreement, meets or exceeds certain defined targets. In 2024, defined EBITDA targets were not achieved, and as a result, no contingent consideration payment was made in 2024 for calendar year 2023. In the third quarter of 2025, we made a $75.0 million payment for calendar year 2024, of which $16.0 million was classified as an operating cash outflow. At January 31, 2026, the value of the contingent consideration was $32.5 million, and there was no change since October 31,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Disaggregation of Revenues</w:t>
      </w:r>
    </w:p>
    <w:p>
      <w:pPr>
        <w:spacing w:after="0" w:line="1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Aviation, Education, and Technical Solutions, as described in Note 13, “Segment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11"/>
          </w:tcPr>
          <w:p>
            <w:pPr>
              <w:spacing w:after="0"/>
              <w:rPr>
                <w:sz w:val="20"/>
                <w:szCs w:val="20"/>
                <w:color w:val="auto"/>
              </w:rPr>
            </w:pPr>
            <w:r>
              <w:rPr>
                <w:rFonts w:ascii="Arial" w:cs="Arial" w:eastAsia="Arial" w:hAnsi="Arial"/>
                <w:sz w:val="13"/>
                <w:szCs w:val="13"/>
                <w:b w:val="1"/>
                <w:bCs w:val="1"/>
                <w:color w:val="auto"/>
              </w:rPr>
              <w:t>Three Months Ended January 31, 2026</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ind w:right="315"/>
              <w:spacing w:after="0"/>
              <w:rPr>
                <w:sz w:val="20"/>
                <w:szCs w:val="20"/>
                <w:color w:val="auto"/>
              </w:rPr>
            </w:pPr>
            <w:r>
              <w:rPr>
                <w:rFonts w:ascii="Arial" w:cs="Arial" w:eastAsia="Arial" w:hAnsi="Arial"/>
                <w:sz w:val="12"/>
                <w:szCs w:val="12"/>
                <w:b w:val="1"/>
                <w:bCs w:val="1"/>
                <w:color w:val="auto"/>
              </w:rPr>
              <w:t>M&amp;D</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Aviation</w:t>
            </w:r>
          </w:p>
        </w:tc>
        <w:tc>
          <w:tcPr>
            <w:tcW w:w="180" w:type="dxa"/>
            <w:vAlign w:val="bottom"/>
          </w:tcPr>
          <w:p>
            <w:pPr>
              <w:spacing w:after="0"/>
              <w:rPr>
                <w:sz w:val="9"/>
                <w:szCs w:val="9"/>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Education</w:t>
            </w:r>
          </w:p>
        </w:tc>
        <w:tc>
          <w:tcPr>
            <w:tcW w:w="140" w:type="dxa"/>
            <w:vAlign w:val="bottom"/>
          </w:tcPr>
          <w:p>
            <w:pPr>
              <w:spacing w:after="0"/>
              <w:rPr>
                <w:sz w:val="9"/>
                <w:szCs w:val="9"/>
                <w:color w:val="auto"/>
              </w:rPr>
            </w:pPr>
          </w:p>
        </w:tc>
        <w:tc>
          <w:tcPr>
            <w:tcW w:w="900" w:type="dxa"/>
            <w:vAlign w:val="bottom"/>
            <w:gridSpan w:val="2"/>
          </w:tcPr>
          <w:p>
            <w:pPr>
              <w:jc w:val="right"/>
              <w:ind w:right="300"/>
              <w:spacing w:after="0" w:line="111" w:lineRule="exact"/>
              <w:rPr>
                <w:sz w:val="20"/>
                <w:szCs w:val="20"/>
                <w:color w:val="auto"/>
              </w:rPr>
            </w:pPr>
            <w:r>
              <w:rPr>
                <w:rFonts w:ascii="Arial" w:cs="Arial" w:eastAsia="Arial" w:hAnsi="Arial"/>
                <w:sz w:val="12"/>
                <w:szCs w:val="12"/>
                <w:b w:val="1"/>
                <w:bCs w:val="1"/>
                <w:color w:val="auto"/>
              </w:rPr>
              <w:t>Technical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Solutions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33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2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8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9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9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7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280" w:type="dxa"/>
            <w:vAlign w:val="bottom"/>
            <w:gridSpan w:val="2"/>
          </w:tcPr>
          <w:p>
            <w:pPr>
              <w:jc w:val="right"/>
              <w:ind w:right="13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730.6</w:t>
            </w:r>
          </w:p>
        </w:tc>
        <w:tc>
          <w:tcPr>
            <w:tcW w:w="10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333.8</w:t>
            </w:r>
          </w:p>
        </w:tc>
        <w:tc>
          <w:tcPr>
            <w:tcW w:w="360" w:type="dxa"/>
            <w:vAlign w:val="bottom"/>
            <w:gridSpan w:val="4"/>
          </w:tcPr>
          <w:p>
            <w:pPr>
              <w:jc w:val="right"/>
              <w:ind w:right="7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20" w:type="dxa"/>
            <w:vAlign w:val="bottom"/>
            <w:shd w:val="clear" w:color="auto" w:fill="DCE2EF"/>
          </w:tcPr>
          <w:p>
            <w:pPr>
              <w:spacing w:after="0"/>
              <w:rPr>
                <w:sz w:val="15"/>
                <w:szCs w:val="15"/>
                <w:color w:val="auto"/>
              </w:rPr>
            </w:pPr>
          </w:p>
        </w:tc>
        <w:tc>
          <w:tcPr>
            <w:tcW w:w="260" w:type="dxa"/>
            <w:vAlign w:val="bottom"/>
            <w:shd w:val="clear" w:color="auto" w:fill="DCE2EF"/>
          </w:tcPr>
          <w:p>
            <w:pPr>
              <w:spacing w:after="0"/>
              <w:rPr>
                <w:sz w:val="15"/>
                <w:szCs w:val="15"/>
                <w:color w:val="auto"/>
              </w:rPr>
            </w:pPr>
          </w:p>
        </w:tc>
        <w:tc>
          <w:tcPr>
            <w:tcW w:w="92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1040" w:type="dxa"/>
            <w:vAlign w:val="bottom"/>
            <w:gridSpan w:val="3"/>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5"/>
                <w:szCs w:val="15"/>
                <w:color w:val="auto"/>
              </w:rPr>
            </w:pP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DCE2EF"/>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402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Parking and Transportation</w:t>
            </w:r>
            <w:r>
              <w:rPr>
                <w:rFonts w:ascii="Arial" w:cs="Arial" w:eastAsia="Arial" w:hAnsi="Arial"/>
                <w:sz w:val="16"/>
                <w:szCs w:val="16"/>
                <w:color w:val="auto"/>
                <w:vertAlign w:val="superscript"/>
              </w:rPr>
              <w:t>(3)</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DCE2E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213.0</w:t>
            </w:r>
          </w:p>
        </w:tc>
        <w:tc>
          <w:tcPr>
            <w:tcW w:w="100" w:type="dxa"/>
            <w:vAlign w:val="bottom"/>
            <w:tcBorders>
              <w:bottom w:val="single" w:sz="8" w:color="DCE2EF"/>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280" w:type="dxa"/>
            <w:vAlign w:val="bottom"/>
            <w:gridSpan w:val="2"/>
            <w:shd w:val="clear" w:color="auto" w:fill="DCE2EF"/>
          </w:tcPr>
          <w:p>
            <w:pPr>
              <w:jc w:val="right"/>
              <w:ind w:right="135"/>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837.9</w:t>
            </w:r>
          </w:p>
        </w:tc>
        <w:tc>
          <w:tcPr>
            <w:tcW w:w="100" w:type="dxa"/>
            <w:vAlign w:val="bottom"/>
            <w:shd w:val="clear" w:color="auto" w:fill="DCE2EF"/>
          </w:tcPr>
          <w:p>
            <w:pPr>
              <w:spacing w:after="0"/>
              <w:rPr>
                <w:sz w:val="15"/>
                <w:szCs w:val="15"/>
                <w:color w:val="auto"/>
              </w:rPr>
            </w:pPr>
          </w:p>
        </w:tc>
        <w:tc>
          <w:tcPr>
            <w:tcW w:w="10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200" w:type="dxa"/>
            <w:vAlign w:val="bottom"/>
            <w:shd w:val="clear" w:color="auto" w:fill="DCE2EF"/>
          </w:tcPr>
          <w:p>
            <w:pPr>
              <w:spacing w:after="0"/>
              <w:rPr>
                <w:sz w:val="15"/>
                <w:szCs w:val="15"/>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352.5</w:t>
            </w:r>
          </w:p>
        </w:tc>
        <w:tc>
          <w:tcPr>
            <w:tcW w:w="360" w:type="dxa"/>
            <w:vAlign w:val="bottom"/>
            <w:gridSpan w:val="4"/>
            <w:shd w:val="clear" w:color="auto" w:fill="DCE2EF"/>
          </w:tcPr>
          <w:p>
            <w:pPr>
              <w:jc w:val="right"/>
              <w:ind w:right="75"/>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283.6</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203.4</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80" w:type="dxa"/>
            <w:vAlign w:val="bottom"/>
            <w:shd w:val="clear" w:color="auto" w:fill="DCE2EF"/>
          </w:tcPr>
          <w:p>
            <w:pPr>
              <w:spacing w:after="0"/>
              <w:rPr>
                <w:sz w:val="15"/>
                <w:szCs w:val="15"/>
                <w:color w:val="auto"/>
              </w:rPr>
            </w:pP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1,677.3</w:t>
            </w:r>
          </w:p>
        </w:tc>
        <w:tc>
          <w:tcPr>
            <w:tcW w:w="100" w:type="dxa"/>
            <w:vAlign w:val="bottom"/>
            <w:shd w:val="clear" w:color="auto" w:fill="DCE2EF"/>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Operations and Maintenance</w:t>
            </w:r>
            <w:r>
              <w:rPr>
                <w:rFonts w:ascii="Arial" w:cs="Arial" w:eastAsia="Arial" w:hAnsi="Arial"/>
                <w:sz w:val="16"/>
                <w:szCs w:val="16"/>
                <w:color w:val="auto"/>
                <w:vertAlign w:val="superscript"/>
              </w:rPr>
              <w:t>(4)</w:t>
            </w:r>
          </w:p>
        </w:tc>
        <w:tc>
          <w:tcPr>
            <w:tcW w:w="20" w:type="dxa"/>
            <w:vAlign w:val="bottom"/>
            <w:shd w:val="clear" w:color="auto" w:fill="DCE2EF"/>
          </w:tcPr>
          <w:p>
            <w:pPr>
              <w:spacing w:after="0"/>
              <w:rPr>
                <w:sz w:val="15"/>
                <w:szCs w:val="15"/>
                <w:color w:val="auto"/>
              </w:rPr>
            </w:pPr>
          </w:p>
        </w:tc>
        <w:tc>
          <w:tcPr>
            <w:tcW w:w="260" w:type="dxa"/>
            <w:vAlign w:val="bottom"/>
            <w:shd w:val="clear" w:color="auto" w:fill="DCE2EF"/>
          </w:tcPr>
          <w:p>
            <w:pPr>
              <w:spacing w:after="0"/>
              <w:rPr>
                <w:sz w:val="15"/>
                <w:szCs w:val="15"/>
                <w:color w:val="auto"/>
              </w:rPr>
            </w:pPr>
          </w:p>
        </w:tc>
        <w:tc>
          <w:tcPr>
            <w:tcW w:w="82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69.7</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25.3</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900" w:type="dxa"/>
            <w:vAlign w:val="bottom"/>
            <w:gridSpan w:val="2"/>
            <w:shd w:val="clear" w:color="auto" w:fill="DCE2E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700" w:type="dxa"/>
            <w:vAlign w:val="bottom"/>
            <w:shd w:val="clear" w:color="auto" w:fill="DCE2EF"/>
          </w:tcPr>
          <w:p>
            <w:pPr>
              <w:jc w:val="right"/>
              <w:spacing w:after="0"/>
              <w:rPr>
                <w:sz w:val="20"/>
                <w:szCs w:val="20"/>
                <w:color w:val="auto"/>
              </w:rPr>
            </w:pPr>
            <w:r>
              <w:rPr>
                <w:rFonts w:ascii="Arial" w:cs="Arial" w:eastAsia="Arial" w:hAnsi="Arial"/>
                <w:sz w:val="13"/>
                <w:szCs w:val="13"/>
                <w:color w:val="auto"/>
              </w:rPr>
              <w:t>334.9</w:t>
            </w:r>
          </w:p>
        </w:tc>
        <w:tc>
          <w:tcPr>
            <w:tcW w:w="100" w:type="dxa"/>
            <w:vAlign w:val="bottom"/>
            <w:shd w:val="clear" w:color="auto" w:fill="DCE2EF"/>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Building &amp; Energy Solutions</w:t>
            </w:r>
            <w:r>
              <w:rPr>
                <w:rFonts w:ascii="Arial" w:cs="Arial" w:eastAsia="Arial" w:hAnsi="Arial"/>
                <w:sz w:val="16"/>
                <w:szCs w:val="16"/>
                <w:color w:val="auto"/>
                <w:vertAlign w:val="superscript"/>
              </w:rPr>
              <w:t>(5)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229.7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DCE2EF"/>
            </w:tcBorders>
            <w:shd w:val="clear" w:color="auto" w:fill="DCE2EF"/>
          </w:tcPr>
          <w:p>
            <w:pPr>
              <w:spacing w:after="0"/>
              <w:rPr>
                <w:sz w:val="15"/>
                <w:szCs w:val="15"/>
                <w:color w:val="auto"/>
              </w:rPr>
            </w:pPr>
          </w:p>
        </w:tc>
        <w:tc>
          <w:tcPr>
            <w:tcW w:w="4020" w:type="dxa"/>
            <w:vAlign w:val="bottom"/>
            <w:tcBorders>
              <w:top w:val="single" w:sz="8" w:color="DCE2EF"/>
            </w:tcBorders>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Engineering and Infrastructure Solutions</w:t>
            </w:r>
          </w:p>
        </w:tc>
        <w:tc>
          <w:tcPr>
            <w:tcW w:w="280" w:type="dxa"/>
            <w:vAlign w:val="bottom"/>
            <w:tcBorders>
              <w:top w:val="single" w:sz="8" w:color="auto"/>
            </w:tcBorders>
            <w:gridSpan w:val="2"/>
            <w:shd w:val="clear" w:color="auto" w:fill="DCE2EF"/>
          </w:tcPr>
          <w:p>
            <w:pPr>
              <w:jc w:val="right"/>
              <w:ind w:right="135"/>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227.2</w:t>
            </w:r>
          </w:p>
        </w:tc>
        <w:tc>
          <w:tcPr>
            <w:tcW w:w="100" w:type="dxa"/>
            <w:vAlign w:val="bottom"/>
            <w:tcBorders>
              <w:top w:val="single" w:sz="8" w:color="auto"/>
            </w:tcBorders>
            <w:shd w:val="clear" w:color="auto" w:fill="DCE2EF"/>
          </w:tcPr>
          <w:p>
            <w:pPr>
              <w:spacing w:after="0"/>
              <w:rPr>
                <w:sz w:val="15"/>
                <w:szCs w:val="15"/>
                <w:color w:val="auto"/>
              </w:rPr>
            </w:pPr>
          </w:p>
        </w:tc>
        <w:tc>
          <w:tcPr>
            <w:tcW w:w="100" w:type="dxa"/>
            <w:vAlign w:val="bottom"/>
            <w:tcBorders>
              <w:top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200" w:type="dxa"/>
            <w:vAlign w:val="bottom"/>
            <w:tcBorders>
              <w:top w:val="single" w:sz="8" w:color="auto"/>
            </w:tcBorders>
            <w:shd w:val="clear" w:color="auto" w:fill="DCE2EF"/>
          </w:tcPr>
          <w:p>
            <w:pPr>
              <w:spacing w:after="0"/>
              <w:rPr>
                <w:sz w:val="15"/>
                <w:szCs w:val="15"/>
                <w:color w:val="auto"/>
              </w:rPr>
            </w:pPr>
          </w:p>
        </w:tc>
        <w:tc>
          <w:tcPr>
            <w:tcW w:w="7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69.8</w:t>
            </w:r>
          </w:p>
        </w:tc>
        <w:tc>
          <w:tcPr>
            <w:tcW w:w="360" w:type="dxa"/>
            <w:vAlign w:val="bottom"/>
            <w:tcBorders>
              <w:top w:val="single" w:sz="8" w:color="auto"/>
            </w:tcBorders>
            <w:gridSpan w:val="4"/>
            <w:shd w:val="clear" w:color="auto" w:fill="DCE2EF"/>
          </w:tcPr>
          <w:p>
            <w:pPr>
              <w:jc w:val="right"/>
              <w:ind w:right="75"/>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14.1</w:t>
            </w:r>
          </w:p>
        </w:tc>
        <w:tc>
          <w:tcPr>
            <w:tcW w:w="8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DCE2EF"/>
            </w:tcBorders>
            <w:shd w:val="clear" w:color="auto" w:fill="DCE2EF"/>
          </w:tcPr>
          <w:p>
            <w:pPr>
              <w:spacing w:after="0"/>
              <w:rPr>
                <w:sz w:val="15"/>
                <w:szCs w:val="15"/>
                <w:color w:val="auto"/>
              </w:rPr>
            </w:pPr>
          </w:p>
        </w:tc>
        <w:tc>
          <w:tcPr>
            <w:tcW w:w="180" w:type="dxa"/>
            <w:vAlign w:val="bottom"/>
            <w:tcBorders>
              <w:top w:val="single" w:sz="8" w:color="auto"/>
            </w:tcBorders>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25.3</w:t>
            </w:r>
          </w:p>
        </w:tc>
        <w:tc>
          <w:tcPr>
            <w:tcW w:w="20" w:type="dxa"/>
            <w:vAlign w:val="bottom"/>
            <w:tcBorders>
              <w:top w:val="single" w:sz="8" w:color="auto"/>
            </w:tcBorders>
            <w:shd w:val="clear" w:color="auto" w:fill="DCE2EF"/>
          </w:tcPr>
          <w:p>
            <w:pPr>
              <w:spacing w:after="0"/>
              <w:rPr>
                <w:sz w:val="15"/>
                <w:szCs w:val="15"/>
                <w:color w:val="auto"/>
              </w:rPr>
            </w:pPr>
          </w:p>
        </w:tc>
        <w:tc>
          <w:tcPr>
            <w:tcW w:w="80" w:type="dxa"/>
            <w:vAlign w:val="bottom"/>
            <w:tcBorders>
              <w:top w:val="single" w:sz="8" w:color="auto"/>
            </w:tcBorders>
            <w:shd w:val="clear" w:color="auto" w:fill="DCE2EF"/>
          </w:tcPr>
          <w:p>
            <w:pPr>
              <w:spacing w:after="0"/>
              <w:rPr>
                <w:sz w:val="15"/>
                <w:szCs w:val="15"/>
                <w:color w:val="auto"/>
              </w:rPr>
            </w:pPr>
          </w:p>
        </w:tc>
        <w:tc>
          <w:tcPr>
            <w:tcW w:w="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229.7</w:t>
            </w:r>
          </w:p>
        </w:tc>
        <w:tc>
          <w:tcPr>
            <w:tcW w:w="100" w:type="dxa"/>
            <w:vAlign w:val="bottom"/>
            <w:tcBorders>
              <w:top w:val="single" w:sz="8" w:color="auto"/>
            </w:tcBorders>
            <w:shd w:val="clear" w:color="auto" w:fill="DCE2EF"/>
          </w:tcPr>
          <w:p>
            <w:pPr>
              <w:spacing w:after="0"/>
              <w:rPr>
                <w:sz w:val="15"/>
                <w:szCs w:val="15"/>
                <w:color w:val="auto"/>
              </w:rPr>
            </w:pPr>
          </w:p>
        </w:tc>
        <w:tc>
          <w:tcPr>
            <w:tcW w:w="100" w:type="dxa"/>
            <w:vAlign w:val="bottom"/>
            <w:tcBorders>
              <w:top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80" w:type="dxa"/>
            <w:vAlign w:val="bottom"/>
            <w:tcBorders>
              <w:top w:val="single" w:sz="8" w:color="auto"/>
            </w:tcBorders>
            <w:shd w:val="clear" w:color="auto" w:fill="DCE2EF"/>
          </w:tcPr>
          <w:p>
            <w:pPr>
              <w:spacing w:after="0"/>
              <w:rPr>
                <w:sz w:val="15"/>
                <w:szCs w:val="15"/>
                <w:color w:val="auto"/>
              </w:rPr>
            </w:pPr>
          </w:p>
        </w:tc>
        <w:tc>
          <w:tcPr>
            <w:tcW w:w="7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566.2</w:t>
            </w:r>
          </w:p>
        </w:tc>
        <w:tc>
          <w:tcPr>
            <w:tcW w:w="100" w:type="dxa"/>
            <w:vAlign w:val="bottom"/>
            <w:tcBorders>
              <w:top w:val="single" w:sz="8" w:color="DCE2EF"/>
            </w:tcBorders>
            <w:shd w:val="clear" w:color="auto" w:fill="DCE2EF"/>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4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gridSpan w:val="2"/>
            <w:shd w:val="clear" w:color="auto" w:fill="DCE2EF"/>
          </w:tcPr>
          <w:p>
            <w:pPr>
              <w:jc w:val="right"/>
              <w:ind w:right="135"/>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1,065.1</w:t>
            </w:r>
          </w:p>
        </w:tc>
        <w:tc>
          <w:tcPr>
            <w:tcW w:w="10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auto"/>
            </w:tcBorders>
            <w:shd w:val="clear" w:color="auto" w:fill="DCE2EF"/>
          </w:tcPr>
          <w:p>
            <w:pPr>
              <w:spacing w:after="0"/>
              <w:rPr>
                <w:sz w:val="17"/>
                <w:szCs w:val="17"/>
                <w:color w:val="auto"/>
              </w:rPr>
            </w:pPr>
          </w:p>
        </w:tc>
        <w:tc>
          <w:tcPr>
            <w:tcW w:w="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422.3</w:t>
            </w:r>
          </w:p>
        </w:tc>
        <w:tc>
          <w:tcPr>
            <w:tcW w:w="40" w:type="dxa"/>
            <w:vAlign w:val="bottom"/>
            <w:tcBorders>
              <w:bottom w:val="single" w:sz="8" w:color="auto"/>
            </w:tcBorders>
            <w:shd w:val="clear" w:color="auto" w:fill="DCE2EF"/>
          </w:tcPr>
          <w:p>
            <w:pPr>
              <w:spacing w:after="0"/>
              <w:rPr>
                <w:sz w:val="17"/>
                <w:szCs w:val="17"/>
                <w:color w:val="auto"/>
              </w:rPr>
            </w:pPr>
          </w:p>
        </w:tc>
        <w:tc>
          <w:tcPr>
            <w:tcW w:w="100" w:type="dxa"/>
            <w:vAlign w:val="bottom"/>
            <w:tcBorders>
              <w:bottom w:val="single" w:sz="8" w:color="DCE2EF"/>
            </w:tcBorders>
            <w:gridSpan w:val="2"/>
            <w:shd w:val="clear" w:color="auto" w:fill="DCE2EF"/>
          </w:tcPr>
          <w:p>
            <w:pPr>
              <w:spacing w:after="0"/>
              <w:rPr>
                <w:sz w:val="17"/>
                <w:szCs w:val="17"/>
                <w:color w:val="auto"/>
              </w:rPr>
            </w:pPr>
          </w:p>
        </w:tc>
        <w:tc>
          <w:tcPr>
            <w:tcW w:w="220" w:type="dxa"/>
            <w:vAlign w:val="bottom"/>
            <w:tcBorders>
              <w:bottom w:val="single" w:sz="8" w:color="auto"/>
            </w:tcBorders>
            <w:shd w:val="clear" w:color="auto" w:fill="DCE2EF"/>
          </w:tcPr>
          <w:p>
            <w:pPr>
              <w:jc w:val="right"/>
              <w:ind w:right="75"/>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297.7</w:t>
            </w:r>
          </w:p>
        </w:tc>
        <w:tc>
          <w:tcPr>
            <w:tcW w:w="80" w:type="dxa"/>
            <w:vAlign w:val="bottom"/>
            <w:tcBorders>
              <w:bottom w:val="single" w:sz="8" w:color="DCE2EF"/>
            </w:tcBorders>
            <w:shd w:val="clear" w:color="auto" w:fill="DCE2EF"/>
          </w:tcPr>
          <w:p>
            <w:pPr>
              <w:spacing w:after="0"/>
              <w:rPr>
                <w:sz w:val="17"/>
                <w:szCs w:val="17"/>
                <w:color w:val="auto"/>
              </w:rPr>
            </w:pPr>
          </w:p>
        </w:tc>
        <w:tc>
          <w:tcPr>
            <w:tcW w:w="20" w:type="dxa"/>
            <w:vAlign w:val="bottom"/>
            <w:tcBorders>
              <w:bottom w:val="single" w:sz="8" w:color="DCE2EF"/>
            </w:tcBorders>
            <w:shd w:val="clear" w:color="auto" w:fill="DCE2EF"/>
          </w:tcPr>
          <w:p>
            <w:pPr>
              <w:spacing w:after="0"/>
              <w:rPr>
                <w:sz w:val="17"/>
                <w:szCs w:val="17"/>
                <w:color w:val="auto"/>
              </w:rPr>
            </w:pPr>
          </w:p>
        </w:tc>
        <w:tc>
          <w:tcPr>
            <w:tcW w:w="18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228.7</w:t>
            </w:r>
          </w:p>
        </w:tc>
        <w:tc>
          <w:tcPr>
            <w:tcW w:w="20" w:type="dxa"/>
            <w:vAlign w:val="bottom"/>
            <w:tcBorders>
              <w:bottom w:val="single" w:sz="8" w:color="DCE2EF"/>
            </w:tcBorders>
            <w:shd w:val="clear" w:color="auto" w:fill="DCE2EF"/>
          </w:tcPr>
          <w:p>
            <w:pPr>
              <w:spacing w:after="0"/>
              <w:rPr>
                <w:sz w:val="17"/>
                <w:szCs w:val="17"/>
                <w:color w:val="auto"/>
              </w:rPr>
            </w:pPr>
          </w:p>
        </w:tc>
        <w:tc>
          <w:tcPr>
            <w:tcW w:w="80" w:type="dxa"/>
            <w:vAlign w:val="bottom"/>
            <w:tcBorders>
              <w:bottom w:val="single" w:sz="8" w:color="DCE2EF"/>
            </w:tcBorders>
            <w:shd w:val="clear" w:color="auto" w:fill="DCE2EF"/>
          </w:tcPr>
          <w:p>
            <w:pPr>
              <w:spacing w:after="0"/>
              <w:rPr>
                <w:sz w:val="17"/>
                <w:szCs w:val="17"/>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229.7</w:t>
            </w:r>
          </w:p>
        </w:tc>
        <w:tc>
          <w:tcPr>
            <w:tcW w:w="100" w:type="dxa"/>
            <w:vAlign w:val="bottom"/>
            <w:tcBorders>
              <w:bottom w:val="single" w:sz="8" w:color="DCE2EF"/>
            </w:tcBorders>
            <w:shd w:val="clear" w:color="auto" w:fill="DCE2EF"/>
          </w:tcPr>
          <w:p>
            <w:pPr>
              <w:spacing w:after="0"/>
              <w:rPr>
                <w:sz w:val="17"/>
                <w:szCs w:val="17"/>
                <w:color w:val="auto"/>
              </w:rPr>
            </w:pPr>
          </w:p>
        </w:tc>
        <w:tc>
          <w:tcPr>
            <w:tcW w:w="100" w:type="dxa"/>
            <w:vAlign w:val="bottom"/>
            <w:tcBorders>
              <w:bottom w:val="single" w:sz="8" w:color="auto"/>
            </w:tcBorders>
            <w:gridSpan w:val="2"/>
            <w:shd w:val="clear" w:color="auto" w:fill="DCE2EF"/>
          </w:tcPr>
          <w:p>
            <w:pPr>
              <w:jc w:val="right"/>
              <w:ind w:right="20"/>
              <w:spacing w:after="0"/>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auto"/>
            </w:tcBorders>
            <w:shd w:val="clear" w:color="auto" w:fill="DCE2EF"/>
          </w:tcPr>
          <w:p>
            <w:pPr>
              <w:spacing w:after="0"/>
              <w:rPr>
                <w:sz w:val="17"/>
                <w:szCs w:val="17"/>
                <w:color w:val="auto"/>
              </w:rPr>
            </w:pP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2,243.5</w:t>
            </w:r>
          </w:p>
        </w:tc>
        <w:tc>
          <w:tcPr>
            <w:tcW w:w="100" w:type="dxa"/>
            <w:vAlign w:val="bottom"/>
            <w:tcBorders>
              <w:bottom w:val="single" w:sz="8" w:color="DCE2EF"/>
            </w:tcBorders>
            <w:shd w:val="clear" w:color="auto" w:fill="DCE2EF"/>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ind w:left="60"/>
              <w:spacing w:after="0"/>
              <w:rPr>
                <w:sz w:val="20"/>
                <w:szCs w:val="20"/>
                <w:color w:val="auto"/>
              </w:rPr>
            </w:pPr>
            <w:r>
              <w:rPr>
                <w:rFonts w:ascii="Arial" w:cs="Arial" w:eastAsia="Arial" w:hAnsi="Arial"/>
                <w:sz w:val="13"/>
                <w:szCs w:val="13"/>
                <w:b w:val="1"/>
                <w:bCs w:val="1"/>
                <w:color w:val="auto"/>
              </w:rPr>
              <w:t>Three Months Ended January 31, 2025</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2"/>
                <w:szCs w:val="12"/>
                <w:b w:val="1"/>
                <w:bCs w:val="1"/>
                <w:color w:val="auto"/>
              </w:rPr>
              <w:t>B&amp;I</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2"/>
                <w:szCs w:val="12"/>
                <w:b w:val="1"/>
                <w:bCs w:val="1"/>
                <w:color w:val="auto"/>
              </w:rPr>
              <w:t>M&amp;D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Aviation</w:t>
            </w:r>
          </w:p>
        </w:tc>
        <w:tc>
          <w:tcPr>
            <w:tcW w:w="180" w:type="dxa"/>
            <w:vAlign w:val="bottom"/>
          </w:tcPr>
          <w:p>
            <w:pPr>
              <w:spacing w:after="0"/>
              <w:rPr>
                <w:sz w:val="10"/>
                <w:szCs w:val="10"/>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Education</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line="119" w:lineRule="exact"/>
              <w:rPr>
                <w:sz w:val="20"/>
                <w:szCs w:val="20"/>
                <w:color w:val="auto"/>
              </w:rPr>
            </w:pPr>
            <w:r>
              <w:rPr>
                <w:rFonts w:ascii="Arial" w:cs="Arial" w:eastAsia="Arial" w:hAnsi="Arial"/>
                <w:sz w:val="12"/>
                <w:szCs w:val="12"/>
                <w:b w:val="1"/>
                <w:bCs w:val="1"/>
                <w:color w:val="auto"/>
              </w:rPr>
              <w:t>Technical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4"/>
            <w:vMerge w:val="restart"/>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4"/>
        </w:trPr>
        <w:tc>
          <w:tcPr>
            <w:tcW w:w="4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Solutions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DCE2EF"/>
            </w:tcBorders>
          </w:tcPr>
          <w:p>
            <w:pPr>
              <w:spacing w:after="0" w:line="20" w:lineRule="exact"/>
              <w:rPr>
                <w:sz w:val="1"/>
                <w:szCs w:val="1"/>
                <w:color w:val="auto"/>
              </w:rPr>
            </w:pPr>
          </w:p>
        </w:tc>
        <w:tc>
          <w:tcPr>
            <w:tcW w:w="33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Major Service Line</w:t>
            </w:r>
          </w:p>
        </w:tc>
        <w:tc>
          <w:tcPr>
            <w:tcW w:w="2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82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0" w:type="dxa"/>
            <w:vAlign w:val="bottom"/>
            <w:shd w:val="clear" w:color="auto" w:fill="DCE2EF"/>
          </w:tcPr>
          <w:p>
            <w:pPr>
              <w:spacing w:after="0"/>
              <w:rPr>
                <w:sz w:val="13"/>
                <w:szCs w:val="13"/>
                <w:color w:val="auto"/>
              </w:rPr>
            </w:pPr>
          </w:p>
        </w:tc>
        <w:tc>
          <w:tcPr>
            <w:tcW w:w="760" w:type="dxa"/>
            <w:vAlign w:val="bottom"/>
            <w:shd w:val="clear" w:color="auto" w:fill="DCE2EF"/>
          </w:tcPr>
          <w:p>
            <w:pPr>
              <w:spacing w:after="0"/>
              <w:rPr>
                <w:sz w:val="13"/>
                <w:szCs w:val="13"/>
                <w:color w:val="auto"/>
              </w:rPr>
            </w:pPr>
          </w:p>
        </w:tc>
        <w:tc>
          <w:tcPr>
            <w:tcW w:w="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94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94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40" w:type="dxa"/>
            <w:vAlign w:val="bottom"/>
            <w:shd w:val="clear" w:color="auto" w:fill="DCE2EF"/>
          </w:tcPr>
          <w:p>
            <w:pPr>
              <w:spacing w:after="0"/>
              <w:rPr>
                <w:sz w:val="13"/>
                <w:szCs w:val="13"/>
                <w:color w:val="auto"/>
              </w:rPr>
            </w:pPr>
          </w:p>
        </w:tc>
        <w:tc>
          <w:tcPr>
            <w:tcW w:w="8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180" w:type="dxa"/>
            <w:vAlign w:val="bottom"/>
            <w:shd w:val="clear" w:color="auto" w:fill="DCE2EF"/>
          </w:tcPr>
          <w:p>
            <w:pPr>
              <w:spacing w:after="0"/>
              <w:rPr>
                <w:sz w:val="13"/>
                <w:szCs w:val="13"/>
                <w:color w:val="auto"/>
              </w:rPr>
            </w:pPr>
          </w:p>
        </w:tc>
        <w:tc>
          <w:tcPr>
            <w:tcW w:w="700" w:type="dxa"/>
            <w:vAlign w:val="bottom"/>
            <w:shd w:val="clear" w:color="auto" w:fill="DCE2EF"/>
          </w:tcPr>
          <w:p>
            <w:pPr>
              <w:spacing w:after="0"/>
              <w:rPr>
                <w:sz w:val="13"/>
                <w:szCs w:val="13"/>
                <w:color w:val="auto"/>
              </w:rPr>
            </w:pPr>
          </w:p>
        </w:tc>
        <w:tc>
          <w:tcPr>
            <w:tcW w:w="1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8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Janitorial</w:t>
            </w:r>
            <w:r>
              <w:rPr>
                <w:rFonts w:ascii="Arial" w:cs="Arial" w:eastAsia="Arial" w:hAnsi="Arial"/>
                <w:sz w:val="16"/>
                <w:szCs w:val="16"/>
                <w:color w:val="auto"/>
                <w:vertAlign w:val="superscript"/>
              </w:rPr>
              <w:t>(1)</w:t>
            </w:r>
          </w:p>
        </w:tc>
        <w:tc>
          <w:tcPr>
            <w:tcW w:w="280" w:type="dxa"/>
            <w:vAlign w:val="bottom"/>
            <w:gridSpan w:val="2"/>
          </w:tcPr>
          <w:p>
            <w:pPr>
              <w:jc w:val="right"/>
              <w:ind w:right="95"/>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697.8</w:t>
            </w:r>
          </w:p>
        </w:tc>
        <w:tc>
          <w:tcPr>
            <w:tcW w:w="3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328.3</w:t>
            </w:r>
          </w:p>
        </w:tc>
        <w:tc>
          <w:tcPr>
            <w:tcW w:w="360" w:type="dxa"/>
            <w:vAlign w:val="bottom"/>
            <w:gridSpan w:val="4"/>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1,276.4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Aviation Services</w:t>
            </w:r>
            <w:r>
              <w:rPr>
                <w:rFonts w:ascii="Arial" w:cs="Arial" w:eastAsia="Arial" w:hAnsi="Arial"/>
                <w:sz w:val="16"/>
                <w:szCs w:val="16"/>
                <w:color w:val="auto"/>
                <w:vertAlign w:val="superscript"/>
              </w:rPr>
              <w:t>(2)</w:t>
            </w:r>
          </w:p>
        </w:tc>
        <w:tc>
          <w:tcPr>
            <w:tcW w:w="20" w:type="dxa"/>
            <w:vAlign w:val="bottom"/>
            <w:shd w:val="clear" w:color="auto" w:fill="DCE2EF"/>
          </w:tcPr>
          <w:p>
            <w:pPr>
              <w:spacing w:after="0"/>
              <w:rPr>
                <w:sz w:val="15"/>
                <w:szCs w:val="15"/>
                <w:color w:val="auto"/>
              </w:rPr>
            </w:pPr>
          </w:p>
        </w:tc>
        <w:tc>
          <w:tcPr>
            <w:tcW w:w="260" w:type="dxa"/>
            <w:vAlign w:val="bottom"/>
            <w:shd w:val="clear" w:color="auto" w:fill="DCE2EF"/>
          </w:tcPr>
          <w:p>
            <w:pPr>
              <w:spacing w:after="0"/>
              <w:rPr>
                <w:sz w:val="15"/>
                <w:szCs w:val="15"/>
                <w:color w:val="auto"/>
              </w:rPr>
            </w:pPr>
          </w:p>
        </w:tc>
        <w:tc>
          <w:tcPr>
            <w:tcW w:w="9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117.3</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1040" w:type="dxa"/>
            <w:vAlign w:val="bottom"/>
            <w:gridSpan w:val="3"/>
            <w:shd w:val="clear" w:color="auto" w:fill="DCE2E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CE2EF"/>
          </w:tcPr>
          <w:p>
            <w:pPr>
              <w:spacing w:after="0"/>
              <w:rPr>
                <w:sz w:val="15"/>
                <w:szCs w:val="15"/>
                <w:color w:val="auto"/>
              </w:rPr>
            </w:pPr>
          </w:p>
        </w:tc>
        <w:tc>
          <w:tcPr>
            <w:tcW w:w="9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920" w:type="dxa"/>
            <w:vAlign w:val="bottom"/>
            <w:gridSpan w:val="3"/>
            <w:shd w:val="clear" w:color="auto" w:fill="DCE2EF"/>
          </w:tcPr>
          <w:p>
            <w:pPr>
              <w:jc w:val="right"/>
              <w:ind w:right="60"/>
              <w:spacing w:after="0"/>
              <w:rPr>
                <w:sz w:val="20"/>
                <w:szCs w:val="20"/>
                <w:color w:val="auto"/>
              </w:rPr>
            </w:pPr>
            <w:r>
              <w:rPr>
                <w:rFonts w:ascii="Arial" w:cs="Arial" w:eastAsia="Arial" w:hAnsi="Arial"/>
                <w:sz w:val="13"/>
                <w:szCs w:val="13"/>
                <w:color w:val="auto"/>
              </w:rPr>
              <w:t>117.3</w:t>
            </w:r>
          </w:p>
        </w:tc>
        <w:tc>
          <w:tcPr>
            <w:tcW w:w="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DCE2EF"/>
            </w:tcBorders>
          </w:tcPr>
          <w:p>
            <w:pPr>
              <w:spacing w:after="0"/>
              <w:rPr>
                <w:sz w:val="15"/>
                <w:szCs w:val="15"/>
                <w:color w:val="auto"/>
              </w:rPr>
            </w:pPr>
          </w:p>
        </w:tc>
        <w:tc>
          <w:tcPr>
            <w:tcW w:w="4020" w:type="dxa"/>
            <w:vAlign w:val="bottom"/>
            <w:tcBorders>
              <w:bottom w:val="single" w:sz="8" w:color="DCE2EF"/>
            </w:tcBorders>
            <w:gridSpan w:val="2"/>
          </w:tcPr>
          <w:p>
            <w:pPr>
              <w:ind w:left="100"/>
              <w:spacing w:after="0" w:line="181" w:lineRule="exact"/>
              <w:rPr>
                <w:sz w:val="20"/>
                <w:szCs w:val="20"/>
                <w:color w:val="auto"/>
              </w:rPr>
            </w:pPr>
            <w:r>
              <w:rPr>
                <w:rFonts w:ascii="Arial" w:cs="Arial" w:eastAsia="Arial" w:hAnsi="Arial"/>
                <w:sz w:val="13"/>
                <w:szCs w:val="13"/>
                <w:color w:val="auto"/>
              </w:rPr>
              <w:t>Parking and Transportation</w:t>
            </w:r>
            <w:r>
              <w:rPr>
                <w:rFonts w:ascii="Arial" w:cs="Arial" w:eastAsia="Arial" w:hAnsi="Arial"/>
                <w:sz w:val="16"/>
                <w:szCs w:val="16"/>
                <w:color w:val="auto"/>
                <w:vertAlign w:val="superscript"/>
              </w:rPr>
              <w:t>(3)</w:t>
            </w:r>
          </w:p>
        </w:tc>
        <w:tc>
          <w:tcPr>
            <w:tcW w:w="20" w:type="dxa"/>
            <w:vAlign w:val="bottom"/>
            <w:tcBorders>
              <w:bottom w:val="single" w:sz="8" w:color="DCE2E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104.5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80" w:type="dxa"/>
            <w:vAlign w:val="bottom"/>
            <w:tcBorders>
              <w:bottom w:val="single" w:sz="8" w:color="DCE2E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204.3</w:t>
            </w:r>
          </w:p>
        </w:tc>
        <w:tc>
          <w:tcPr>
            <w:tcW w:w="80" w:type="dxa"/>
            <w:vAlign w:val="bottom"/>
            <w:tcBorders>
              <w:bottom w:val="single" w:sz="8" w:color="DCE2E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Facility Solutions</w:t>
            </w:r>
          </w:p>
        </w:tc>
        <w:tc>
          <w:tcPr>
            <w:tcW w:w="20" w:type="dxa"/>
            <w:vAlign w:val="bottom"/>
            <w:shd w:val="clear" w:color="auto" w:fill="DCE2EF"/>
          </w:tcPr>
          <w:p>
            <w:pPr>
              <w:spacing w:after="0"/>
              <w:rPr>
                <w:sz w:val="15"/>
                <w:szCs w:val="15"/>
                <w:color w:val="auto"/>
              </w:rPr>
            </w:pPr>
          </w:p>
        </w:tc>
        <w:tc>
          <w:tcPr>
            <w:tcW w:w="260" w:type="dxa"/>
            <w:vAlign w:val="bottom"/>
            <w:shd w:val="clear" w:color="auto" w:fill="DCE2EF"/>
          </w:tcPr>
          <w:p>
            <w:pPr>
              <w:jc w:val="right"/>
              <w:ind w:right="95"/>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802.3</w:t>
            </w:r>
          </w:p>
        </w:tc>
        <w:tc>
          <w:tcPr>
            <w:tcW w:w="30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341.6</w:t>
            </w:r>
          </w:p>
        </w:tc>
        <w:tc>
          <w:tcPr>
            <w:tcW w:w="360" w:type="dxa"/>
            <w:vAlign w:val="bottom"/>
            <w:gridSpan w:val="4"/>
            <w:shd w:val="clear" w:color="auto" w:fill="DCE2EF"/>
          </w:tcPr>
          <w:p>
            <w:pPr>
              <w:jc w:val="right"/>
              <w:ind w:right="55"/>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256.9</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197.2</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w:t>
            </w:r>
          </w:p>
        </w:tc>
        <w:tc>
          <w:tcPr>
            <w:tcW w:w="28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3"/>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1,598.0</w:t>
            </w:r>
          </w:p>
        </w:tc>
        <w:tc>
          <w:tcPr>
            <w:tcW w:w="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0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CE2EF"/>
          </w:tcPr>
          <w:p>
            <w:pPr>
              <w:spacing w:after="0"/>
              <w:rPr>
                <w:sz w:val="15"/>
                <w:szCs w:val="15"/>
                <w:color w:val="auto"/>
              </w:rPr>
            </w:pPr>
          </w:p>
        </w:tc>
        <w:tc>
          <w:tcPr>
            <w:tcW w:w="4020" w:type="dxa"/>
            <w:vAlign w:val="bottom"/>
            <w:gridSpan w:val="2"/>
            <w:shd w:val="clear" w:color="auto" w:fill="DCE2EF"/>
          </w:tcPr>
          <w:p>
            <w:pPr>
              <w:ind w:left="100"/>
              <w:spacing w:after="0" w:line="181" w:lineRule="exact"/>
              <w:rPr>
                <w:sz w:val="20"/>
                <w:szCs w:val="20"/>
                <w:color w:val="auto"/>
              </w:rPr>
            </w:pPr>
            <w:r>
              <w:rPr>
                <w:rFonts w:ascii="Arial" w:cs="Arial" w:eastAsia="Arial" w:hAnsi="Arial"/>
                <w:sz w:val="13"/>
                <w:szCs w:val="13"/>
                <w:color w:val="auto"/>
              </w:rPr>
              <w:t>Operations and Maintenance</w:t>
            </w:r>
            <w:r>
              <w:rPr>
                <w:rFonts w:ascii="Arial" w:cs="Arial" w:eastAsia="Arial" w:hAnsi="Arial"/>
                <w:sz w:val="16"/>
                <w:szCs w:val="16"/>
                <w:color w:val="auto"/>
                <w:vertAlign w:val="superscript"/>
              </w:rPr>
              <w:t>(4)</w:t>
            </w:r>
          </w:p>
        </w:tc>
        <w:tc>
          <w:tcPr>
            <w:tcW w:w="20" w:type="dxa"/>
            <w:vAlign w:val="bottom"/>
            <w:shd w:val="clear" w:color="auto" w:fill="DCE2EF"/>
          </w:tcPr>
          <w:p>
            <w:pPr>
              <w:spacing w:after="0"/>
              <w:rPr>
                <w:sz w:val="15"/>
                <w:szCs w:val="15"/>
                <w:color w:val="auto"/>
              </w:rPr>
            </w:pPr>
          </w:p>
        </w:tc>
        <w:tc>
          <w:tcPr>
            <w:tcW w:w="260" w:type="dxa"/>
            <w:vAlign w:val="bottom"/>
            <w:shd w:val="clear" w:color="auto" w:fill="DCE2EF"/>
          </w:tcPr>
          <w:p>
            <w:pPr>
              <w:spacing w:after="0"/>
              <w:rPr>
                <w:sz w:val="15"/>
                <w:szCs w:val="15"/>
                <w:color w:val="auto"/>
              </w:rPr>
            </w:pPr>
          </w:p>
        </w:tc>
        <w:tc>
          <w:tcPr>
            <w:tcW w:w="9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220.6</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color w:val="auto"/>
              </w:rPr>
              <w:t>52.7</w:t>
            </w:r>
          </w:p>
        </w:tc>
        <w:tc>
          <w:tcPr>
            <w:tcW w:w="4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color w:val="auto"/>
              </w:rPr>
              <w:t>28.1</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40" w:type="dxa"/>
            <w:vAlign w:val="bottom"/>
            <w:shd w:val="clear" w:color="auto" w:fill="DCE2EF"/>
          </w:tcPr>
          <w:p>
            <w:pPr>
              <w:spacing w:after="0"/>
              <w:rPr>
                <w:sz w:val="15"/>
                <w:szCs w:val="15"/>
                <w:color w:val="auto"/>
              </w:rPr>
            </w:pPr>
          </w:p>
        </w:tc>
        <w:tc>
          <w:tcPr>
            <w:tcW w:w="9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920" w:type="dxa"/>
            <w:vAlign w:val="bottom"/>
            <w:gridSpan w:val="3"/>
            <w:shd w:val="clear" w:color="auto" w:fill="DCE2EF"/>
          </w:tcPr>
          <w:p>
            <w:pPr>
              <w:jc w:val="right"/>
              <w:ind w:right="60"/>
              <w:spacing w:after="0"/>
              <w:rPr>
                <w:sz w:val="20"/>
                <w:szCs w:val="20"/>
                <w:color w:val="auto"/>
              </w:rPr>
            </w:pPr>
            <w:r>
              <w:rPr>
                <w:rFonts w:ascii="Arial" w:cs="Arial" w:eastAsia="Arial" w:hAnsi="Arial"/>
                <w:sz w:val="13"/>
                <w:szCs w:val="13"/>
                <w:color w:val="auto"/>
              </w:rPr>
              <w:t>314.6</w:t>
            </w:r>
          </w:p>
        </w:tc>
        <w:tc>
          <w:tcPr>
            <w:tcW w:w="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Building &amp; Energy Solutions</w:t>
            </w:r>
            <w:r>
              <w:rPr>
                <w:rFonts w:ascii="Arial" w:cs="Arial" w:eastAsia="Arial" w:hAnsi="Arial"/>
                <w:sz w:val="16"/>
                <w:szCs w:val="16"/>
                <w:color w:val="auto"/>
                <w:vertAlign w:val="superscript"/>
              </w:rPr>
              <w:t>(5)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DCE2EF"/>
            </w:tcBorders>
            <w:shd w:val="clear" w:color="auto" w:fill="DCE2EF"/>
          </w:tcPr>
          <w:p>
            <w:pPr>
              <w:spacing w:after="0"/>
              <w:rPr>
                <w:sz w:val="15"/>
                <w:szCs w:val="15"/>
                <w:color w:val="auto"/>
              </w:rPr>
            </w:pPr>
          </w:p>
        </w:tc>
        <w:tc>
          <w:tcPr>
            <w:tcW w:w="4020" w:type="dxa"/>
            <w:vAlign w:val="bottom"/>
            <w:tcBorders>
              <w:top w:val="single" w:sz="8" w:color="DCE2EF"/>
            </w:tcBorders>
            <w:gridSpan w:val="2"/>
            <w:shd w:val="clear" w:color="auto" w:fill="DCE2EF"/>
          </w:tcPr>
          <w:p>
            <w:pPr>
              <w:ind w:left="100"/>
              <w:spacing w:after="0"/>
              <w:rPr>
                <w:sz w:val="20"/>
                <w:szCs w:val="20"/>
                <w:color w:val="auto"/>
              </w:rPr>
            </w:pPr>
            <w:r>
              <w:rPr>
                <w:rFonts w:ascii="Arial" w:cs="Arial" w:eastAsia="Arial" w:hAnsi="Arial"/>
                <w:sz w:val="13"/>
                <w:szCs w:val="13"/>
                <w:b w:val="1"/>
                <w:bCs w:val="1"/>
                <w:color w:val="auto"/>
              </w:rPr>
              <w:t>Engineering and Infrastructure Solutions</w:t>
            </w:r>
          </w:p>
        </w:tc>
        <w:tc>
          <w:tcPr>
            <w:tcW w:w="20" w:type="dxa"/>
            <w:vAlign w:val="bottom"/>
            <w:tcBorders>
              <w:top w:val="single" w:sz="8" w:color="DCE2EF"/>
            </w:tcBorders>
            <w:shd w:val="clear" w:color="auto" w:fill="DCE2EF"/>
          </w:tcPr>
          <w:p>
            <w:pPr>
              <w:spacing w:after="0"/>
              <w:rPr>
                <w:sz w:val="15"/>
                <w:szCs w:val="15"/>
                <w:color w:val="auto"/>
              </w:rPr>
            </w:pPr>
          </w:p>
        </w:tc>
        <w:tc>
          <w:tcPr>
            <w:tcW w:w="260" w:type="dxa"/>
            <w:vAlign w:val="bottom"/>
            <w:tcBorders>
              <w:top w:val="single" w:sz="8" w:color="auto"/>
            </w:tcBorders>
            <w:shd w:val="clear" w:color="auto" w:fill="DCE2EF"/>
          </w:tcPr>
          <w:p>
            <w:pPr>
              <w:jc w:val="right"/>
              <w:ind w:right="95"/>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220.6</w:t>
            </w:r>
          </w:p>
        </w:tc>
        <w:tc>
          <w:tcPr>
            <w:tcW w:w="300" w:type="dxa"/>
            <w:vAlign w:val="bottom"/>
            <w:tcBorders>
              <w:top w:val="single" w:sz="8" w:color="auto"/>
            </w:tcBorders>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52.7</w:t>
            </w:r>
          </w:p>
        </w:tc>
        <w:tc>
          <w:tcPr>
            <w:tcW w:w="360" w:type="dxa"/>
            <w:vAlign w:val="bottom"/>
            <w:tcBorders>
              <w:top w:val="single" w:sz="8" w:color="auto"/>
            </w:tcBorders>
            <w:gridSpan w:val="4"/>
            <w:shd w:val="clear" w:color="auto" w:fill="DCE2EF"/>
          </w:tcPr>
          <w:p>
            <w:pPr>
              <w:jc w:val="right"/>
              <w:ind w:right="55"/>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13.2</w:t>
            </w:r>
          </w:p>
        </w:tc>
        <w:tc>
          <w:tcPr>
            <w:tcW w:w="80" w:type="dxa"/>
            <w:vAlign w:val="bottom"/>
            <w:tcBorders>
              <w:top w:val="single" w:sz="8" w:color="DCE2EF"/>
            </w:tcBorders>
            <w:shd w:val="clear" w:color="auto" w:fill="DCE2EF"/>
          </w:tcPr>
          <w:p>
            <w:pPr>
              <w:spacing w:after="0"/>
              <w:rPr>
                <w:sz w:val="15"/>
                <w:szCs w:val="15"/>
                <w:color w:val="auto"/>
              </w:rPr>
            </w:pPr>
          </w:p>
        </w:tc>
        <w:tc>
          <w:tcPr>
            <w:tcW w:w="20" w:type="dxa"/>
            <w:vAlign w:val="bottom"/>
            <w:tcBorders>
              <w:top w:val="single" w:sz="8" w:color="auto"/>
            </w:tcBorders>
            <w:shd w:val="clear" w:color="auto" w:fill="DCE2EF"/>
          </w:tcPr>
          <w:p>
            <w:pPr>
              <w:spacing w:after="0"/>
              <w:rPr>
                <w:sz w:val="15"/>
                <w:szCs w:val="15"/>
                <w:color w:val="auto"/>
              </w:rPr>
            </w:pPr>
          </w:p>
        </w:tc>
        <w:tc>
          <w:tcPr>
            <w:tcW w:w="180" w:type="dxa"/>
            <w:vAlign w:val="bottom"/>
            <w:tcBorders>
              <w:top w:val="single" w:sz="8" w:color="auto"/>
            </w:tcBorders>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28.1</w:t>
            </w:r>
          </w:p>
        </w:tc>
        <w:tc>
          <w:tcPr>
            <w:tcW w:w="20" w:type="dxa"/>
            <w:vAlign w:val="bottom"/>
            <w:tcBorders>
              <w:top w:val="single" w:sz="8" w:color="auto"/>
            </w:tcBorders>
            <w:shd w:val="clear" w:color="auto" w:fill="DCE2EF"/>
          </w:tcPr>
          <w:p>
            <w:pPr>
              <w:spacing w:after="0"/>
              <w:rPr>
                <w:sz w:val="15"/>
                <w:szCs w:val="15"/>
                <w:color w:val="auto"/>
              </w:rPr>
            </w:pPr>
          </w:p>
        </w:tc>
        <w:tc>
          <w:tcPr>
            <w:tcW w:w="80" w:type="dxa"/>
            <w:vAlign w:val="bottom"/>
            <w:tcBorders>
              <w:top w:val="single" w:sz="8" w:color="auto"/>
            </w:tcBorders>
            <w:shd w:val="clear" w:color="auto" w:fill="DCE2EF"/>
          </w:tcPr>
          <w:p>
            <w:pPr>
              <w:spacing w:after="0"/>
              <w:rPr>
                <w:sz w:val="15"/>
                <w:szCs w:val="15"/>
                <w:color w:val="auto"/>
              </w:rPr>
            </w:pPr>
          </w:p>
        </w:tc>
        <w:tc>
          <w:tcPr>
            <w:tcW w:w="1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top w:val="single" w:sz="8" w:color="auto"/>
            </w:tcBorders>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gridSpan w:val="3"/>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516.9</w:t>
            </w:r>
          </w:p>
        </w:tc>
        <w:tc>
          <w:tcPr>
            <w:tcW w:w="80" w:type="dxa"/>
            <w:vAlign w:val="bottom"/>
            <w:tcBorders>
              <w:top w:val="single" w:sz="8" w:color="DCE2EF"/>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0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40" w:type="dxa"/>
            <w:vAlign w:val="bottom"/>
            <w:gridSpan w:val="3"/>
            <w:shd w:val="clear" w:color="auto" w:fill="DCE2EF"/>
          </w:tcPr>
          <w:p>
            <w:pPr>
              <w:ind w:left="20"/>
              <w:spacing w:after="0"/>
              <w:rPr>
                <w:sz w:val="20"/>
                <w:szCs w:val="20"/>
                <w:color w:val="auto"/>
              </w:rPr>
            </w:pPr>
            <w:r>
              <w:rPr>
                <w:rFonts w:ascii="Arial" w:cs="Arial" w:eastAsia="Arial" w:hAnsi="Arial"/>
                <w:sz w:val="13"/>
                <w:szCs w:val="13"/>
                <w:b w:val="1"/>
                <w:bCs w:val="1"/>
                <w:color w:val="auto"/>
              </w:rPr>
              <w:t>Total</w:t>
            </w:r>
          </w:p>
        </w:tc>
        <w:tc>
          <w:tcPr>
            <w:tcW w:w="280" w:type="dxa"/>
            <w:vAlign w:val="bottom"/>
            <w:gridSpan w:val="2"/>
            <w:shd w:val="clear" w:color="auto" w:fill="DCE2EF"/>
          </w:tcPr>
          <w:p>
            <w:pPr>
              <w:jc w:val="right"/>
              <w:ind w:right="95"/>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1,022.9</w:t>
            </w:r>
          </w:p>
        </w:tc>
        <w:tc>
          <w:tcPr>
            <w:tcW w:w="30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394.3</w:t>
            </w:r>
          </w:p>
        </w:tc>
        <w:tc>
          <w:tcPr>
            <w:tcW w:w="360" w:type="dxa"/>
            <w:vAlign w:val="bottom"/>
            <w:gridSpan w:val="4"/>
            <w:shd w:val="clear" w:color="auto" w:fill="DCE2EF"/>
          </w:tcPr>
          <w:p>
            <w:pPr>
              <w:jc w:val="right"/>
              <w:ind w:right="55"/>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270.1</w:t>
            </w:r>
          </w:p>
        </w:tc>
        <w:tc>
          <w:tcPr>
            <w:tcW w:w="8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180" w:type="dxa"/>
            <w:vAlign w:val="bottom"/>
            <w:shd w:val="clear" w:color="auto" w:fill="DCE2EF"/>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225.3</w:t>
            </w:r>
          </w:p>
        </w:tc>
        <w:tc>
          <w:tcPr>
            <w:tcW w:w="20" w:type="dxa"/>
            <w:vAlign w:val="bottom"/>
            <w:shd w:val="clear" w:color="auto" w:fill="DCE2EF"/>
          </w:tcPr>
          <w:p>
            <w:pPr>
              <w:spacing w:after="0"/>
              <w:rPr>
                <w:sz w:val="17"/>
                <w:szCs w:val="17"/>
                <w:color w:val="auto"/>
              </w:rPr>
            </w:pPr>
          </w:p>
        </w:tc>
        <w:tc>
          <w:tcPr>
            <w:tcW w:w="80" w:type="dxa"/>
            <w:vAlign w:val="bottom"/>
            <w:shd w:val="clear" w:color="auto" w:fill="DCE2EF"/>
          </w:tcPr>
          <w:p>
            <w:pPr>
              <w:spacing w:after="0"/>
              <w:rPr>
                <w:sz w:val="17"/>
                <w:szCs w:val="17"/>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202.3</w:t>
            </w:r>
          </w:p>
        </w:tc>
        <w:tc>
          <w:tcPr>
            <w:tcW w:w="280" w:type="dxa"/>
            <w:vAlign w:val="bottom"/>
            <w:gridSpan w:val="3"/>
            <w:shd w:val="clear" w:color="auto" w:fill="DCE2EF"/>
          </w:tcPr>
          <w:p>
            <w:pPr>
              <w:jc w:val="right"/>
              <w:ind w:right="10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3"/>
            <w:shd w:val="clear" w:color="auto" w:fill="DCE2EF"/>
          </w:tcPr>
          <w:p>
            <w:pPr>
              <w:jc w:val="right"/>
              <w:ind w:right="60"/>
              <w:spacing w:after="0"/>
              <w:rPr>
                <w:sz w:val="20"/>
                <w:szCs w:val="20"/>
                <w:color w:val="auto"/>
              </w:rPr>
            </w:pPr>
            <w:r>
              <w:rPr>
                <w:rFonts w:ascii="Arial" w:cs="Arial" w:eastAsia="Arial" w:hAnsi="Arial"/>
                <w:sz w:val="13"/>
                <w:szCs w:val="13"/>
                <w:b w:val="1"/>
                <w:bCs w:val="1"/>
                <w:color w:val="auto"/>
              </w:rPr>
              <w:t>2,114.9</w:t>
            </w:r>
          </w:p>
        </w:tc>
        <w:tc>
          <w:tcPr>
            <w:tcW w:w="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40" w:type="dxa"/>
            <w:vAlign w:val="bottom"/>
            <w:tcBorders>
              <w:top w:val="single" w:sz="8" w:color="DCE2EF"/>
            </w:tcBorders>
          </w:tcPr>
          <w:p>
            <w:pPr>
              <w:spacing w:after="0" w:line="20" w:lineRule="exact"/>
              <w:rPr>
                <w:sz w:val="1"/>
                <w:szCs w:val="1"/>
                <w:color w:val="auto"/>
              </w:rPr>
            </w:pPr>
          </w:p>
        </w:tc>
        <w:tc>
          <w:tcPr>
            <w:tcW w:w="33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60" w:hanging="157"/>
        <w:spacing w:after="0" w:line="241" w:lineRule="auto"/>
        <w:tabs>
          <w:tab w:leader="none" w:pos="175"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0" w:lineRule="exact"/>
        <w:rPr>
          <w:rFonts w:ascii="Arial" w:cs="Arial" w:eastAsia="Arial" w:hAnsi="Arial"/>
          <w:sz w:val="20"/>
          <w:szCs w:val="20"/>
          <w:color w:val="auto"/>
          <w:vertAlign w:val="superscript"/>
        </w:rPr>
      </w:pPr>
    </w:p>
    <w:p>
      <w:pPr>
        <w:ind w:left="160" w:hanging="157"/>
        <w:spacing w:after="0" w:line="236" w:lineRule="auto"/>
        <w:tabs>
          <w:tab w:leader="none" w:pos="189"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Aviation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81" w:lineRule="exact"/>
        <w:rPr>
          <w:rFonts w:ascii="Arial" w:cs="Arial" w:eastAsia="Arial" w:hAnsi="Arial"/>
          <w:sz w:val="20"/>
          <w:szCs w:val="20"/>
          <w:color w:val="auto"/>
          <w:vertAlign w:val="superscript"/>
        </w:rPr>
      </w:pPr>
    </w:p>
    <w:p>
      <w:pPr>
        <w:jc w:val="both"/>
        <w:ind w:left="160" w:hanging="157"/>
        <w:spacing w:after="0" w:line="352" w:lineRule="auto"/>
        <w:tabs>
          <w:tab w:leader="none" w:pos="15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Parking and Transportation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2" w:name="page13"/>
    <w:bookmarkEnd w:id="12"/>
    <w:p>
      <w:pPr>
        <w:jc w:val="both"/>
        <w:ind w:left="160" w:hanging="157"/>
        <w:spacing w:after="0" w:line="265" w:lineRule="auto"/>
        <w:tabs>
          <w:tab w:leader="none" w:pos="156"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Operations and Maintenance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266" w:lineRule="exact"/>
        <w:rPr>
          <w:rFonts w:ascii="Arial" w:cs="Arial" w:eastAsia="Arial" w:hAnsi="Arial"/>
          <w:sz w:val="18"/>
          <w:szCs w:val="18"/>
          <w:color w:val="auto"/>
          <w:vertAlign w:val="superscript"/>
        </w:rPr>
      </w:pPr>
    </w:p>
    <w:p>
      <w:pPr>
        <w:jc w:val="both"/>
        <w:ind w:left="160" w:hanging="157"/>
        <w:spacing w:after="0" w:line="244" w:lineRule="auto"/>
        <w:tabs>
          <w:tab w:leader="none" w:pos="169"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Building &amp; Energy Solutions arrangements provide custom energy solutions, including microgrid systems installation, electrical, HVAC, lighting, electric vehicle charging station installation, uninterrupted power supply services,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Contract Types</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have arrangements under various contract types, as described in Note 2, “Basis of Presentation and Significant Accounting Policies,” in our Annual Report on Form 10-K for the year ended October 31, 2025.</w:t>
      </w:r>
    </w:p>
    <w:p>
      <w:pPr>
        <w:spacing w:after="0" w:line="9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32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Remaining Performance Obligations</w:t>
      </w:r>
    </w:p>
    <w:p>
      <w:pPr>
        <w:spacing w:after="0" w:line="16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January 31, 2026, performance obligations that were unsatisfied for which we expect to recognize revenue totaled $224.2 million. We expect to recognize revenue on approximately 80% of the remaining performance obligations over the next 12 months, with the remainder recognized thereafter, based on our estimates of project timing.</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164FA2"/>
        </w:rPr>
        <w:t>Contract Balances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timing of revenue recognition, billings, and cash collections results in contract assets and contract liabilities, as further explained below.</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may differ from the timing of invoicing to customers.</w:t>
      </w:r>
    </w:p>
    <w:p>
      <w:pPr>
        <w:spacing w:after="0" w:line="14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balances in our contract assets and contract liabilities: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7"/>
                <w:szCs w:val="17"/>
                <w:b w:val="1"/>
                <w:bCs w:val="1"/>
                <w:color w:val="auto"/>
              </w:rPr>
              <w:t>January 31, 2026</w:t>
            </w:r>
          </w:p>
        </w:tc>
        <w:tc>
          <w:tcPr>
            <w:tcW w:w="260" w:type="dxa"/>
            <w:vAlign w:val="bottom"/>
          </w:tcPr>
          <w:p>
            <w:pPr>
              <w:spacing w:after="0"/>
              <w:rPr>
                <w:sz w:val="18"/>
                <w:szCs w:val="18"/>
                <w:color w:val="auto"/>
              </w:rPr>
            </w:pPr>
          </w:p>
        </w:tc>
        <w:tc>
          <w:tcPr>
            <w:tcW w:w="1960" w:type="dxa"/>
            <w:vAlign w:val="bottom"/>
          </w:tcPr>
          <w:p>
            <w:pPr>
              <w:jc w:val="right"/>
              <w:ind w:right="341"/>
              <w:spacing w:after="0"/>
              <w:rPr>
                <w:sz w:val="20"/>
                <w:szCs w:val="20"/>
                <w:color w:val="auto"/>
              </w:rPr>
            </w:pPr>
            <w:r>
              <w:rPr>
                <w:rFonts w:ascii="Arial" w:cs="Arial" w:eastAsia="Arial" w:hAnsi="Arial"/>
                <w:sz w:val="17"/>
                <w:szCs w:val="17"/>
                <w:b w:val="1"/>
                <w:bCs w:val="1"/>
                <w:color w:val="auto"/>
              </w:rPr>
              <w:t>October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0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6"/>
        </w:trPr>
        <w:tc>
          <w:tcPr>
            <w:tcW w:w="67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Contract assets</w:t>
            </w: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1960" w:type="dxa"/>
            <w:vAlign w:val="bottom"/>
            <w:shd w:val="clear" w:color="auto" w:fill="DCE2E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680" w:type="dxa"/>
            <w:vAlign w:val="bottom"/>
            <w:gridSpan w:val="2"/>
          </w:tcPr>
          <w:p>
            <w:pPr>
              <w:ind w:left="200"/>
              <w:spacing w:after="0" w:line="207" w:lineRule="exact"/>
              <w:rPr>
                <w:sz w:val="20"/>
                <w:szCs w:val="20"/>
                <w:color w:val="auto"/>
              </w:rPr>
            </w:pPr>
            <w:r>
              <w:rPr>
                <w:rFonts w:ascii="Arial" w:cs="Arial" w:eastAsia="Arial" w:hAnsi="Arial"/>
                <w:sz w:val="15"/>
                <w:szCs w:val="15"/>
                <w:color w:val="auto"/>
              </w:rPr>
              <w:t>Billed trade receivables</w:t>
            </w:r>
            <w:r>
              <w:rPr>
                <w:rFonts w:ascii="Arial" w:cs="Arial" w:eastAsia="Arial" w:hAnsi="Arial"/>
                <w:sz w:val="20"/>
                <w:szCs w:val="20"/>
                <w:color w:val="auto"/>
                <w:vertAlign w:val="superscript"/>
              </w:rPr>
              <w:t>(1)</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ind w:right="1"/>
              <w:spacing w:after="0"/>
              <w:rPr>
                <w:sz w:val="20"/>
                <w:szCs w:val="20"/>
                <w:color w:val="auto"/>
              </w:rPr>
            </w:pPr>
            <w:r>
              <w:rPr>
                <w:rFonts w:ascii="Arial" w:cs="Arial" w:eastAsia="Arial" w:hAnsi="Arial"/>
                <w:sz w:val="15"/>
                <w:szCs w:val="15"/>
                <w:color w:val="auto"/>
              </w:rPr>
              <w:t>1,229.0</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1,223.0</w:t>
            </w:r>
          </w:p>
        </w:tc>
      </w:tr>
      <w:tr>
        <w:trPr>
          <w:trHeight w:val="206"/>
        </w:trPr>
        <w:tc>
          <w:tcPr>
            <w:tcW w:w="20" w:type="dxa"/>
            <w:vAlign w:val="bottom"/>
            <w:shd w:val="clear" w:color="auto" w:fill="DCE2EF"/>
          </w:tcPr>
          <w:p>
            <w:pPr>
              <w:spacing w:after="0"/>
              <w:rPr>
                <w:sz w:val="17"/>
                <w:szCs w:val="17"/>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Unbilled trade receivables</w:t>
            </w:r>
            <w:r>
              <w:rPr>
                <w:rFonts w:ascii="Arial" w:cs="Arial" w:eastAsia="Arial" w:hAnsi="Arial"/>
                <w:sz w:val="20"/>
                <w:szCs w:val="20"/>
                <w:color w:val="auto"/>
                <w:vertAlign w:val="superscript"/>
              </w:rPr>
              <w:t>(1)</w:t>
            </w:r>
          </w:p>
        </w:tc>
        <w:tc>
          <w:tcPr>
            <w:tcW w:w="260" w:type="dxa"/>
            <w:vAlign w:val="bottom"/>
            <w:shd w:val="clear" w:color="auto" w:fill="DCE2EF"/>
          </w:tcPr>
          <w:p>
            <w:pPr>
              <w:spacing w:after="0"/>
              <w:rPr>
                <w:sz w:val="17"/>
                <w:szCs w:val="17"/>
                <w:color w:val="auto"/>
              </w:rPr>
            </w:pPr>
          </w:p>
        </w:tc>
        <w:tc>
          <w:tcPr>
            <w:tcW w:w="196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290.0</w:t>
            </w:r>
          </w:p>
        </w:tc>
        <w:tc>
          <w:tcPr>
            <w:tcW w:w="10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273.6</w:t>
            </w:r>
          </w:p>
        </w:tc>
      </w:tr>
      <w:tr>
        <w:trPr>
          <w:trHeight w:val="205"/>
        </w:trPr>
        <w:tc>
          <w:tcPr>
            <w:tcW w:w="20" w:type="dxa"/>
            <w:vAlign w:val="bottom"/>
          </w:tcPr>
          <w:p>
            <w:pPr>
              <w:spacing w:after="0"/>
              <w:rPr>
                <w:sz w:val="17"/>
                <w:szCs w:val="17"/>
                <w:color w:val="auto"/>
              </w:rPr>
            </w:pPr>
          </w:p>
        </w:tc>
        <w:tc>
          <w:tcPr>
            <w:tcW w:w="6680" w:type="dxa"/>
            <w:vAlign w:val="bottom"/>
            <w:gridSpan w:val="2"/>
          </w:tcPr>
          <w:p>
            <w:pPr>
              <w:ind w:left="200"/>
              <w:spacing w:after="0"/>
              <w:rPr>
                <w:sz w:val="20"/>
                <w:szCs w:val="20"/>
                <w:color w:val="auto"/>
              </w:rPr>
            </w:pPr>
            <w:r>
              <w:rPr>
                <w:rFonts w:ascii="Arial" w:cs="Arial" w:eastAsia="Arial" w:hAnsi="Arial"/>
                <w:sz w:val="15"/>
                <w:szCs w:val="15"/>
                <w:color w:val="auto"/>
              </w:rPr>
              <w:t>Costs incurred in excess of amounts billed</w:t>
            </w:r>
          </w:p>
        </w:tc>
        <w:tc>
          <w:tcPr>
            <w:tcW w:w="260" w:type="dxa"/>
            <w:vAlign w:val="bottom"/>
          </w:tcPr>
          <w:p>
            <w:pPr>
              <w:spacing w:after="0"/>
              <w:rPr>
                <w:sz w:val="17"/>
                <w:szCs w:val="17"/>
                <w:color w:val="auto"/>
              </w:rPr>
            </w:pPr>
          </w:p>
        </w:tc>
        <w:tc>
          <w:tcPr>
            <w:tcW w:w="1960" w:type="dxa"/>
            <w:vAlign w:val="bottom"/>
          </w:tcPr>
          <w:p>
            <w:pPr>
              <w:jc w:val="right"/>
              <w:ind w:right="1"/>
              <w:spacing w:after="0"/>
              <w:rPr>
                <w:sz w:val="20"/>
                <w:szCs w:val="20"/>
                <w:color w:val="auto"/>
              </w:rPr>
            </w:pPr>
            <w:r>
              <w:rPr>
                <w:rFonts w:ascii="Arial" w:cs="Arial" w:eastAsia="Arial" w:hAnsi="Arial"/>
                <w:sz w:val="15"/>
                <w:szCs w:val="15"/>
                <w:color w:val="auto"/>
              </w:rPr>
              <w:t>162.0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193.7</w:t>
            </w:r>
          </w:p>
        </w:tc>
      </w:tr>
      <w:tr>
        <w:trPr>
          <w:trHeight w:val="207"/>
        </w:trPr>
        <w:tc>
          <w:tcPr>
            <w:tcW w:w="20" w:type="dxa"/>
            <w:vAlign w:val="bottom"/>
            <w:shd w:val="clear" w:color="auto" w:fill="DCE2EF"/>
          </w:tcPr>
          <w:p>
            <w:pPr>
              <w:spacing w:after="0"/>
              <w:rPr>
                <w:sz w:val="18"/>
                <w:szCs w:val="18"/>
                <w:color w:val="auto"/>
              </w:rPr>
            </w:pPr>
          </w:p>
        </w:tc>
        <w:tc>
          <w:tcPr>
            <w:tcW w:w="6680" w:type="dxa"/>
            <w:vAlign w:val="bottom"/>
            <w:gridSpan w:val="2"/>
            <w:shd w:val="clear" w:color="auto" w:fill="DCE2EF"/>
          </w:tcPr>
          <w:p>
            <w:pPr>
              <w:ind w:left="200"/>
              <w:spacing w:after="0" w:line="207" w:lineRule="exact"/>
              <w:rPr>
                <w:sz w:val="20"/>
                <w:szCs w:val="20"/>
                <w:color w:val="auto"/>
              </w:rPr>
            </w:pPr>
            <w:r>
              <w:rPr>
                <w:rFonts w:ascii="Arial" w:cs="Arial" w:eastAsia="Arial" w:hAnsi="Arial"/>
                <w:sz w:val="15"/>
                <w:szCs w:val="15"/>
                <w:color w:val="auto"/>
              </w:rPr>
              <w:t>Capitalized commissions</w:t>
            </w:r>
            <w:r>
              <w:rPr>
                <w:rFonts w:ascii="Arial" w:cs="Arial" w:eastAsia="Arial" w:hAnsi="Arial"/>
                <w:sz w:val="20"/>
                <w:szCs w:val="20"/>
                <w:color w:val="auto"/>
                <w:vertAlign w:val="superscript"/>
              </w:rPr>
              <w:t>(2)</w:t>
            </w: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ind w:right="1"/>
              <w:spacing w:after="0"/>
              <w:rPr>
                <w:sz w:val="20"/>
                <w:szCs w:val="20"/>
                <w:color w:val="auto"/>
              </w:rPr>
            </w:pPr>
            <w:r>
              <w:rPr>
                <w:rFonts w:ascii="Arial" w:cs="Arial" w:eastAsia="Arial" w:hAnsi="Arial"/>
                <w:sz w:val="15"/>
                <w:szCs w:val="15"/>
                <w:color w:val="auto"/>
              </w:rPr>
              <w:t>32.8</w:t>
            </w:r>
          </w:p>
        </w:tc>
        <w:tc>
          <w:tcPr>
            <w:tcW w:w="100" w:type="dxa"/>
            <w:vAlign w:val="bottom"/>
            <w:shd w:val="clear" w:color="auto" w:fill="DCE2EF"/>
          </w:tcPr>
          <w:p>
            <w:pPr>
              <w:spacing w:after="0"/>
              <w:rPr>
                <w:sz w:val="18"/>
                <w:szCs w:val="18"/>
                <w:color w:val="auto"/>
              </w:rPr>
            </w:pPr>
          </w:p>
        </w:tc>
        <w:tc>
          <w:tcPr>
            <w:tcW w:w="260" w:type="dxa"/>
            <w:vAlign w:val="bottom"/>
            <w:shd w:val="clear" w:color="auto" w:fill="DCE2EF"/>
          </w:tcPr>
          <w:p>
            <w:pPr>
              <w:spacing w:after="0"/>
              <w:rPr>
                <w:sz w:val="18"/>
                <w:szCs w:val="18"/>
                <w:color w:val="auto"/>
              </w:rPr>
            </w:pP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32.3</w:t>
            </w:r>
          </w:p>
        </w:tc>
      </w:tr>
    </w:tbl>
    <w:p>
      <w:pPr>
        <w:spacing w:after="0" w:line="270" w:lineRule="exact"/>
        <w:rPr>
          <w:sz w:val="20"/>
          <w:szCs w:val="20"/>
          <w:color w:val="auto"/>
        </w:rPr>
      </w:pPr>
    </w:p>
    <w:p>
      <w:pPr>
        <w:ind w:left="160" w:hanging="157"/>
        <w:spacing w:after="0"/>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Included in “Trade accounts receivable, net,” on the unaudited Consolidated Balance Sheets.</w:t>
      </w:r>
    </w:p>
    <w:p>
      <w:pPr>
        <w:spacing w:after="0" w:line="79" w:lineRule="exact"/>
        <w:rPr>
          <w:rFonts w:ascii="Arial" w:cs="Arial" w:eastAsia="Arial" w:hAnsi="Arial"/>
          <w:sz w:val="19"/>
          <w:szCs w:val="19"/>
          <w:color w:val="auto"/>
          <w:vertAlign w:val="superscript"/>
        </w:rPr>
      </w:pPr>
    </w:p>
    <w:p>
      <w:pPr>
        <w:jc w:val="both"/>
        <w:ind w:left="160" w:hanging="157"/>
        <w:spacing w:after="0"/>
        <w:tabs>
          <w:tab w:leader="none" w:pos="169"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Included in “Other current assets” and “Other noncurrent assets” on the unaudited Consolidated Balance Sheets. During the three months ended January 31, 2026, we capitalized $6.0 million of new costs and amortized $5.5 million of previously capitalized costs. There was no impairment loss recorded on the costs capitalized.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jc w:val="right"/>
              <w:ind w:right="363"/>
              <w:spacing w:after="0"/>
              <w:rPr>
                <w:sz w:val="20"/>
                <w:szCs w:val="20"/>
                <w:color w:val="auto"/>
              </w:rPr>
            </w:pPr>
            <w:r>
              <w:rPr>
                <w:rFonts w:ascii="Arial" w:cs="Arial" w:eastAsia="Arial" w:hAnsi="Arial"/>
                <w:sz w:val="15"/>
                <w:szCs w:val="15"/>
                <w:b w:val="1"/>
                <w:bCs w:val="1"/>
                <w:color w:val="auto"/>
              </w:rPr>
              <w:t>Three Months Ended</w:t>
            </w:r>
          </w:p>
        </w:tc>
      </w:tr>
      <w:tr>
        <w:trPr>
          <w:trHeight w:val="155"/>
        </w:trPr>
        <w:tc>
          <w:tcPr>
            <w:tcW w:w="8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3"/>
                <w:szCs w:val="13"/>
                <w:color w:val="auto"/>
              </w:rPr>
            </w:pPr>
          </w:p>
        </w:tc>
        <w:tc>
          <w:tcPr>
            <w:tcW w:w="2140" w:type="dxa"/>
            <w:vAlign w:val="bottom"/>
          </w:tcPr>
          <w:p>
            <w:pPr>
              <w:jc w:val="right"/>
              <w:ind w:right="503"/>
              <w:spacing w:after="0" w:line="135" w:lineRule="exact"/>
              <w:rPr>
                <w:sz w:val="20"/>
                <w:szCs w:val="20"/>
                <w:color w:val="auto"/>
              </w:rPr>
            </w:pPr>
            <w:r>
              <w:rPr>
                <w:rFonts w:ascii="Arial" w:cs="Arial" w:eastAsia="Arial" w:hAnsi="Arial"/>
                <w:sz w:val="15"/>
                <w:szCs w:val="15"/>
                <w:b w:val="1"/>
                <w:bCs w:val="1"/>
                <w:color w:val="auto"/>
              </w:rPr>
              <w:t>January 31, 2026</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812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6"/>
        </w:trPr>
        <w:tc>
          <w:tcPr>
            <w:tcW w:w="8820" w:type="dxa"/>
            <w:vAlign w:val="bottom"/>
            <w:gridSpan w:val="3"/>
            <w:shd w:val="clear" w:color="auto" w:fill="DCE2EF"/>
          </w:tcPr>
          <w:p>
            <w:pPr>
              <w:ind w:left="20"/>
              <w:spacing w:after="0" w:line="186" w:lineRule="exact"/>
              <w:rPr>
                <w:sz w:val="20"/>
                <w:szCs w:val="20"/>
                <w:color w:val="auto"/>
              </w:rPr>
            </w:pPr>
            <w:r>
              <w:rPr>
                <w:rFonts w:ascii="Arial" w:cs="Arial" w:eastAsia="Arial" w:hAnsi="Arial"/>
                <w:sz w:val="15"/>
                <w:szCs w:val="15"/>
                <w:b w:val="1"/>
                <w:bCs w:val="1"/>
                <w:color w:val="auto"/>
              </w:rPr>
              <w:t>Contract liabilities</w:t>
            </w:r>
            <w:r>
              <w:rPr>
                <w:rFonts w:ascii="Arial" w:cs="Arial" w:eastAsia="Arial" w:hAnsi="Arial"/>
                <w:sz w:val="20"/>
                <w:szCs w:val="20"/>
                <w:color w:val="auto"/>
                <w:vertAlign w:val="superscript"/>
              </w:rPr>
              <w:t>(1)</w:t>
            </w:r>
          </w:p>
        </w:tc>
        <w:tc>
          <w:tcPr>
            <w:tcW w:w="280" w:type="dxa"/>
            <w:vAlign w:val="bottom"/>
            <w:shd w:val="clear" w:color="auto" w:fill="DCE2EF"/>
          </w:tcPr>
          <w:p>
            <w:pPr>
              <w:spacing w:after="0"/>
              <w:rPr>
                <w:sz w:val="16"/>
                <w:szCs w:val="16"/>
                <w:color w:val="auto"/>
              </w:rPr>
            </w:pPr>
          </w:p>
        </w:tc>
        <w:tc>
          <w:tcPr>
            <w:tcW w:w="214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Balance at beginning of period</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148.6</w:t>
            </w:r>
          </w:p>
        </w:tc>
      </w:tr>
      <w:tr>
        <w:trPr>
          <w:trHeight w:val="207"/>
        </w:trPr>
        <w:tc>
          <w:tcPr>
            <w:tcW w:w="20" w:type="dxa"/>
            <w:vAlign w:val="bottom"/>
            <w:shd w:val="clear" w:color="auto" w:fill="DCE2EF"/>
          </w:tcPr>
          <w:p>
            <w:pPr>
              <w:spacing w:after="0"/>
              <w:rPr>
                <w:sz w:val="18"/>
                <w:szCs w:val="18"/>
                <w:color w:val="auto"/>
              </w:rPr>
            </w:pPr>
          </w:p>
        </w:tc>
        <w:tc>
          <w:tcPr>
            <w:tcW w:w="880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Additional contract liabilities</w:t>
            </w:r>
          </w:p>
        </w:tc>
        <w:tc>
          <w:tcPr>
            <w:tcW w:w="280" w:type="dxa"/>
            <w:vAlign w:val="bottom"/>
            <w:shd w:val="clear" w:color="auto" w:fill="DCE2EF"/>
          </w:tcPr>
          <w:p>
            <w:pPr>
              <w:spacing w:after="0"/>
              <w:rPr>
                <w:sz w:val="18"/>
                <w:szCs w:val="18"/>
                <w:color w:val="auto"/>
              </w:rPr>
            </w:pPr>
          </w:p>
        </w:tc>
        <w:tc>
          <w:tcPr>
            <w:tcW w:w="21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131.9</w:t>
            </w:r>
          </w:p>
        </w:tc>
      </w:tr>
      <w:tr>
        <w:trPr>
          <w:trHeight w:val="257"/>
        </w:trPr>
        <w:tc>
          <w:tcPr>
            <w:tcW w:w="20" w:type="dxa"/>
            <w:vAlign w:val="bottom"/>
            <w:tcBorders>
              <w:bottom w:val="single" w:sz="8" w:color="DCE2EF"/>
            </w:tcBorders>
          </w:tcPr>
          <w:p>
            <w:pPr>
              <w:spacing w:after="0"/>
              <w:rPr>
                <w:sz w:val="22"/>
                <w:szCs w:val="22"/>
                <w:color w:val="auto"/>
              </w:rPr>
            </w:pPr>
          </w:p>
        </w:tc>
        <w:tc>
          <w:tcPr>
            <w:tcW w:w="880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Recognition of deferred revenue</w:t>
            </w:r>
          </w:p>
        </w:tc>
        <w:tc>
          <w:tcPr>
            <w:tcW w:w="2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w:t>
            </w:r>
          </w:p>
        </w:tc>
      </w:tr>
      <w:tr>
        <w:trPr>
          <w:trHeight w:val="238"/>
        </w:trPr>
        <w:tc>
          <w:tcPr>
            <w:tcW w:w="20" w:type="dxa"/>
            <w:vAlign w:val="bottom"/>
            <w:tcBorders>
              <w:bottom w:val="single" w:sz="8" w:color="DCE2EF"/>
            </w:tcBorders>
            <w:shd w:val="clear" w:color="auto" w:fill="DCE2EF"/>
          </w:tcPr>
          <w:p>
            <w:pPr>
              <w:spacing w:after="0"/>
              <w:rPr>
                <w:sz w:val="20"/>
                <w:szCs w:val="20"/>
                <w:color w:val="auto"/>
              </w:rPr>
            </w:pPr>
          </w:p>
        </w:tc>
        <w:tc>
          <w:tcPr>
            <w:tcW w:w="88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5"/>
                <w:szCs w:val="15"/>
                <w:color w:val="auto"/>
              </w:rPr>
              <w:t>Balance at end of period</w:t>
            </w:r>
          </w:p>
        </w:tc>
        <w:tc>
          <w:tcPr>
            <w:tcW w:w="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2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194.6</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81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2140" w:type="dxa"/>
            <w:vAlign w:val="bottom"/>
            <w:tcBorders>
              <w:top w:val="single" w:sz="8" w:color="DCE2E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60" w:hanging="157"/>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Included in “Deferred revenue” and “Other accrued liabilities” on the unaudited Consolidated Balance Sheets.</w:t>
      </w:r>
    </w:p>
    <w:p>
      <w:pPr>
        <w:spacing w:after="0" w:line="200" w:lineRule="exact"/>
        <w:rPr>
          <w:rFonts w:ascii="Arial" w:cs="Arial" w:eastAsia="Arial" w:hAnsi="Arial"/>
          <w:sz w:val="19"/>
          <w:szCs w:val="19"/>
          <w:color w:val="auto"/>
          <w:vertAlign w:val="superscript"/>
        </w:rPr>
      </w:pPr>
    </w:p>
    <w:p>
      <w:pPr>
        <w:spacing w:after="0" w:line="300"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0046AD"/>
        </w:rPr>
        <w:t>5</w:t>
      </w:r>
      <w:r>
        <w:rPr>
          <w:rFonts w:ascii="Arial" w:cs="Arial" w:eastAsia="Arial" w:hAnsi="Arial"/>
          <w:sz w:val="17"/>
          <w:szCs w:val="17"/>
          <w:color w:val="000000"/>
        </w:rPr>
        <w:t>.</w:t>
      </w:r>
      <w:r>
        <w:rPr>
          <w:rFonts w:ascii="Arial" w:cs="Arial" w:eastAsia="Arial" w:hAnsi="Arial"/>
          <w:sz w:val="17"/>
          <w:szCs w:val="17"/>
          <w:b w:val="1"/>
          <w:bCs w:val="1"/>
          <w:color w:val="0046AD"/>
        </w:rPr>
        <w:t xml:space="preserve">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In the fourth quarter of 2025, we implemented a restructuring program (the “Restructuring Program”) to further streamline our operations and improve the efficiency of our support functions. This initiative is intended to enhance overall organizational effectiveness and ensure alignment between the Company’s cost structure and our strategic growth objectives. We recognized $17.1 million of cumulative restructuring charges under this program through the first quarter of 2026, which includes employee severance, asset impairment charges, and other related costs. We continue to review our overhead and cost structure for additional efficiency opportunities under this program. We expect these actions to be completed in 2026.</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Rollforward of Restructuring and Related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Employee</w:t>
            </w:r>
          </w:p>
        </w:tc>
        <w:tc>
          <w:tcPr>
            <w:tcW w:w="15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Asset Impairment</w:t>
            </w:r>
            <w:r>
              <w:rPr>
                <w:rFonts w:ascii="Arial" w:cs="Arial" w:eastAsia="Arial" w:hAnsi="Arial"/>
                <w:sz w:val="20"/>
                <w:szCs w:val="20"/>
                <w:color w:val="auto"/>
                <w:vertAlign w:val="superscript"/>
              </w:rPr>
              <w:t>(2)</w:t>
            </w:r>
          </w:p>
        </w:tc>
        <w:tc>
          <w:tcPr>
            <w:tcW w:w="28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Other</w:t>
            </w:r>
          </w:p>
        </w:tc>
        <w:tc>
          <w:tcPr>
            <w:tcW w:w="30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8"/>
        </w:trPr>
        <w:tc>
          <w:tcPr>
            <w:tcW w:w="4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line="168" w:lineRule="exact"/>
              <w:rPr>
                <w:sz w:val="20"/>
                <w:szCs w:val="20"/>
                <w:color w:val="auto"/>
              </w:rPr>
            </w:pPr>
            <w:r>
              <w:rPr>
                <w:rFonts w:ascii="Arial" w:cs="Arial" w:eastAsia="Arial" w:hAnsi="Arial"/>
                <w:sz w:val="15"/>
                <w:szCs w:val="15"/>
                <w:b w:val="1"/>
                <w:bCs w:val="1"/>
                <w:color w:val="auto"/>
              </w:rPr>
              <w:t>Severance</w:t>
            </w:r>
          </w:p>
        </w:tc>
        <w:tc>
          <w:tcPr>
            <w:tcW w:w="15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06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November 1, 2025</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3.4</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center"/>
              <w:ind w:left="62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Costs recognized</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left="62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84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Payments</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spacing w:after="0"/>
              <w:rPr>
                <w:sz w:val="17"/>
                <w:szCs w:val="17"/>
                <w:color w:val="auto"/>
              </w:rPr>
            </w:pP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spacing w:after="0"/>
              <w:rPr>
                <w:sz w:val="17"/>
                <w:szCs w:val="17"/>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center"/>
              <w:ind w:left="603"/>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4840" w:type="dxa"/>
            <w:vAlign w:val="bottom"/>
            <w:tcBorders>
              <w:bottom w:val="single" w:sz="8" w:color="DCE2EF"/>
            </w:tcBorders>
            <w:gridSpan w:val="2"/>
          </w:tcPr>
          <w:p>
            <w:pPr>
              <w:ind w:left="120"/>
              <w:spacing w:after="0"/>
              <w:rPr>
                <w:sz w:val="20"/>
                <w:szCs w:val="20"/>
                <w:color w:val="auto"/>
              </w:rPr>
            </w:pPr>
            <w:r>
              <w:rPr>
                <w:rFonts w:ascii="Arial" w:cs="Arial" w:eastAsia="Arial" w:hAnsi="Arial"/>
                <w:sz w:val="15"/>
                <w:szCs w:val="15"/>
                <w:color w:val="auto"/>
              </w:rPr>
              <w:t>Non-cash items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60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0"/>
        </w:trPr>
        <w:tc>
          <w:tcPr>
            <w:tcW w:w="48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Balance, January 31, 2026</w:t>
            </w:r>
          </w:p>
        </w:tc>
        <w:tc>
          <w:tcPr>
            <w:tcW w:w="12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DCE2EF"/>
          </w:tcPr>
          <w:p>
            <w:pPr>
              <w:spacing w:after="0"/>
              <w:rPr>
                <w:sz w:val="17"/>
                <w:szCs w:val="17"/>
                <w:color w:val="auto"/>
              </w:rPr>
            </w:pPr>
          </w:p>
        </w:tc>
        <w:tc>
          <w:tcPr>
            <w:tcW w:w="620" w:type="dxa"/>
            <w:vAlign w:val="bottom"/>
            <w:shd w:val="clear" w:color="auto" w:fill="DCE2EF"/>
          </w:tcPr>
          <w:p>
            <w:pPr>
              <w:ind w:lef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E2E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center"/>
              <w:ind w:left="623"/>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60" w:hanging="157"/>
        <w:spacing w:after="0" w:line="236" w:lineRule="auto"/>
        <w:tabs>
          <w:tab w:leader="none" w:pos="169"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We include these costs within corporate expenses and are included within “Restructuring and related expenses” on the unaudited Consolidated Statements of Comprehensive Income.</w:t>
      </w:r>
    </w:p>
    <w:p>
      <w:pPr>
        <w:spacing w:after="0" w:line="169" w:lineRule="exact"/>
        <w:rPr>
          <w:rFonts w:ascii="Arial" w:cs="Arial" w:eastAsia="Arial" w:hAnsi="Arial"/>
          <w:sz w:val="20"/>
          <w:szCs w:val="20"/>
          <w:color w:val="auto"/>
          <w:vertAlign w:val="superscript"/>
        </w:rPr>
      </w:pPr>
    </w:p>
    <w:p>
      <w:pPr>
        <w:ind w:left="160" w:hanging="157"/>
        <w:spacing w:after="0"/>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Represents various ROU asset impairments due to lease terminations or subleases as part of a real estate optimization project.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6.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Basic and Diluted Net Income Per Common Share Calculations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b w:val="1"/>
                <w:bCs w:val="1"/>
                <w:color w:val="auto"/>
              </w:rPr>
              <w:t>Three Months Ended January 31,</w:t>
            </w:r>
          </w:p>
        </w:tc>
        <w:tc>
          <w:tcPr>
            <w:tcW w:w="0" w:type="dxa"/>
            <w:vAlign w:val="bottom"/>
          </w:tcPr>
          <w:p>
            <w:pPr>
              <w:spacing w:after="0"/>
              <w:rPr>
                <w:sz w:val="1"/>
                <w:szCs w:val="1"/>
                <w:color w:val="auto"/>
              </w:rPr>
            </w:pPr>
          </w:p>
        </w:tc>
      </w:tr>
      <w:tr>
        <w:trPr>
          <w:trHeight w:val="160"/>
        </w:trPr>
        <w:tc>
          <w:tcPr>
            <w:tcW w:w="76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 except per share amounts)</w:t>
            </w:r>
          </w:p>
        </w:tc>
        <w:tc>
          <w:tcPr>
            <w:tcW w:w="360" w:type="dxa"/>
            <w:vAlign w:val="bottom"/>
          </w:tcPr>
          <w:p>
            <w:pPr>
              <w:spacing w:after="0"/>
              <w:rPr>
                <w:sz w:val="13"/>
                <w:szCs w:val="13"/>
                <w:color w:val="auto"/>
              </w:rPr>
            </w:pPr>
          </w:p>
        </w:tc>
        <w:tc>
          <w:tcPr>
            <w:tcW w:w="1420" w:type="dxa"/>
            <w:vAlign w:val="bottom"/>
          </w:tcPr>
          <w:p>
            <w:pPr>
              <w:jc w:val="right"/>
              <w:ind w:right="64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23"/>
              <w:spacing w:after="0" w:line="161" w:lineRule="exact"/>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20" w:type="dxa"/>
            <w:vAlign w:val="bottom"/>
            <w:tcBorders>
              <w:top w:val="single" w:sz="8" w:color="auto"/>
              <w:bottom w:val="single" w:sz="8" w:color="DCE2EF"/>
            </w:tcBorders>
          </w:tcPr>
          <w:p>
            <w:pPr>
              <w:spacing w:after="0" w:line="20" w:lineRule="exact"/>
              <w:rPr>
                <w:sz w:val="1"/>
                <w:szCs w:val="1"/>
                <w:color w:val="auto"/>
              </w:rPr>
            </w:pPr>
          </w:p>
        </w:tc>
        <w:tc>
          <w:tcPr>
            <w:tcW w:w="516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6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w:t>
            </w: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38.8</w:t>
            </w: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7600" w:type="dxa"/>
            <w:vAlign w:val="bottom"/>
            <w:gridSpan w:val="3"/>
            <w:shd w:val="clear" w:color="auto" w:fill="DCE2EF"/>
          </w:tcPr>
          <w:p>
            <w:pPr>
              <w:ind w:left="20"/>
              <w:spacing w:after="0" w:line="155" w:lineRule="exact"/>
              <w:rPr>
                <w:sz w:val="20"/>
                <w:szCs w:val="20"/>
                <w:color w:val="auto"/>
              </w:rPr>
            </w:pPr>
            <w:r>
              <w:rPr>
                <w:rFonts w:ascii="Arial" w:cs="Arial" w:eastAsia="Arial" w:hAnsi="Arial"/>
                <w:sz w:val="15"/>
                <w:szCs w:val="15"/>
                <w:b w:val="1"/>
                <w:bCs w:val="1"/>
                <w:color w:val="auto"/>
              </w:rPr>
              <w:t>Weighted-average common and common</w:t>
            </w:r>
          </w:p>
        </w:tc>
        <w:tc>
          <w:tcPr>
            <w:tcW w:w="360" w:type="dxa"/>
            <w:vAlign w:val="bottom"/>
            <w:shd w:val="clear" w:color="auto" w:fill="DCE2EF"/>
          </w:tcPr>
          <w:p>
            <w:pPr>
              <w:spacing w:after="0"/>
              <w:rPr>
                <w:sz w:val="13"/>
                <w:szCs w:val="13"/>
                <w:color w:val="auto"/>
              </w:rPr>
            </w:pPr>
          </w:p>
        </w:tc>
        <w:tc>
          <w:tcPr>
            <w:tcW w:w="142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60.3</w:t>
            </w:r>
          </w:p>
        </w:tc>
        <w:tc>
          <w:tcPr>
            <w:tcW w:w="100" w:type="dxa"/>
            <w:vAlign w:val="bottom"/>
            <w:shd w:val="clear" w:color="auto" w:fill="DCE2EF"/>
          </w:tcPr>
          <w:p>
            <w:pPr>
              <w:spacing w:after="0"/>
              <w:rPr>
                <w:sz w:val="13"/>
                <w:szCs w:val="13"/>
                <w:color w:val="auto"/>
              </w:rPr>
            </w:pPr>
          </w:p>
        </w:tc>
        <w:tc>
          <w:tcPr>
            <w:tcW w:w="400" w:type="dxa"/>
            <w:vAlign w:val="bottom"/>
            <w:shd w:val="clear" w:color="auto" w:fill="DCE2EF"/>
          </w:tcPr>
          <w:p>
            <w:pPr>
              <w:spacing w:after="0"/>
              <w:rPr>
                <w:sz w:val="13"/>
                <w:szCs w:val="13"/>
                <w:color w:val="auto"/>
              </w:rPr>
            </w:pPr>
          </w:p>
        </w:tc>
        <w:tc>
          <w:tcPr>
            <w:tcW w:w="13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62.7</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Basic</w:t>
            </w:r>
          </w:p>
        </w:tc>
        <w:tc>
          <w:tcPr>
            <w:tcW w:w="360" w:type="dxa"/>
            <w:vAlign w:val="bottom"/>
            <w:shd w:val="clear" w:color="auto" w:fill="DCE2EF"/>
          </w:tcPr>
          <w:p>
            <w:pPr>
              <w:spacing w:after="0"/>
              <w:rPr>
                <w:sz w:val="17"/>
                <w:szCs w:val="17"/>
                <w:color w:val="auto"/>
              </w:rPr>
            </w:pPr>
          </w:p>
        </w:tc>
        <w:tc>
          <w:tcPr>
            <w:tcW w:w="1420" w:type="dxa"/>
            <w:vAlign w:val="bottom"/>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36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00" w:type="dxa"/>
            <w:vAlign w:val="bottom"/>
            <w:gridSpan w:val="3"/>
          </w:tcPr>
          <w:p>
            <w:pPr>
              <w:ind w:left="20"/>
              <w:spacing w:after="0"/>
              <w:rPr>
                <w:sz w:val="20"/>
                <w:szCs w:val="20"/>
                <w:color w:val="auto"/>
              </w:rPr>
            </w:pPr>
            <w:r>
              <w:rPr>
                <w:rFonts w:ascii="Arial" w:cs="Arial" w:eastAsia="Arial" w:hAnsi="Arial"/>
                <w:sz w:val="15"/>
                <w:szCs w:val="15"/>
                <w:color w:val="auto"/>
              </w:rPr>
              <w:t>Effect of dilutive securities</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75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Restricted stock units</w:t>
            </w:r>
          </w:p>
        </w:tc>
        <w:tc>
          <w:tcPr>
            <w:tcW w:w="360" w:type="dxa"/>
            <w:vAlign w:val="bottom"/>
            <w:shd w:val="clear" w:color="auto" w:fill="DCE2EF"/>
          </w:tcPr>
          <w:p>
            <w:pPr>
              <w:spacing w:after="0"/>
              <w:rPr>
                <w:sz w:val="17"/>
                <w:szCs w:val="17"/>
                <w:color w:val="auto"/>
              </w:rPr>
            </w:pPr>
          </w:p>
        </w:tc>
        <w:tc>
          <w:tcPr>
            <w:tcW w:w="14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5"/>
        </w:trPr>
        <w:tc>
          <w:tcPr>
            <w:tcW w:w="20" w:type="dxa"/>
            <w:vAlign w:val="bottom"/>
            <w:tcBorders>
              <w:bottom w:val="single" w:sz="8" w:color="DCE2EF"/>
            </w:tcBorders>
          </w:tcPr>
          <w:p>
            <w:pPr>
              <w:spacing w:after="0"/>
              <w:rPr>
                <w:sz w:val="17"/>
                <w:szCs w:val="17"/>
                <w:color w:val="auto"/>
              </w:rPr>
            </w:pPr>
          </w:p>
        </w:tc>
        <w:tc>
          <w:tcPr>
            <w:tcW w:w="758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Performance shares</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DCE2E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35"/>
        </w:trPr>
        <w:tc>
          <w:tcPr>
            <w:tcW w:w="7600" w:type="dxa"/>
            <w:vAlign w:val="bottom"/>
            <w:gridSpan w:val="3"/>
            <w:shd w:val="clear" w:color="auto" w:fill="DCE2EF"/>
          </w:tcPr>
          <w:p>
            <w:pPr>
              <w:ind w:left="20"/>
              <w:spacing w:after="0" w:line="136" w:lineRule="exact"/>
              <w:rPr>
                <w:sz w:val="20"/>
                <w:szCs w:val="20"/>
                <w:color w:val="auto"/>
              </w:rPr>
            </w:pPr>
            <w:r>
              <w:rPr>
                <w:rFonts w:ascii="Arial" w:cs="Arial" w:eastAsia="Arial" w:hAnsi="Arial"/>
                <w:sz w:val="15"/>
                <w:szCs w:val="15"/>
                <w:b w:val="1"/>
                <w:bCs w:val="1"/>
                <w:color w:val="auto"/>
              </w:rPr>
              <w:t>Weighted-average common and common</w:t>
            </w:r>
          </w:p>
        </w:tc>
        <w:tc>
          <w:tcPr>
            <w:tcW w:w="360" w:type="dxa"/>
            <w:vAlign w:val="bottom"/>
            <w:shd w:val="clear" w:color="auto" w:fill="DCE2EF"/>
          </w:tcPr>
          <w:p>
            <w:pPr>
              <w:spacing w:after="0"/>
              <w:rPr>
                <w:sz w:val="11"/>
                <w:szCs w:val="11"/>
                <w:color w:val="auto"/>
              </w:rPr>
            </w:pPr>
          </w:p>
        </w:tc>
        <w:tc>
          <w:tcPr>
            <w:tcW w:w="142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60.7</w:t>
            </w:r>
          </w:p>
        </w:tc>
        <w:tc>
          <w:tcPr>
            <w:tcW w:w="100" w:type="dxa"/>
            <w:vAlign w:val="bottom"/>
            <w:shd w:val="clear" w:color="auto" w:fill="DCE2EF"/>
          </w:tcPr>
          <w:p>
            <w:pPr>
              <w:spacing w:after="0"/>
              <w:rPr>
                <w:sz w:val="11"/>
                <w:szCs w:val="11"/>
                <w:color w:val="auto"/>
              </w:rPr>
            </w:pPr>
          </w:p>
        </w:tc>
        <w:tc>
          <w:tcPr>
            <w:tcW w:w="400" w:type="dxa"/>
            <w:vAlign w:val="bottom"/>
            <w:shd w:val="clear" w:color="auto" w:fill="DCE2EF"/>
          </w:tcPr>
          <w:p>
            <w:pPr>
              <w:spacing w:after="0"/>
              <w:rPr>
                <w:sz w:val="11"/>
                <w:szCs w:val="11"/>
                <w:color w:val="auto"/>
              </w:rPr>
            </w:pPr>
          </w:p>
        </w:tc>
        <w:tc>
          <w:tcPr>
            <w:tcW w:w="13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200"/>
        </w:trPr>
        <w:tc>
          <w:tcPr>
            <w:tcW w:w="20" w:type="dxa"/>
            <w:vAlign w:val="bottom"/>
            <w:tcBorders>
              <w:bottom w:val="single" w:sz="8" w:color="DCE2EF"/>
            </w:tcBorders>
            <w:shd w:val="clear" w:color="auto" w:fill="DCE2EF"/>
          </w:tcPr>
          <w:p>
            <w:pPr>
              <w:spacing w:after="0"/>
              <w:rPr>
                <w:sz w:val="17"/>
                <w:szCs w:val="17"/>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5"/>
                <w:szCs w:val="15"/>
                <w:b w:val="1"/>
                <w:bCs w:val="1"/>
                <w:color w:val="auto"/>
              </w:rPr>
              <w:t>equivalent shares outstanding — Diluted</w:t>
            </w:r>
          </w:p>
        </w:tc>
        <w:tc>
          <w:tcPr>
            <w:tcW w:w="360" w:type="dxa"/>
            <w:vAlign w:val="bottom"/>
            <w:tcBorders>
              <w:bottom w:val="single" w:sz="8" w:color="auto"/>
            </w:tcBorders>
            <w:shd w:val="clear" w:color="auto" w:fill="DCE2EF"/>
          </w:tcPr>
          <w:p>
            <w:pPr>
              <w:spacing w:after="0"/>
              <w:rPr>
                <w:sz w:val="17"/>
                <w:szCs w:val="17"/>
                <w:color w:val="auto"/>
              </w:rPr>
            </w:pPr>
          </w:p>
        </w:tc>
        <w:tc>
          <w:tcPr>
            <w:tcW w:w="142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tcBorders>
              <w:bottom w:val="single" w:sz="8" w:color="DCE2EF"/>
            </w:tcBorders>
            <w:shd w:val="clear" w:color="auto" w:fill="DCE2EF"/>
          </w:tcPr>
          <w:p>
            <w:pPr>
              <w:spacing w:after="0"/>
              <w:rPr>
                <w:sz w:val="17"/>
                <w:szCs w:val="17"/>
                <w:color w:val="auto"/>
              </w:rPr>
            </w:pPr>
          </w:p>
        </w:tc>
        <w:tc>
          <w:tcPr>
            <w:tcW w:w="400" w:type="dxa"/>
            <w:vAlign w:val="bottom"/>
            <w:tcBorders>
              <w:bottom w:val="single" w:sz="8" w:color="auto"/>
            </w:tcBorders>
            <w:shd w:val="clear" w:color="auto" w:fill="DCE2EF"/>
          </w:tcPr>
          <w:p>
            <w:pPr>
              <w:spacing w:after="0"/>
              <w:rPr>
                <w:sz w:val="17"/>
                <w:szCs w:val="17"/>
                <w:color w:val="auto"/>
              </w:rPr>
            </w:pPr>
          </w:p>
        </w:tc>
        <w:tc>
          <w:tcPr>
            <w:tcW w:w="136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420" w:type="dxa"/>
            <w:vAlign w:val="bottom"/>
            <w:tcBorders>
              <w:top w:val="single" w:sz="8" w:color="DCE2EF"/>
            </w:tcBorders>
          </w:tcPr>
          <w:p>
            <w:pPr>
              <w:spacing w:after="0" w:line="20" w:lineRule="exact"/>
              <w:rPr>
                <w:sz w:val="1"/>
                <w:szCs w:val="1"/>
                <w:color w:val="auto"/>
              </w:rPr>
            </w:pPr>
          </w:p>
        </w:tc>
        <w:tc>
          <w:tcPr>
            <w:tcW w:w="516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360" w:type="dxa"/>
            <w:vAlign w:val="bottom"/>
            <w:shd w:val="clear" w:color="auto" w:fill="DCE2EF"/>
          </w:tcPr>
          <w:p>
            <w:pPr>
              <w:spacing w:after="0"/>
              <w:rPr>
                <w:sz w:val="17"/>
                <w:szCs w:val="17"/>
                <w:color w:val="auto"/>
              </w:rPr>
            </w:pPr>
          </w:p>
        </w:tc>
        <w:tc>
          <w:tcPr>
            <w:tcW w:w="14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8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0.64</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758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Diluted</w:t>
            </w:r>
          </w:p>
        </w:tc>
        <w:tc>
          <w:tcPr>
            <w:tcW w:w="360" w:type="dxa"/>
            <w:vAlign w:val="bottom"/>
            <w:shd w:val="clear" w:color="auto" w:fill="DCE2EF"/>
          </w:tcPr>
          <w:p>
            <w:pPr>
              <w:jc w:val="right"/>
              <w:ind w:right="16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0.64</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Anti-Dilutive Outstanding Stock Awards Issued Under Share-Based Compensation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6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Three Months Ended January 31,</w:t>
            </w:r>
          </w:p>
        </w:tc>
      </w:tr>
      <w:tr>
        <w:trPr>
          <w:trHeight w:val="160"/>
        </w:trPr>
        <w:tc>
          <w:tcPr>
            <w:tcW w:w="75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5"/>
                <w:szCs w:val="15"/>
                <w:i w:val="1"/>
                <w:iCs w:val="1"/>
                <w:color w:val="auto"/>
              </w:rPr>
              <w:t>(in millions)</w:t>
            </w:r>
          </w:p>
        </w:tc>
        <w:tc>
          <w:tcPr>
            <w:tcW w:w="1780" w:type="dxa"/>
            <w:vAlign w:val="bottom"/>
          </w:tcPr>
          <w:p>
            <w:pPr>
              <w:jc w:val="right"/>
              <w:ind w:right="64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1780" w:type="dxa"/>
            <w:vAlign w:val="bottom"/>
          </w:tcPr>
          <w:p>
            <w:pPr>
              <w:jc w:val="right"/>
              <w:ind w:right="643"/>
              <w:spacing w:after="0" w:line="161" w:lineRule="exact"/>
              <w:rPr>
                <w:sz w:val="20"/>
                <w:szCs w:val="20"/>
                <w:color w:val="auto"/>
              </w:rPr>
            </w:pPr>
            <w:r>
              <w:rPr>
                <w:rFonts w:ascii="Arial" w:cs="Arial" w:eastAsia="Arial" w:hAnsi="Arial"/>
                <w:sz w:val="15"/>
                <w:szCs w:val="15"/>
                <w:b w:val="1"/>
                <w:bCs w:val="1"/>
                <w:color w:val="auto"/>
              </w:rPr>
              <w:t>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60" w:type="dxa"/>
            <w:vAlign w:val="bottom"/>
            <w:tcBorders>
              <w:top w:val="single" w:sz="8" w:color="auto"/>
              <w:bottom w:val="single" w:sz="8" w:color="DCE2EF"/>
            </w:tcBorders>
          </w:tcPr>
          <w:p>
            <w:pPr>
              <w:spacing w:after="0" w:line="20" w:lineRule="exact"/>
              <w:rPr>
                <w:sz w:val="1"/>
                <w:szCs w:val="1"/>
                <w:color w:val="auto"/>
              </w:rPr>
            </w:pPr>
          </w:p>
        </w:tc>
        <w:tc>
          <w:tcPr>
            <w:tcW w:w="6800" w:type="dxa"/>
            <w:vAlign w:val="bottom"/>
            <w:tcBorders>
              <w:bottom w:val="single" w:sz="8" w:color="DCE2E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8"/>
        </w:trPr>
        <w:tc>
          <w:tcPr>
            <w:tcW w:w="758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Anti-dilutive</w:t>
            </w:r>
          </w:p>
        </w:tc>
        <w:tc>
          <w:tcPr>
            <w:tcW w:w="17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DCE2EF"/>
          </w:tcPr>
          <w:p>
            <w:pPr>
              <w:spacing w:after="0"/>
              <w:rPr>
                <w:sz w:val="17"/>
                <w:szCs w:val="17"/>
                <w:color w:val="auto"/>
              </w:rPr>
            </w:pPr>
          </w:p>
        </w:tc>
        <w:tc>
          <w:tcPr>
            <w:tcW w:w="17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0046AD"/>
        </w:rPr>
        <w:t>7.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Fair Value Hierarchy of Our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Assets and Liabilities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gridSpan w:val="3"/>
            <w:vMerge w:val="restart"/>
          </w:tcPr>
          <w:p>
            <w:pPr>
              <w:ind w:left="20"/>
              <w:spacing w:after="0"/>
              <w:rPr>
                <w:sz w:val="20"/>
                <w:szCs w:val="20"/>
                <w:color w:val="auto"/>
              </w:rPr>
            </w:pPr>
            <w:r>
              <w:rPr>
                <w:rFonts w:ascii="Arial" w:cs="Arial" w:eastAsia="Arial" w:hAnsi="Arial"/>
                <w:sz w:val="15"/>
                <w:szCs w:val="15"/>
                <w:i w:val="1"/>
                <w:iCs w:val="1"/>
                <w:color w:val="auto"/>
              </w:rPr>
              <w:t>(in millions)</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4"/>
                <w:szCs w:val="1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January 31, 2026</w:t>
            </w:r>
          </w:p>
        </w:tc>
        <w:tc>
          <w:tcPr>
            <w:tcW w:w="220" w:type="dxa"/>
            <w:vAlign w:val="bottom"/>
          </w:tcPr>
          <w:p>
            <w:pPr>
              <w:spacing w:after="0"/>
              <w:rPr>
                <w:sz w:val="14"/>
                <w:szCs w:val="14"/>
                <w:color w:val="auto"/>
              </w:rPr>
            </w:pPr>
          </w:p>
        </w:tc>
        <w:tc>
          <w:tcPr>
            <w:tcW w:w="168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October 31, 2025</w:t>
            </w:r>
          </w:p>
        </w:tc>
        <w:tc>
          <w:tcPr>
            <w:tcW w:w="0" w:type="dxa"/>
            <w:vAlign w:val="bottom"/>
          </w:tcPr>
          <w:p>
            <w:pPr>
              <w:spacing w:after="0"/>
              <w:rPr>
                <w:sz w:val="1"/>
                <w:szCs w:val="1"/>
                <w:color w:val="auto"/>
              </w:rPr>
            </w:pPr>
          </w:p>
        </w:tc>
      </w:tr>
      <w:tr>
        <w:trPr>
          <w:trHeight w:val="168"/>
        </w:trPr>
        <w:tc>
          <w:tcPr>
            <w:tcW w:w="5700" w:type="dxa"/>
            <w:vAlign w:val="bottom"/>
            <w:gridSpan w:val="3"/>
            <w:vMerge w:val="continue"/>
          </w:tcPr>
          <w:p>
            <w:pPr>
              <w:spacing w:after="0"/>
              <w:rPr>
                <w:sz w:val="14"/>
                <w:szCs w:val="14"/>
                <w:color w:val="auto"/>
              </w:rPr>
            </w:pPr>
          </w:p>
        </w:tc>
        <w:tc>
          <w:tcPr>
            <w:tcW w:w="1620" w:type="dxa"/>
            <w:vAlign w:val="bottom"/>
            <w:gridSpan w:val="2"/>
          </w:tcPr>
          <w:p>
            <w:pPr>
              <w:jc w:val="center"/>
              <w:ind w:right="100"/>
              <w:spacing w:after="0" w:line="168" w:lineRule="exact"/>
              <w:rPr>
                <w:sz w:val="20"/>
                <w:szCs w:val="20"/>
                <w:color w:val="auto"/>
              </w:rPr>
            </w:pPr>
            <w:r>
              <w:rPr>
                <w:rFonts w:ascii="Arial" w:cs="Arial" w:eastAsia="Arial" w:hAnsi="Arial"/>
                <w:sz w:val="15"/>
                <w:szCs w:val="15"/>
                <w:b w:val="1"/>
                <w:bCs w:val="1"/>
                <w:color w:val="auto"/>
              </w:rPr>
              <w:t>Hierarchy</w:t>
            </w: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80" w:type="dxa"/>
            <w:vAlign w:val="bottom"/>
            <w:tcBorders>
              <w:top w:val="single" w:sz="8" w:color="auto"/>
              <w:bottom w:val="single" w:sz="8" w:color="DCE2EF"/>
            </w:tcBorders>
          </w:tcPr>
          <w:p>
            <w:pPr>
              <w:spacing w:after="0" w:line="20" w:lineRule="exact"/>
              <w:rPr>
                <w:sz w:val="1"/>
                <w:szCs w:val="1"/>
                <w:color w:val="auto"/>
              </w:rPr>
            </w:pPr>
          </w:p>
        </w:tc>
        <w:tc>
          <w:tcPr>
            <w:tcW w:w="4900" w:type="dxa"/>
            <w:vAlign w:val="bottom"/>
            <w:tcBorders>
              <w:bottom w:val="single" w:sz="8" w:color="DCE2E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00" w:type="dxa"/>
            <w:vAlign w:val="bottom"/>
            <w:gridSpan w:val="3"/>
            <w:shd w:val="clear" w:color="auto" w:fill="DCE2EF"/>
          </w:tcPr>
          <w:p>
            <w:pPr>
              <w:ind w:left="20"/>
              <w:spacing w:after="0" w:line="198"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100.4</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104.1</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Insurance deposits</w:t>
            </w:r>
            <w:r>
              <w:rPr>
                <w:rFonts w:ascii="Arial" w:cs="Arial" w:eastAsia="Arial" w:hAnsi="Arial"/>
                <w:sz w:val="20"/>
                <w:szCs w:val="20"/>
                <w:color w:val="auto"/>
                <w:vertAlign w:val="superscript"/>
              </w:rPr>
              <w:t>(2)</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Assets held in funded deferred compensation plan</w:t>
            </w:r>
            <w:r>
              <w:rPr>
                <w:rFonts w:ascii="Arial" w:cs="Arial" w:eastAsia="Arial" w:hAnsi="Arial"/>
                <w:sz w:val="20"/>
                <w:szCs w:val="20"/>
                <w:color w:val="auto"/>
                <w:vertAlign w:val="superscript"/>
              </w:rPr>
              <w:t>(3)</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Credit facility</w:t>
            </w:r>
            <w:r>
              <w:rPr>
                <w:rFonts w:ascii="Arial" w:cs="Arial" w:eastAsia="Arial" w:hAnsi="Arial"/>
                <w:sz w:val="20"/>
                <w:szCs w:val="20"/>
                <w:color w:val="auto"/>
                <w:vertAlign w:val="superscript"/>
              </w:rPr>
              <w:t>(4)</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1,632.5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1,569.0</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Interest rate swap assets</w:t>
            </w:r>
            <w:r>
              <w:rPr>
                <w:rFonts w:ascii="Arial" w:cs="Arial" w:eastAsia="Arial" w:hAnsi="Arial"/>
                <w:sz w:val="20"/>
                <w:szCs w:val="20"/>
                <w:color w:val="auto"/>
                <w:vertAlign w:val="superscript"/>
              </w:rPr>
              <w:t>(5)</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2.5</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6"/>
        </w:trPr>
        <w:tc>
          <w:tcPr>
            <w:tcW w:w="5700" w:type="dxa"/>
            <w:vAlign w:val="bottom"/>
            <w:gridSpan w:val="3"/>
          </w:tcPr>
          <w:p>
            <w:pPr>
              <w:ind w:left="20"/>
              <w:spacing w:after="0" w:line="207" w:lineRule="exact"/>
              <w:rPr>
                <w:sz w:val="20"/>
                <w:szCs w:val="20"/>
                <w:color w:val="auto"/>
              </w:rPr>
            </w:pPr>
            <w:r>
              <w:rPr>
                <w:rFonts w:ascii="Arial" w:cs="Arial" w:eastAsia="Arial" w:hAnsi="Arial"/>
                <w:sz w:val="15"/>
                <w:szCs w:val="15"/>
                <w:color w:val="auto"/>
              </w:rPr>
              <w:t>Interest rate swap liabilities</w:t>
            </w:r>
            <w:r>
              <w:rPr>
                <w:rFonts w:ascii="Arial" w:cs="Arial" w:eastAsia="Arial" w:hAnsi="Arial"/>
                <w:sz w:val="20"/>
                <w:szCs w:val="20"/>
                <w:color w:val="auto"/>
                <w:vertAlign w:val="superscript"/>
              </w:rPr>
              <w:t>(5)</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6"/>
        </w:trPr>
        <w:tc>
          <w:tcPr>
            <w:tcW w:w="570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color w:val="auto"/>
              </w:rPr>
              <w:t>Investments in equity investment</w:t>
            </w:r>
            <w:r>
              <w:rPr>
                <w:rFonts w:ascii="Arial" w:cs="Arial" w:eastAsia="Arial" w:hAnsi="Arial"/>
                <w:sz w:val="20"/>
                <w:szCs w:val="20"/>
                <w:color w:val="auto"/>
                <w:vertAlign w:val="superscript"/>
              </w:rPr>
              <w:t>(6)</w:t>
            </w:r>
          </w:p>
        </w:tc>
        <w:tc>
          <w:tcPr>
            <w:tcW w:w="1520" w:type="dxa"/>
            <w:vAlign w:val="bottom"/>
            <w:shd w:val="clear" w:color="auto" w:fill="DCE2E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7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270"/>
        </w:trPr>
        <w:tc>
          <w:tcPr>
            <w:tcW w:w="5700" w:type="dxa"/>
            <w:vAlign w:val="bottom"/>
            <w:gridSpan w:val="3"/>
          </w:tcPr>
          <w:p>
            <w:pPr>
              <w:ind w:left="20"/>
              <w:spacing w:after="0"/>
              <w:rPr>
                <w:sz w:val="20"/>
                <w:szCs w:val="20"/>
                <w:color w:val="auto"/>
              </w:rPr>
            </w:pPr>
            <w:r>
              <w:rPr>
                <w:rFonts w:ascii="Arial" w:cs="Arial" w:eastAsia="Arial" w:hAnsi="Arial"/>
                <w:sz w:val="15"/>
                <w:szCs w:val="15"/>
                <w:color w:val="auto"/>
              </w:rPr>
              <w:t>Contingent consideration</w:t>
            </w:r>
            <w:r>
              <w:rPr>
                <w:rFonts w:ascii="Arial" w:cs="Arial" w:eastAsia="Arial" w:hAnsi="Arial"/>
                <w:sz w:val="20"/>
                <w:szCs w:val="20"/>
                <w:color w:val="auto"/>
                <w:vertAlign w:val="superscript"/>
              </w:rPr>
              <w:t>(7)(8)</w:t>
            </w:r>
          </w:p>
        </w:tc>
        <w:tc>
          <w:tcPr>
            <w:tcW w:w="152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38.7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0" w:hanging="157"/>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92" w:lineRule="exact"/>
        <w:rPr>
          <w:rFonts w:ascii="Arial" w:cs="Arial" w:eastAsia="Arial" w:hAnsi="Arial"/>
          <w:sz w:val="19"/>
          <w:szCs w:val="19"/>
          <w:color w:val="auto"/>
          <w:vertAlign w:val="superscript"/>
        </w:rPr>
      </w:pPr>
    </w:p>
    <w:p>
      <w:pPr>
        <w:jc w:val="both"/>
        <w:ind w:left="160" w:hanging="157"/>
        <w:spacing w:after="0" w:line="229"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8, “Insurance,”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tabs>
          <w:tab w:leader="none" w:pos="18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267" w:lineRule="exact"/>
        <w:rPr>
          <w:rFonts w:ascii="Arial" w:cs="Arial" w:eastAsia="Arial" w:hAnsi="Arial"/>
          <w:sz w:val="20"/>
          <w:szCs w:val="20"/>
          <w:color w:val="auto"/>
          <w:vertAlign w:val="superscript"/>
        </w:rPr>
      </w:pPr>
    </w:p>
    <w:p>
      <w:pPr>
        <w:ind w:left="160" w:hanging="157"/>
        <w:spacing w:after="0" w:line="229" w:lineRule="auto"/>
        <w:tabs>
          <w:tab w:leader="none" w:pos="181"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gross outstanding borrowings under our Amended Credit Facility. Due to variable interest rates, the carrying value of outstanding borrowings under this facility approximates the fair value. See Note 9, “Credit Facility,” for further information.</w:t>
      </w:r>
    </w:p>
    <w:p>
      <w:pPr>
        <w:spacing w:after="0" w:line="80" w:lineRule="exact"/>
        <w:rPr>
          <w:rFonts w:ascii="Arial" w:cs="Arial" w:eastAsia="Arial" w:hAnsi="Arial"/>
          <w:sz w:val="20"/>
          <w:szCs w:val="20"/>
          <w:color w:val="auto"/>
          <w:vertAlign w:val="superscript"/>
        </w:rPr>
      </w:pPr>
    </w:p>
    <w:p>
      <w:pPr>
        <w:jc w:val="both"/>
        <w:ind w:left="160" w:hanging="157"/>
        <w:spacing w:after="0" w:line="250" w:lineRule="auto"/>
        <w:tabs>
          <w:tab w:leader="none" w:pos="173"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and liabilities are included in “Other current assets” and “Other accrued liabilities,” respectively, on the accompanying unaudited Consolidated Balance Sheets. See Note 9, “Credit Facility,” for further information. Our interest rate swaps will mature in 2026.</w:t>
      </w:r>
    </w:p>
    <w:p>
      <w:pPr>
        <w:spacing w:after="0" w:line="73" w:lineRule="exact"/>
        <w:rPr>
          <w:rFonts w:ascii="Arial" w:cs="Arial" w:eastAsia="Arial" w:hAnsi="Arial"/>
          <w:sz w:val="20"/>
          <w:szCs w:val="20"/>
          <w:color w:val="auto"/>
          <w:vertAlign w:val="superscript"/>
        </w:rPr>
      </w:pPr>
    </w:p>
    <w:p>
      <w:pPr>
        <w:jc w:val="both"/>
        <w:ind w:left="160" w:hanging="157"/>
        <w:spacing w:after="0" w:line="276" w:lineRule="auto"/>
        <w:tabs>
          <w:tab w:leader="none" w:pos="156"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During the three months ended October 31, 2025, we purchased a $20.0 million call option to acquire an ownership interest in WGNSTAR. This Acquisition has now been completed—refer to Note 14, “Subsequent Events,” for further information. 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57" w:lineRule="exact"/>
        <w:rPr>
          <w:rFonts w:ascii="Arial" w:cs="Arial" w:eastAsia="Arial" w:hAnsi="Arial"/>
          <w:sz w:val="18"/>
          <w:szCs w:val="18"/>
          <w:color w:val="auto"/>
          <w:vertAlign w:val="superscript"/>
        </w:rPr>
      </w:pPr>
    </w:p>
    <w:p>
      <w:pPr>
        <w:jc w:val="both"/>
        <w:ind w:left="160" w:hanging="157"/>
        <w:spacing w:after="0" w:line="273" w:lineRule="auto"/>
        <w:tabs>
          <w:tab w:leader="none" w:pos="156"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Our contingent consideration payable related to the RavenVolt Acquisition is remeasured at each reporting date, based on significant inputs not observable in the market. The contingent consideration payment related to calendar year 2025, which is expected to be made in May 2026, represents a Level 3 measurement at January 31, 2026, and at October 31, 2025,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See Note 3, “Acquisitions,” for further information.</w:t>
      </w:r>
    </w:p>
    <w:p>
      <w:pPr>
        <w:spacing w:after="0" w:line="46"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balance at January 31, 2026, and October 31, 2025, also includes the contingent consideration payable in calendar year 2027 related to the LMC Acquisition.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Non-Financial Assets Measured at Fair Value on a Non-Recurring Basis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jc w:val="both"/>
        <w:spacing w:after="0" w:line="290" w:lineRule="auto"/>
        <w:rPr>
          <w:sz w:val="20"/>
          <w:szCs w:val="20"/>
          <w:color w:val="auto"/>
        </w:rPr>
      </w:pPr>
      <w:r>
        <w:rPr>
          <w:rFonts w:ascii="Arial" w:cs="Arial" w:eastAsia="Arial" w:hAnsi="Arial"/>
          <w:sz w:val="17"/>
          <w:szCs w:val="17"/>
          <w:color w:val="auto"/>
        </w:rPr>
        <w:t>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8.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Interim Review Performed During 2026</w:t>
      </w:r>
    </w:p>
    <w:p>
      <w:pPr>
        <w:spacing w:after="0" w:line="16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first quarter of 2026, we performed a review of the majority of our casualty insurance programs that considered changes in claims development and claims payment activity through January 31, 2026. Based on the results of the review, it was determined that there was no adjustment required for our total reserves related to prior years during the three months ended January 31, 2026. There was no adjustment required for total reserves related to prior years during the three months ended January 31, 2025.</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Insurance-Related Balances and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January 31, 2026</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claim reserves, excluding medical and dental</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657.8</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649.5</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Medical and dental claim reserves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07"/>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Insurance recoverables</w:t>
            </w: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90.8</w:t>
            </w:r>
          </w:p>
        </w:tc>
        <w:tc>
          <w:tcPr>
            <w:tcW w:w="10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90.8</w:t>
            </w: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At January 31, 2026, and October 31, 2025, insurance recoverables are included in both “Other current assets” and “Other noncurrent assets” on the accompanying unaudited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Instruments Used to Collateralize Our Insurance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5"/>
                <w:szCs w:val="15"/>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January 31, 2026</w:t>
            </w:r>
          </w:p>
        </w:tc>
        <w:tc>
          <w:tcPr>
            <w:tcW w:w="240" w:type="dxa"/>
            <w:vAlign w:val="bottom"/>
          </w:tcPr>
          <w:p>
            <w:pPr>
              <w:spacing w:after="0"/>
              <w:rPr>
                <w:sz w:val="15"/>
                <w:szCs w:val="15"/>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October 31, 2025</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8"/>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Standby letters of credit</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18.7</w:t>
            </w:r>
          </w:p>
        </w:tc>
      </w:tr>
      <w:tr>
        <w:trPr>
          <w:trHeight w:val="205"/>
        </w:trPr>
        <w:tc>
          <w:tcPr>
            <w:tcW w:w="7180" w:type="dxa"/>
            <w:vAlign w:val="bottom"/>
            <w:gridSpan w:val="3"/>
          </w:tcPr>
          <w:p>
            <w:pPr>
              <w:ind w:left="20"/>
              <w:spacing w:after="0"/>
              <w:rPr>
                <w:sz w:val="20"/>
                <w:szCs w:val="20"/>
                <w:color w:val="auto"/>
              </w:rPr>
            </w:pPr>
            <w:r>
              <w:rPr>
                <w:rFonts w:ascii="Arial" w:cs="Arial" w:eastAsia="Arial" w:hAnsi="Arial"/>
                <w:sz w:val="15"/>
                <w:szCs w:val="15"/>
                <w:color w:val="auto"/>
              </w:rPr>
              <w:t>Surety bonds and surety-backed letters of credit</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239.6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213.9</w:t>
            </w:r>
          </w:p>
        </w:tc>
      </w:tr>
      <w:tr>
        <w:trPr>
          <w:trHeight w:val="206"/>
        </w:trPr>
        <w:tc>
          <w:tcPr>
            <w:tcW w:w="718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Restricted insurance deposits</w:t>
            </w:r>
          </w:p>
        </w:tc>
        <w:tc>
          <w:tcPr>
            <w:tcW w:w="220" w:type="dxa"/>
            <w:vAlign w:val="bottom"/>
            <w:tcBorders>
              <w:bottom w:val="single" w:sz="8" w:color="auto"/>
            </w:tcBorders>
            <w:shd w:val="clear" w:color="auto" w:fill="DCE2EF"/>
          </w:tcPr>
          <w:p>
            <w:pPr>
              <w:spacing w:after="0"/>
              <w:rPr>
                <w:sz w:val="17"/>
                <w:szCs w:val="17"/>
                <w:color w:val="auto"/>
              </w:rPr>
            </w:pPr>
          </w:p>
        </w:tc>
        <w:tc>
          <w:tcPr>
            <w:tcW w:w="17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shd w:val="clear" w:color="auto" w:fill="DCE2EF"/>
          </w:tcPr>
          <w:p>
            <w:pPr>
              <w:spacing w:after="0"/>
              <w:rPr>
                <w:sz w:val="17"/>
                <w:szCs w:val="17"/>
                <w:color w:val="auto"/>
              </w:rPr>
            </w:pPr>
          </w:p>
        </w:tc>
        <w:tc>
          <w:tcPr>
            <w:tcW w:w="240" w:type="dxa"/>
            <w:vAlign w:val="bottom"/>
            <w:tcBorders>
              <w:bottom w:val="single" w:sz="8" w:color="auto"/>
            </w:tcBorders>
            <w:shd w:val="clear" w:color="auto" w:fill="DCE2EF"/>
          </w:tcPr>
          <w:p>
            <w:pPr>
              <w:spacing w:after="0"/>
              <w:rPr>
                <w:sz w:val="17"/>
                <w:szCs w:val="17"/>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4.8</w:t>
            </w:r>
          </w:p>
        </w:tc>
      </w:tr>
      <w:tr>
        <w:trPr>
          <w:trHeight w:val="200"/>
        </w:trPr>
        <w:tc>
          <w:tcPr>
            <w:tcW w:w="718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263.0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237.4</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0046AD"/>
        </w:rPr>
        <w:t>9.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Credit Facility Information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January 31, 2026</w:t>
            </w:r>
          </w:p>
        </w:tc>
        <w:tc>
          <w:tcPr>
            <w:tcW w:w="240" w:type="dxa"/>
            <w:vAlign w:val="bottom"/>
          </w:tcPr>
          <w:p>
            <w:pPr>
              <w:spacing w:after="0"/>
              <w:rPr>
                <w:sz w:val="16"/>
                <w:szCs w:val="16"/>
                <w:color w:val="auto"/>
              </w:rPr>
            </w:pPr>
          </w:p>
        </w:tc>
        <w:tc>
          <w:tcPr>
            <w:tcW w:w="1740" w:type="dxa"/>
            <w:vAlign w:val="bottom"/>
          </w:tcPr>
          <w:p>
            <w:pPr>
              <w:jc w:val="right"/>
              <w:ind w:right="303"/>
              <w:spacing w:after="0"/>
              <w:rPr>
                <w:sz w:val="20"/>
                <w:szCs w:val="20"/>
                <w:color w:val="auto"/>
              </w:rPr>
            </w:pPr>
            <w:r>
              <w:rPr>
                <w:rFonts w:ascii="Arial" w:cs="Arial" w:eastAsia="Arial" w:hAnsi="Arial"/>
                <w:sz w:val="15"/>
                <w:szCs w:val="15"/>
                <w:b w:val="1"/>
                <w:bCs w:val="1"/>
                <w:color w:val="auto"/>
              </w:rPr>
              <w:t>October 31, 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46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15"/>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portion of long-term debt</w:t>
            </w:r>
            <w:r>
              <w:rPr>
                <w:rFonts w:ascii="Arial" w:cs="Arial" w:eastAsia="Arial" w:hAnsi="Arial"/>
                <w:sz w:val="20"/>
                <w:szCs w:val="20"/>
                <w:color w:val="auto"/>
                <w:vertAlign w:val="superscript"/>
              </w:rPr>
              <w:t>(1)(2)</w:t>
            </w: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140" w:type="dxa"/>
            <w:vAlign w:val="bottom"/>
            <w:gridSpan w:val="2"/>
          </w:tcPr>
          <w:p>
            <w:pPr>
              <w:ind w:left="200"/>
              <w:spacing w:after="0"/>
              <w:rPr>
                <w:sz w:val="20"/>
                <w:szCs w:val="20"/>
                <w:color w:val="auto"/>
              </w:rPr>
            </w:pPr>
            <w:r>
              <w:rPr>
                <w:rFonts w:ascii="Arial" w:cs="Arial" w:eastAsia="Arial" w:hAnsi="Arial"/>
                <w:sz w:val="15"/>
                <w:szCs w:val="15"/>
                <w:color w:val="auto"/>
              </w:rPr>
              <w:t>Gross term loan</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20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Unamortized deferred financing costs</w:t>
            </w:r>
          </w:p>
        </w:tc>
        <w:tc>
          <w:tcPr>
            <w:tcW w:w="24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c>
          <w:tcPr>
            <w:tcW w:w="100" w:type="dxa"/>
            <w:vAlign w:val="bottom"/>
            <w:shd w:val="clear" w:color="auto" w:fill="DCE2EF"/>
          </w:tcPr>
          <w:p>
            <w:pPr>
              <w:spacing w:after="0"/>
              <w:rPr>
                <w:sz w:val="18"/>
                <w:szCs w:val="18"/>
                <w:color w:val="auto"/>
              </w:rPr>
            </w:pPr>
          </w:p>
        </w:tc>
        <w:tc>
          <w:tcPr>
            <w:tcW w:w="24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(0.6)</w:t>
            </w:r>
          </w:p>
        </w:tc>
      </w:tr>
      <w:tr>
        <w:trPr>
          <w:trHeight w:val="314"/>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Current portion of term loan</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color w:val="auto"/>
              </w:rPr>
              <w:t>29.4</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29.4</w:t>
            </w:r>
          </w:p>
        </w:tc>
      </w:tr>
      <w:tr>
        <w:trPr>
          <w:trHeight w:val="246"/>
        </w:trPr>
        <w:tc>
          <w:tcPr>
            <w:tcW w:w="20" w:type="dxa"/>
            <w:vAlign w:val="bottom"/>
            <w:shd w:val="clear" w:color="auto" w:fill="DCE2EF"/>
          </w:tcPr>
          <w:p>
            <w:pPr>
              <w:spacing w:after="0"/>
              <w:rPr>
                <w:sz w:val="21"/>
                <w:szCs w:val="21"/>
                <w:color w:val="auto"/>
              </w:rPr>
            </w:pPr>
          </w:p>
        </w:tc>
        <w:tc>
          <w:tcPr>
            <w:tcW w:w="680" w:type="dxa"/>
            <w:vAlign w:val="bottom"/>
            <w:shd w:val="clear" w:color="auto" w:fill="DCE2EF"/>
          </w:tcPr>
          <w:p>
            <w:pPr>
              <w:spacing w:after="0"/>
              <w:rPr>
                <w:sz w:val="21"/>
                <w:szCs w:val="21"/>
                <w:color w:val="auto"/>
              </w:rPr>
            </w:pPr>
          </w:p>
        </w:tc>
        <w:tc>
          <w:tcPr>
            <w:tcW w:w="646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40" w:type="dxa"/>
            <w:vAlign w:val="bottom"/>
            <w:shd w:val="clear" w:color="auto" w:fill="DCE2EF"/>
          </w:tcPr>
          <w:p>
            <w:pPr>
              <w:spacing w:after="0"/>
              <w:rPr>
                <w:sz w:val="21"/>
                <w:szCs w:val="21"/>
                <w:color w:val="auto"/>
              </w:rPr>
            </w:pPr>
          </w:p>
        </w:tc>
      </w:tr>
      <w:tr>
        <w:trPr>
          <w:trHeight w:val="335"/>
        </w:trPr>
        <w:tc>
          <w:tcPr>
            <w:tcW w:w="7160" w:type="dxa"/>
            <w:vAlign w:val="bottom"/>
            <w:gridSpan w:val="3"/>
          </w:tcPr>
          <w:p>
            <w:pPr>
              <w:ind w:left="20"/>
              <w:spacing w:after="0"/>
              <w:rPr>
                <w:sz w:val="20"/>
                <w:szCs w:val="20"/>
                <w:color w:val="auto"/>
              </w:rPr>
            </w:pPr>
            <w:r>
              <w:rPr>
                <w:rFonts w:ascii="Arial" w:cs="Arial" w:eastAsia="Arial" w:hAnsi="Arial"/>
                <w:sz w:val="15"/>
                <w:szCs w:val="15"/>
                <w:color w:val="auto"/>
              </w:rPr>
              <w:t>Long-term debt</w:t>
            </w:r>
            <w:r>
              <w:rPr>
                <w:rFonts w:ascii="Arial" w:cs="Arial" w:eastAsia="Arial" w:hAnsi="Arial"/>
                <w:sz w:val="20"/>
                <w:szCs w:val="20"/>
                <w:color w:val="auto"/>
                <w:vertAlign w:val="superscript"/>
              </w:rPr>
              <w:t>(1)(2)</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6"/>
        </w:trPr>
        <w:tc>
          <w:tcPr>
            <w:tcW w:w="20" w:type="dxa"/>
            <w:vAlign w:val="bottom"/>
            <w:shd w:val="clear" w:color="auto" w:fill="DCE2EF"/>
          </w:tcPr>
          <w:p>
            <w:pPr>
              <w:spacing w:after="0"/>
              <w:rPr>
                <w:sz w:val="17"/>
                <w:szCs w:val="17"/>
                <w:color w:val="auto"/>
              </w:rPr>
            </w:pPr>
          </w:p>
        </w:tc>
        <w:tc>
          <w:tcPr>
            <w:tcW w:w="7140" w:type="dxa"/>
            <w:vAlign w:val="bottom"/>
            <w:gridSpan w:val="2"/>
            <w:shd w:val="clear" w:color="auto" w:fill="DCE2EF"/>
          </w:tcPr>
          <w:p>
            <w:pPr>
              <w:ind w:left="200"/>
              <w:spacing w:after="0"/>
              <w:rPr>
                <w:sz w:val="20"/>
                <w:szCs w:val="20"/>
                <w:color w:val="auto"/>
              </w:rPr>
            </w:pPr>
            <w:r>
              <w:rPr>
                <w:rFonts w:ascii="Arial" w:cs="Arial" w:eastAsia="Arial" w:hAnsi="Arial"/>
                <w:sz w:val="15"/>
                <w:szCs w:val="15"/>
                <w:color w:val="auto"/>
              </w:rPr>
              <w:t>Gross term loan</w:t>
            </w: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547.5</w:t>
            </w:r>
          </w:p>
        </w:tc>
        <w:tc>
          <w:tcPr>
            <w:tcW w:w="100" w:type="dxa"/>
            <w:vAlign w:val="bottom"/>
            <w:shd w:val="clear" w:color="auto" w:fill="DCE2EF"/>
          </w:tcPr>
          <w:p>
            <w:pPr>
              <w:spacing w:after="0"/>
              <w:rPr>
                <w:sz w:val="17"/>
                <w:szCs w:val="17"/>
                <w:color w:val="auto"/>
              </w:rPr>
            </w:pPr>
          </w:p>
        </w:tc>
        <w:tc>
          <w:tcPr>
            <w:tcW w:w="24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555.0</w:t>
            </w:r>
          </w:p>
        </w:tc>
      </w:tr>
      <w:tr>
        <w:trPr>
          <w:trHeight w:val="205"/>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rPr>
                <w:sz w:val="20"/>
                <w:szCs w:val="20"/>
                <w:color w:val="auto"/>
              </w:rPr>
            </w:pPr>
            <w:r>
              <w:rPr>
                <w:rFonts w:ascii="Arial" w:cs="Arial" w:eastAsia="Arial" w:hAnsi="Arial"/>
                <w:sz w:val="15"/>
                <w:szCs w:val="15"/>
                <w:color w:val="auto"/>
              </w:rPr>
              <w:t>Unamortized deferred financing costs</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r>
      <w:tr>
        <w:trPr>
          <w:trHeight w:val="316"/>
        </w:trPr>
        <w:tc>
          <w:tcPr>
            <w:tcW w:w="71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Total noncurrent portion of term loan</w:t>
            </w: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545.8</w:t>
            </w: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553.1</w:t>
            </w:r>
          </w:p>
        </w:tc>
      </w:tr>
      <w:tr>
        <w:trPr>
          <w:trHeight w:val="206"/>
        </w:trPr>
        <w:tc>
          <w:tcPr>
            <w:tcW w:w="20" w:type="dxa"/>
            <w:vAlign w:val="bottom"/>
            <w:tcBorders>
              <w:bottom w:val="single" w:sz="8" w:color="DCE2EF"/>
            </w:tcBorders>
          </w:tcPr>
          <w:p>
            <w:pPr>
              <w:spacing w:after="0"/>
              <w:rPr>
                <w:sz w:val="17"/>
                <w:szCs w:val="17"/>
                <w:color w:val="auto"/>
              </w:rPr>
            </w:pPr>
          </w:p>
        </w:tc>
        <w:tc>
          <w:tcPr>
            <w:tcW w:w="7140" w:type="dxa"/>
            <w:vAlign w:val="bottom"/>
            <w:tcBorders>
              <w:bottom w:val="single" w:sz="8" w:color="DCE2EF"/>
            </w:tcBorders>
            <w:gridSpan w:val="2"/>
          </w:tcPr>
          <w:p>
            <w:pPr>
              <w:ind w:left="200"/>
              <w:spacing w:after="0" w:line="207" w:lineRule="exact"/>
              <w:rPr>
                <w:sz w:val="20"/>
                <w:szCs w:val="20"/>
                <w:color w:val="auto"/>
              </w:rPr>
            </w:pPr>
            <w:r>
              <w:rPr>
                <w:rFonts w:ascii="Arial" w:cs="Arial" w:eastAsia="Arial" w:hAnsi="Arial"/>
                <w:sz w:val="15"/>
                <w:szCs w:val="15"/>
                <w:color w:val="auto"/>
              </w:rPr>
              <w:t>Revolving line of credit</w:t>
            </w:r>
            <w:r>
              <w:rPr>
                <w:rFonts w:ascii="Arial" w:cs="Arial" w:eastAsia="Arial" w:hAnsi="Arial"/>
                <w:sz w:val="20"/>
                <w:szCs w:val="20"/>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1,055.0</w:t>
            </w:r>
          </w:p>
        </w:tc>
        <w:tc>
          <w:tcPr>
            <w:tcW w:w="100" w:type="dxa"/>
            <w:vAlign w:val="bottom"/>
            <w:tcBorders>
              <w:bottom w:val="single" w:sz="8" w:color="DCE2E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984.0</w:t>
            </w:r>
          </w:p>
        </w:tc>
      </w:tr>
      <w:tr>
        <w:trPr>
          <w:trHeight w:val="314"/>
        </w:trPr>
        <w:tc>
          <w:tcPr>
            <w:tcW w:w="71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Long-term debt</w:t>
            </w: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1,600.8</w:t>
            </w:r>
          </w:p>
        </w:tc>
        <w:tc>
          <w:tcPr>
            <w:tcW w:w="100" w:type="dxa"/>
            <w:vAlign w:val="bottom"/>
            <w:tcBorders>
              <w:bottom w:val="single" w:sz="8" w:color="DCE2EF"/>
            </w:tcBorders>
            <w:shd w:val="clear" w:color="auto" w:fill="DCE2EF"/>
          </w:tcPr>
          <w:p>
            <w:pPr>
              <w:spacing w:after="0"/>
              <w:rPr>
                <w:sz w:val="24"/>
                <w:szCs w:val="24"/>
                <w:color w:val="auto"/>
              </w:rPr>
            </w:pPr>
          </w:p>
        </w:tc>
        <w:tc>
          <w:tcPr>
            <w:tcW w:w="24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1,537.1</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646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57"/>
        <w:spacing w:after="0" w:line="283" w:lineRule="auto"/>
        <w:tabs>
          <w:tab w:leader="none" w:pos="156"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At January 31, 2026, and October 31, 2025, the weighted average interest rate on all outstanding borrowings, not including letters of credit and swaps, was 5.44% and 5.84%, respectively.</w:t>
      </w:r>
    </w:p>
    <w:p>
      <w:pPr>
        <w:spacing w:after="0" w:line="28"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At January 31, 2026, we had borrowing capacity of $507.7 million.</w:t>
      </w:r>
    </w:p>
    <w:p>
      <w:pPr>
        <w:spacing w:after="0" w:line="66" w:lineRule="exact"/>
        <w:rPr>
          <w:rFonts w:ascii="Arial" w:cs="Arial" w:eastAsia="Arial" w:hAnsi="Arial"/>
          <w:sz w:val="19"/>
          <w:szCs w:val="19"/>
          <w:color w:val="auto"/>
          <w:vertAlign w:val="superscript"/>
        </w:rPr>
      </w:pPr>
    </w:p>
    <w:p>
      <w:pPr>
        <w:ind w:left="160" w:hanging="157"/>
        <w:spacing w:after="0" w:line="238"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At January 31, 2026, standby letters of credit amounted to $23.5 million.</w:t>
      </w:r>
    </w:p>
    <w:p>
      <w:pPr>
        <w:spacing w:after="0" w:line="139"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 The Credit Facility was amended on June 28, 2021, to increase the capacity of the Revolver and term loan to $1.3 billion and $650 million, respectively, and to extend the maturity to June 28, 2026. It was further amended on November 1, 2022, to transition the benchmark interest rate from London Interbank Offered Rate (“LIBOR”) to Secured Overnight Financing Rate (“SOFR”).</w:t>
      </w:r>
    </w:p>
    <w:p>
      <w:pPr>
        <w:spacing w:after="0" w:line="12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February 26, 2025, we amended and restated the Credit Facility (the “Amended Credit Facility”), extending the maturity date to February 26, 2030, and increasing the capacity of the revolving credit facility from $ 1.3 billion to $1.6 billion and the then-remaining term loan outstanding from $528.1 million to $600.0 million. The Amended Credit Facility provides for the issuance of up to $250.0 million for standby letters of credit and the issuance of up to $100.0 million in swingline advances. The obligations under the Amended Credit Facility are guaranteed by the material, domestic wholly owned subsidiaries of ABM and are secured by a pledge of substantially all of the existing and future property and assets of ABM and the guarantors, including a pledge of the capital stock of the wholly owned domestic subsidiaries held by ABM and the guarantors and 65% of the capital stock of the first-tier foreign subsidiaries held by ABM and the guarantors, in each case subject to exceptions. Additionally, we may repay amounts borrowed under the Amended Credit Facility at any time without penalty.</w:t>
      </w:r>
    </w:p>
    <w:p>
      <w:pPr>
        <w:spacing w:after="0" w:line="124"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2026, we were in compliance with these covenants.</w:t>
      </w:r>
    </w:p>
    <w:p>
      <w:pPr>
        <w:spacing w:after="0" w:line="12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jc w:val="both"/>
        <w:ind w:firstLine="619"/>
        <w:spacing w:after="0" w:line="265" w:lineRule="auto"/>
        <w:rPr>
          <w:sz w:val="20"/>
          <w:szCs w:val="20"/>
          <w:color w:val="auto"/>
        </w:rPr>
      </w:pPr>
      <w:r>
        <w:rPr>
          <w:rFonts w:ascii="Arial" w:cs="Arial" w:eastAsia="Arial" w:hAnsi="Arial"/>
          <w:sz w:val="17"/>
          <w:szCs w:val="17"/>
          <w:color w:val="auto"/>
        </w:rPr>
        <w:t>We incurred deferred financing costs of $8.0 million in conjunction with the execution of the Amended Credit Facility and carried over $2.9 million of unamortized deferred financing costs from initial execution and previous amendments of the Credit Facility. Total deferred financing costs of $10.9 million, consisting of $3.0 million related to the term loan and $7.9 million related to the Revolver, are being amortized to interest expense over the term of the Amended Credit Facility.</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February 3, 2026, the Amended Credit Facility was amended to provide for a new incremental term loan in an aggregate principal amount equal to $255.0 million (the “First Incremental Term Loan”). Refer to Note 14, “Subsequent Events,” for further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Long-Term Debt Maturities</w:t>
      </w:r>
    </w:p>
    <w:p>
      <w:pPr>
        <w:spacing w:after="0" w:line="116" w:lineRule="exact"/>
        <w:rPr>
          <w:sz w:val="20"/>
          <w:szCs w:val="20"/>
          <w:color w:val="auto"/>
        </w:rPr>
      </w:pPr>
    </w:p>
    <w:p>
      <w:pPr>
        <w:ind w:left="160" w:firstLine="619"/>
        <w:spacing w:after="0" w:line="290" w:lineRule="auto"/>
        <w:rPr>
          <w:sz w:val="20"/>
          <w:szCs w:val="20"/>
          <w:color w:val="auto"/>
        </w:rPr>
      </w:pPr>
      <w:r>
        <w:rPr>
          <w:rFonts w:ascii="Arial" w:cs="Arial" w:eastAsia="Arial" w:hAnsi="Arial"/>
          <w:sz w:val="17"/>
          <w:szCs w:val="17"/>
          <w:color w:val="auto"/>
        </w:rPr>
        <w:t>During the three months ended January 31, 2026, we made principal payments under the term loan of $7.5 million. As of January 31, 2026, the following principal payments are required under the Amended Credit Facility: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2028</w:t>
            </w:r>
          </w:p>
        </w:tc>
        <w:tc>
          <w:tcPr>
            <w:tcW w:w="8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2029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Arial" w:cs="Arial" w:eastAsia="Arial" w:hAnsi="Arial"/>
                <w:sz w:val="15"/>
                <w:szCs w:val="15"/>
                <w:b w:val="1"/>
                <w:bCs w:val="1"/>
                <w:color w:val="auto"/>
              </w:rPr>
              <w:t>2030</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156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9"/>
        </w:trPr>
        <w:tc>
          <w:tcPr>
            <w:tcW w:w="2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Debt maturities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22.5</w:t>
            </w:r>
          </w:p>
        </w:tc>
        <w:tc>
          <w:tcPr>
            <w:tcW w:w="8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30.0</w:t>
            </w:r>
          </w:p>
        </w:tc>
        <w:tc>
          <w:tcPr>
            <w:tcW w:w="80" w:type="dxa"/>
            <w:vAlign w:val="bottom"/>
            <w:shd w:val="clear" w:color="auto" w:fill="DCE2EF"/>
          </w:tcPr>
          <w:p>
            <w:pPr>
              <w:spacing w:after="0"/>
              <w:rPr>
                <w:sz w:val="17"/>
                <w:szCs w:val="17"/>
                <w:color w:val="auto"/>
              </w:rPr>
            </w:pPr>
          </w:p>
        </w:tc>
        <w:tc>
          <w:tcPr>
            <w:tcW w:w="960" w:type="dxa"/>
            <w:vAlign w:val="bottom"/>
            <w:shd w:val="clear" w:color="auto" w:fill="DCE2EF"/>
          </w:tcPr>
          <w:p>
            <w:pPr>
              <w:jc w:val="right"/>
              <w:ind w:right="78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DCE2EF"/>
          </w:tcPr>
          <w:p>
            <w:pPr>
              <w:spacing w:after="0"/>
              <w:rPr>
                <w:sz w:val="17"/>
                <w:szCs w:val="17"/>
                <w:color w:val="auto"/>
              </w:rPr>
            </w:pP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1,520.0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Interest Rate Swaps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7, “Fair Value of Financial Instruments.”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Notional Amount</w:t>
            </w:r>
          </w:p>
        </w:tc>
        <w:tc>
          <w:tcPr>
            <w:tcW w:w="100" w:type="dxa"/>
            <w:vAlign w:val="bottom"/>
            <w:tcBorders>
              <w:bottom w:val="single" w:sz="8" w:color="DCE2E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Fixed Interest Rate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Effective Date</w:t>
            </w:r>
          </w:p>
        </w:tc>
        <w:tc>
          <w:tcPr>
            <w:tcW w:w="100" w:type="dxa"/>
            <w:vAlign w:val="bottom"/>
            <w:tcBorders>
              <w:bottom w:val="single" w:sz="8" w:color="DCE2EF"/>
            </w:tcBorders>
          </w:tcPr>
          <w:p>
            <w:pPr>
              <w:spacing w:after="0"/>
              <w:rPr>
                <w:sz w:val="18"/>
                <w:szCs w:val="18"/>
                <w:color w:val="auto"/>
              </w:rPr>
            </w:pP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Maturity Date</w:t>
            </w:r>
          </w:p>
        </w:tc>
      </w:tr>
      <w:tr>
        <w:trPr>
          <w:trHeight w:val="199"/>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DCE2EF"/>
          </w:tcPr>
          <w:p>
            <w:pPr>
              <w:spacing w:after="0"/>
              <w:rPr>
                <w:sz w:val="17"/>
                <w:szCs w:val="17"/>
                <w:color w:val="auto"/>
              </w:rPr>
            </w:pPr>
          </w:p>
        </w:tc>
        <w:tc>
          <w:tcPr>
            <w:tcW w:w="284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February 9,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$150.0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5"/>
                <w:szCs w:val="15"/>
                <w:color w:val="auto"/>
              </w:rPr>
              <w:t>February 25,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5"/>
                <w:szCs w:val="15"/>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2.88%</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May 4,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ind w:left="1040"/>
              <w:spacing w:after="0"/>
              <w:rPr>
                <w:sz w:val="20"/>
                <w:szCs w:val="20"/>
                <w:color w:val="auto"/>
              </w:rPr>
            </w:pPr>
            <w:r>
              <w:rPr>
                <w:rFonts w:ascii="Arial" w:cs="Arial" w:eastAsia="Arial" w:hAnsi="Arial"/>
                <w:sz w:val="15"/>
                <w:szCs w:val="15"/>
                <w:color w:val="auto"/>
              </w:rPr>
              <w:t>$86.9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July 7,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r>
        <w:trPr>
          <w:trHeight w:val="207"/>
        </w:trPr>
        <w:tc>
          <w:tcPr>
            <w:tcW w:w="2820" w:type="dxa"/>
            <w:vAlign w:val="bottom"/>
            <w:gridSpan w:val="2"/>
            <w:shd w:val="clear" w:color="auto" w:fill="DCE2EF"/>
          </w:tcPr>
          <w:p>
            <w:pPr>
              <w:ind w:left="1040"/>
              <w:spacing w:after="0"/>
              <w:rPr>
                <w:sz w:val="20"/>
                <w:szCs w:val="20"/>
                <w:color w:val="auto"/>
              </w:rPr>
            </w:pPr>
            <w:r>
              <w:rPr>
                <w:rFonts w:ascii="Arial" w:cs="Arial" w:eastAsia="Arial" w:hAnsi="Arial"/>
                <w:sz w:val="15"/>
                <w:szCs w:val="15"/>
                <w:color w:val="auto"/>
              </w:rPr>
              <w:t>$13.1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DCE2EF"/>
          </w:tcPr>
          <w:p>
            <w:pPr>
              <w:spacing w:after="0"/>
              <w:rPr>
                <w:sz w:val="18"/>
                <w:szCs w:val="18"/>
                <w:color w:val="auto"/>
              </w:rPr>
            </w:pPr>
          </w:p>
        </w:tc>
        <w:tc>
          <w:tcPr>
            <w:tcW w:w="2840" w:type="dxa"/>
            <w:vAlign w:val="bottom"/>
            <w:gridSpan w:val="2"/>
            <w:shd w:val="clear" w:color="auto" w:fill="DCE2EF"/>
          </w:tcPr>
          <w:p>
            <w:pPr>
              <w:jc w:val="center"/>
              <w:ind w:right="80"/>
              <w:spacing w:after="0"/>
              <w:rPr>
                <w:sz w:val="20"/>
                <w:szCs w:val="20"/>
                <w:color w:val="auto"/>
              </w:rPr>
            </w:pPr>
            <w:r>
              <w:rPr>
                <w:rFonts w:ascii="Arial" w:cs="Arial" w:eastAsia="Arial" w:hAnsi="Arial"/>
                <w:sz w:val="15"/>
                <w:szCs w:val="15"/>
                <w:color w:val="auto"/>
              </w:rPr>
              <w:t>July 18, 2022</w:t>
            </w:r>
          </w:p>
        </w:tc>
        <w:tc>
          <w:tcPr>
            <w:tcW w:w="2740" w:type="dxa"/>
            <w:vAlign w:val="bottom"/>
            <w:shd w:val="clear" w:color="auto" w:fill="DCE2EF"/>
          </w:tcPr>
          <w:p>
            <w:pPr>
              <w:ind w:left="880"/>
              <w:spacing w:after="0"/>
              <w:rPr>
                <w:sz w:val="20"/>
                <w:szCs w:val="20"/>
                <w:color w:val="auto"/>
              </w:rPr>
            </w:pPr>
            <w:r>
              <w:rPr>
                <w:rFonts w:ascii="Arial" w:cs="Arial" w:eastAsia="Arial" w:hAnsi="Arial"/>
                <w:sz w:val="15"/>
                <w:szCs w:val="15"/>
                <w:color w:val="auto"/>
              </w:rPr>
              <w:t>June 28, 2026</w:t>
            </w:r>
          </w:p>
        </w:tc>
      </w:tr>
      <w:tr>
        <w:trPr>
          <w:trHeight w:val="205"/>
        </w:trPr>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$170.0 million</w:t>
            </w:r>
          </w:p>
        </w:tc>
        <w:tc>
          <w:tcPr>
            <w:tcW w:w="2720" w:type="dxa"/>
            <w:vAlign w:val="bottom"/>
          </w:tcPr>
          <w:p>
            <w:pPr>
              <w:jc w:val="center"/>
              <w:spacing w:after="0"/>
              <w:rPr>
                <w:sz w:val="20"/>
                <w:szCs w:val="20"/>
                <w:color w:val="auto"/>
              </w:rPr>
            </w:pPr>
            <w:r>
              <w:rPr>
                <w:rFonts w:ascii="Arial" w:cs="Arial" w:eastAsia="Arial" w:hAnsi="Arial"/>
                <w:sz w:val="15"/>
                <w:szCs w:val="15"/>
                <w:color w:val="auto"/>
              </w:rPr>
              <w:t>3.81%</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November 1, 2022</w:t>
            </w:r>
          </w:p>
        </w:tc>
        <w:tc>
          <w:tcPr>
            <w:tcW w:w="2740" w:type="dxa"/>
            <w:vAlign w:val="bottom"/>
          </w:tcPr>
          <w:p>
            <w:pPr>
              <w:ind w:left="880"/>
              <w:spacing w:after="0"/>
              <w:rPr>
                <w:sz w:val="20"/>
                <w:szCs w:val="20"/>
                <w:color w:val="auto"/>
              </w:rPr>
            </w:pPr>
            <w:r>
              <w:rPr>
                <w:rFonts w:ascii="Arial" w:cs="Arial" w:eastAsia="Arial" w:hAnsi="Arial"/>
                <w:sz w:val="15"/>
                <w:szCs w:val="15"/>
                <w:color w:val="auto"/>
              </w:rPr>
              <w:t>June 28, 2026</w:t>
            </w:r>
          </w:p>
        </w:tc>
      </w:tr>
    </w:tbl>
    <w:p>
      <w:pPr>
        <w:spacing w:after="0" w:line="2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At January 31, 2026, and October 31, 2025, amounts recorded in accumulated other comprehensive loss (“AOCL”) for interest rate swaps were a gain of $1.0 million, net of taxes of $1.4 million, and a gain of $ 2.4 million, net of taxes of $1.9 million, respectively. At January 31, 2026, the total amount expected to be reclassified from AOCL to earnings during the next 12 months is a gain of $1.7 million, net of taxes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0046AD"/>
        </w:rPr>
        <w:t>10.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$150.0 million of our common stock.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0046AD"/>
        </w:rPr>
        <w:t>Repurchase Activity</w:t>
      </w:r>
    </w:p>
    <w:p>
      <w:pPr>
        <w:spacing w:after="0" w:line="165"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repurchased shares under the share repurchase program during the three months ended January 31, 2026, as summarized below. At January 31, 2026, authorization for $92.0 million of repurchases remained under our share repurchase program.</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4"/>
                <w:szCs w:val="1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4"/>
                <w:szCs w:val="14"/>
                <w:color w:val="auto"/>
              </w:rPr>
            </w:pPr>
          </w:p>
        </w:tc>
        <w:tc>
          <w:tcPr>
            <w:tcW w:w="1920" w:type="dxa"/>
            <w:vAlign w:val="bottom"/>
          </w:tcPr>
          <w:p>
            <w:pPr>
              <w:jc w:val="right"/>
              <w:ind w:right="203"/>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January 31, 2026</w:t>
            </w:r>
          </w:p>
        </w:tc>
        <w:tc>
          <w:tcPr>
            <w:tcW w:w="220" w:type="dxa"/>
            <w:vAlign w:val="bottom"/>
          </w:tcPr>
          <w:p>
            <w:pPr>
              <w:spacing w:after="0"/>
              <w:rPr>
                <w:sz w:val="17"/>
                <w:szCs w:val="17"/>
                <w:color w:val="auto"/>
              </w:rPr>
            </w:pPr>
          </w:p>
        </w:tc>
        <w:tc>
          <w:tcPr>
            <w:tcW w:w="1920" w:type="dxa"/>
            <w:vAlign w:val="bottom"/>
          </w:tcPr>
          <w:p>
            <w:pPr>
              <w:jc w:val="right"/>
              <w:ind w:right="343"/>
              <w:spacing w:after="0"/>
              <w:rPr>
                <w:sz w:val="20"/>
                <w:szCs w:val="20"/>
                <w:color w:val="auto"/>
              </w:rPr>
            </w:pPr>
            <w:r>
              <w:rPr>
                <w:rFonts w:ascii="Arial" w:cs="Arial" w:eastAsia="Arial" w:hAnsi="Arial"/>
                <w:sz w:val="15"/>
                <w:szCs w:val="15"/>
                <w:b w:val="1"/>
                <w:bCs w:val="1"/>
                <w:color w:val="auto"/>
              </w:rPr>
              <w:t>January 31, 2025</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top w:val="single" w:sz="8" w:color="DCE2EF"/>
            </w:tcBorders>
            <w:shd w:val="clear" w:color="auto" w:fill="DCE2EF"/>
          </w:tcPr>
          <w:p>
            <w:pPr>
              <w:spacing w:after="0"/>
              <w:rPr>
                <w:sz w:val="17"/>
                <w:szCs w:val="17"/>
                <w:color w:val="auto"/>
              </w:rPr>
            </w:pPr>
          </w:p>
        </w:tc>
        <w:tc>
          <w:tcPr>
            <w:tcW w:w="220" w:type="dxa"/>
            <w:vAlign w:val="bottom"/>
            <w:tcBorders>
              <w:top w:val="single" w:sz="8" w:color="auto"/>
            </w:tcBorders>
            <w:shd w:val="clear" w:color="auto" w:fill="DCE2EF"/>
          </w:tcPr>
          <w:p>
            <w:pPr>
              <w:spacing w:after="0"/>
              <w:rPr>
                <w:sz w:val="17"/>
                <w:szCs w:val="17"/>
                <w:color w:val="auto"/>
              </w:rPr>
            </w:pPr>
          </w:p>
        </w:tc>
        <w:tc>
          <w:tcPr>
            <w:tcW w:w="192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920" w:type="dxa"/>
            <w:vAlign w:val="bottom"/>
          </w:tcPr>
          <w:p>
            <w:pPr>
              <w:jc w:val="right"/>
              <w:spacing w:after="0"/>
              <w:rPr>
                <w:sz w:val="20"/>
                <w:szCs w:val="20"/>
                <w:color w:val="auto"/>
              </w:rPr>
            </w:pPr>
            <w:r>
              <w:rPr>
                <w:rFonts w:ascii="Arial" w:cs="Arial" w:eastAsia="Arial" w:hAnsi="Arial"/>
                <w:sz w:val="15"/>
                <w:szCs w:val="15"/>
                <w:color w:val="auto"/>
              </w:rPr>
              <w:t>51.23</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9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100" w:firstLine="3"/>
        <w:spacing w:after="0" w:line="224" w:lineRule="auto"/>
        <w:tabs>
          <w:tab w:leader="none" w:pos="185"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11.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Letters of Credit and Surety Bonds</w:t>
      </w:r>
    </w:p>
    <w:p>
      <w:pPr>
        <w:spacing w:after="0" w:line="168"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7"/>
          <w:szCs w:val="17"/>
          <w:color w:val="auto"/>
        </w:rPr>
        <w:t>We use letters of credit and surety bonds to secure certain commitments related to insurance programs and for other purposes. As of January 31, 2026, these letters of credit totaled $23.5 million and surety bonds and surety-backed letters of credit totaled $1,061.8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Guarantees</w:t>
      </w:r>
    </w:p>
    <w:p>
      <w:pPr>
        <w:spacing w:after="0" w:line="167"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7"/>
          <w:szCs w:val="17"/>
          <w:color w:val="auto"/>
        </w:rPr>
        <w:t>In some instances, we offer clients guaranteed energy savings under certain energy savings contracts. At January 31, 2026, total guarantees were $201.2 million and extend through 2045.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Sales Taxes</w:t>
      </w:r>
    </w:p>
    <w:p>
      <w:pPr>
        <w:spacing w:after="0" w:line="167"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1" w:lineRule="exact"/>
        <w:rPr>
          <w:sz w:val="20"/>
          <w:szCs w:val="20"/>
          <w:color w:val="auto"/>
        </w:rPr>
      </w:pPr>
    </w:p>
    <w:p>
      <w:pPr>
        <w:jc w:val="both"/>
        <w:ind w:right="100" w:firstLine="619"/>
        <w:spacing w:after="0" w:line="269" w:lineRule="auto"/>
        <w:rPr>
          <w:sz w:val="20"/>
          <w:szCs w:val="20"/>
          <w:color w:val="auto"/>
        </w:rPr>
      </w:pPr>
      <w:r>
        <w:rPr>
          <w:rFonts w:ascii="Arial" w:cs="Arial" w:eastAsia="Arial" w:hAnsi="Arial"/>
          <w:sz w:val="17"/>
          <w:szCs w:val="17"/>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7"/>
          <w:szCs w:val="17"/>
          <w:b w:val="1"/>
          <w:bCs w:val="1"/>
          <w:color w:val="0046AD"/>
        </w:rPr>
        <w:t>.</w:t>
      </w: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0046AD"/>
        </w:rPr>
        <w:t>Legal Matters</w:t>
      </w:r>
    </w:p>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At January 31, 2026, the total amount accrued for probable litigation losses where a reasonable estimate of the loss could be made was $9.2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$13.3 million. Factors underlying this estimated range of loss may change from time to time, and actual results may vary significantly from this estimate.</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1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quarterly tax provision is calculated using an estimated annual effective tax rate that is adjusted for discrete items occurring during the period to arrive at our effective tax rate. During the three months ended January 31, 2026 and 2025, we had effective tax rates of 25.6% and 21.4%, respectively. The difference between the estimated annual effective tax rate before discrete items and statutory rate is primarily related to state income taxes, non-deductible compensation, and tax credits.</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effective tax rate for the three months ended January 31, 2026, was reduced by discrete items, primarily share based compensation. Our effective tax rate for the three months ended January 31, 2025, was reduced by discrete items, primarily return to provision adjustments related to our non-U.S. operations.</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Work Opportunity Tax Credit (“WOTC”) and Federal Empowerment Zone (“FEZ”) credit are federal tax credits available to employers for hiring individuals from certain targeted groups. The Company has historically benefited from these tax credits, which expired on December 31, 2025. As of January 31, 2026, the credits have not been renewed, and our effective tax rate for the quarter only includes a benefit for those employees who started work before December 31, 2025.</w:t>
      </w:r>
    </w:p>
    <w:p>
      <w:pPr>
        <w:spacing w:after="0" w:line="11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On July 4, 2025, the United States enacted the One Big Beautiful Bill Act (“OBBBA”), which contains a broad range of tax reform provisions affecting businesses. We do not anticipate a material impact on our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1" w:name="page22"/>
    <w:bookmarkEnd w:id="21"/>
    <w:p>
      <w:pPr>
        <w:jc w:val="both"/>
        <w:ind w:firstLine="619"/>
        <w:spacing w:after="0" w:line="261" w:lineRule="auto"/>
        <w:rPr>
          <w:sz w:val="20"/>
          <w:szCs w:val="20"/>
          <w:color w:val="auto"/>
        </w:rPr>
      </w:pPr>
      <w:r>
        <w:rPr>
          <w:rFonts w:ascii="Arial" w:cs="Arial" w:eastAsia="Arial" w:hAnsi="Arial"/>
          <w:sz w:val="17"/>
          <w:szCs w:val="17"/>
          <w:color w:val="auto"/>
        </w:rPr>
        <w:t>The Organisation for Economic Co-operation and Development (“OECD”) Pillar Two Model Rules established a minimum global effective tax rate of 15% on country-by-country profits of large multinational companies. European Union member states along with many other countries have adopted or expect to adopt the OECD Pillar Two Model effective January 1, 2024, or thereafter. The OECD and other countries continue to publish guidelines and legislation that include transition and safe harbor rules. We continue to monitor new legislative changes and assess the global impact of the Pillar Two Model Rules. Based on our initial assessment, Pillar Two should not have a material impact to the Company’s income tax provision.</w:t>
      </w:r>
    </w:p>
    <w:p>
      <w:pPr>
        <w:spacing w:after="0" w:line="3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0046AD"/>
        </w:rPr>
        <w:t>13.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240" w:type="dxa"/>
            <w:vAlign w:val="bottom"/>
            <w:tcBorders>
              <w:top w:val="single" w:sz="8" w:color="auto"/>
              <w:left w:val="single" w:sz="8" w:color="auto"/>
              <w:bottom w:val="single" w:sz="8" w:color="auto"/>
              <w:right w:val="single" w:sz="8" w:color="DCE2EF"/>
            </w:tcBorders>
            <w:shd w:val="clear" w:color="auto" w:fill="DCE2EF"/>
          </w:tcPr>
          <w:p>
            <w:pPr>
              <w:spacing w:after="0"/>
              <w:rPr>
                <w:sz w:val="19"/>
                <w:szCs w:val="19"/>
                <w:color w:val="auto"/>
              </w:rPr>
            </w:pPr>
          </w:p>
        </w:tc>
        <w:tc>
          <w:tcPr>
            <w:tcW w:w="8020" w:type="dxa"/>
            <w:vAlign w:val="bottom"/>
            <w:tcBorders>
              <w:top w:val="single" w:sz="8" w:color="auto"/>
              <w:bottom w:val="single" w:sz="8" w:color="auto"/>
              <w:right w:val="single" w:sz="8" w:color="auto"/>
            </w:tcBorders>
            <w:shd w:val="clear" w:color="auto" w:fill="DCE2EF"/>
          </w:tcPr>
          <w:p>
            <w:pPr>
              <w:ind w:left="620"/>
              <w:spacing w:after="0"/>
              <w:rPr>
                <w:sz w:val="20"/>
                <w:szCs w:val="20"/>
                <w:color w:val="auto"/>
              </w:rPr>
            </w:pPr>
            <w:r>
              <w:rPr>
                <w:rFonts w:ascii="Arial" w:cs="Arial" w:eastAsia="Arial" w:hAnsi="Arial"/>
                <w:sz w:val="15"/>
                <w:szCs w:val="15"/>
                <w:b w:val="1"/>
                <w:bCs w:val="1"/>
                <w:color w:val="0046AD"/>
              </w:rPr>
              <w:t>REPORTABLE SEGMENTS AND DESCRIPTIONS</w:t>
            </w: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B&amp;I, our largest reportable segment, encompasses comprehensive facility solutions, including janitorial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facilities engineering, and parking and transportation management to a diverse range of clients. Our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B&amp;I</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expertise extends to commercial real estate properties, including corporate offices for high-tech clients, sports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entertainment venues, and both traditional hospitals and non-acute healthcare facilities. We typically provide these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pursuant to monthly fixed-price, square-foot, cost-plus, and parking arrangements (i.e., management</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reimbursement, leased location, or allowance) that are obtained through a competitive bid process as well as</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M&amp;D</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a variety of manufacturing, distribution, and data center facilities. We typically provide these services pursuant to</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monthly fixed-price, square-foot, and cost-plus arrangements, that are obtained through a competitive bid process as</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well as pursuant to work orders.</w:t>
            </w: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right w:val="single" w:sz="8" w:color="auto"/>
            </w:tcBorders>
          </w:tcPr>
          <w:p>
            <w:pPr>
              <w:spacing w:after="0"/>
              <w:rPr>
                <w:sz w:val="12"/>
                <w:szCs w:val="12"/>
                <w:color w:val="auto"/>
              </w:rPr>
            </w:pPr>
          </w:p>
        </w:tc>
        <w:tc>
          <w:tcPr>
            <w:tcW w:w="8020" w:type="dxa"/>
            <w:vAlign w:val="bottom"/>
            <w:tcBorders>
              <w:right w:val="single" w:sz="8" w:color="auto"/>
            </w:tcBorders>
          </w:tcPr>
          <w:p>
            <w:pPr>
              <w:spacing w:after="0" w:line="149" w:lineRule="exact"/>
              <w:rPr>
                <w:sz w:val="20"/>
                <w:szCs w:val="20"/>
                <w:color w:val="auto"/>
              </w:rPr>
            </w:pPr>
            <w:r>
              <w:rPr>
                <w:rFonts w:ascii="Arial" w:cs="Arial" w:eastAsia="Arial" w:hAnsi="Arial"/>
                <w:sz w:val="15"/>
                <w:szCs w:val="15"/>
                <w:color w:val="auto"/>
              </w:rPr>
              <w:t>Aviation provides comprehensive support services to airlines and airports, including parking and transportation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Aviation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management,  janitorial  and  maintenance  services,  passenger  assistance,  catering  logistics,  aircraft  cabin</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maintenance, and transportation solutions. We typically provide services to clients in this segment under master</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services agreements. These agreements are typically re-bid upon renewal and are generally structured as monthly</w:t>
            </w:r>
          </w:p>
        </w:tc>
        <w:tc>
          <w:tcPr>
            <w:tcW w:w="0" w:type="dxa"/>
            <w:vAlign w:val="bottom"/>
          </w:tcPr>
          <w:p>
            <w:pPr>
              <w:spacing w:after="0"/>
              <w:rPr>
                <w:sz w:val="1"/>
                <w:szCs w:val="1"/>
                <w:color w:val="auto"/>
              </w:rPr>
            </w:pPr>
          </w:p>
        </w:tc>
      </w:tr>
      <w:tr>
        <w:trPr>
          <w:trHeight w:val="205"/>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8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fixed-price, square-foot, cost-plus, parking, transaction-price, and hourly arrangements.</w:t>
            </w:r>
          </w:p>
        </w:tc>
        <w:tc>
          <w:tcPr>
            <w:tcW w:w="0" w:type="dxa"/>
            <w:vAlign w:val="bottom"/>
          </w:tcPr>
          <w:p>
            <w:pPr>
              <w:spacing w:after="0"/>
              <w:rPr>
                <w:sz w:val="1"/>
                <w:szCs w:val="1"/>
                <w:color w:val="auto"/>
              </w:rPr>
            </w:pPr>
          </w:p>
        </w:tc>
      </w:tr>
      <w:tr>
        <w:trPr>
          <w:trHeight w:val="252"/>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Education  delivers  comprehensive  facility  services  to  public  school  districts,  private  schools,  colleges,  and</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Education</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universities. Our services include janitorial and custodial services, landscaping and grounds maintenance, facilities</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continue"/>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engineering, and parking management. These services are typically provided pursuant to monthly fixed-price,</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square-foot, and cost-plus arrangements that are obtained through either a competitive bid process or re-bid upon</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renewal as well as pursuant to work orders.</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40" w:type="dxa"/>
            <w:vAlign w:val="bottom"/>
            <w:tcBorders>
              <w:left w:val="single" w:sz="8" w:color="auto"/>
              <w:right w:val="single" w:sz="8" w:color="auto"/>
            </w:tcBorders>
          </w:tcPr>
          <w:p>
            <w:pPr>
              <w:spacing w:after="0"/>
              <w:rPr>
                <w:sz w:val="21"/>
                <w:szCs w:val="21"/>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systems, EV charging station design, installation, and maintenance, as well as microgrid systems encompassing</w:t>
            </w:r>
          </w:p>
        </w:tc>
        <w:tc>
          <w:tcPr>
            <w:tcW w:w="0" w:type="dxa"/>
            <w:vAlign w:val="bottom"/>
          </w:tcPr>
          <w:p>
            <w:pPr>
              <w:spacing w:after="0"/>
              <w:rPr>
                <w:sz w:val="1"/>
                <w:szCs w:val="1"/>
                <w:color w:val="auto"/>
              </w:rPr>
            </w:pPr>
          </w:p>
        </w:tc>
      </w:tr>
      <w:tr>
        <w:trPr>
          <w:trHeight w:val="155"/>
        </w:trPr>
        <w:tc>
          <w:tcPr>
            <w:tcW w:w="3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Technical Solutions</w:t>
            </w: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uninterrupted power supply (“UPS”) systems and power distribution units. These offerings are strategically leveraged</w:t>
            </w:r>
          </w:p>
        </w:tc>
        <w:tc>
          <w:tcPr>
            <w:tcW w:w="0" w:type="dxa"/>
            <w:vAlign w:val="bottom"/>
          </w:tcPr>
          <w:p>
            <w:pPr>
              <w:spacing w:after="0"/>
              <w:rPr>
                <w:sz w:val="1"/>
                <w:szCs w:val="1"/>
                <w:color w:val="auto"/>
              </w:rPr>
            </w:pPr>
          </w:p>
        </w:tc>
      </w:tr>
      <w:tr>
        <w:trPr>
          <w:trHeight w:val="127"/>
        </w:trPr>
        <w:tc>
          <w:tcPr>
            <w:tcW w:w="3240" w:type="dxa"/>
            <w:vAlign w:val="bottom"/>
            <w:tcBorders>
              <w:left w:val="single" w:sz="8" w:color="auto"/>
              <w:right w:val="single" w:sz="8" w:color="auto"/>
            </w:tcBorders>
            <w:vMerge w:val="continue"/>
          </w:tcPr>
          <w:p>
            <w:pPr>
              <w:spacing w:after="0"/>
              <w:rPr>
                <w:sz w:val="11"/>
                <w:szCs w:val="11"/>
                <w:color w:val="auto"/>
              </w:rPr>
            </w:pPr>
          </w:p>
        </w:tc>
        <w:tc>
          <w:tcPr>
            <w:tcW w:w="802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5"/>
                <w:szCs w:val="15"/>
                <w:color w:val="auto"/>
              </w:rPr>
              <w:t>for cross-selling across all our industry groups, both domestically and internationally. Contracts for this segment are</w:t>
            </w:r>
          </w:p>
        </w:tc>
        <w:tc>
          <w:tcPr>
            <w:tcW w:w="0" w:type="dxa"/>
            <w:vAlign w:val="bottom"/>
          </w:tcPr>
          <w:p>
            <w:pPr>
              <w:spacing w:after="0"/>
              <w:rPr>
                <w:sz w:val="1"/>
                <w:szCs w:val="1"/>
                <w:color w:val="auto"/>
              </w:rPr>
            </w:pPr>
          </w:p>
        </w:tc>
      </w:tr>
      <w:tr>
        <w:trPr>
          <w:trHeight w:val="28"/>
        </w:trPr>
        <w:tc>
          <w:tcPr>
            <w:tcW w:w="3240" w:type="dxa"/>
            <w:vAlign w:val="bottom"/>
            <w:tcBorders>
              <w:left w:val="single" w:sz="8" w:color="auto"/>
              <w:right w:val="single" w:sz="8" w:color="auto"/>
            </w:tcBorders>
          </w:tcPr>
          <w:p>
            <w:pPr>
              <w:spacing w:after="0"/>
              <w:rPr>
                <w:sz w:val="2"/>
                <w:szCs w:val="2"/>
                <w:color w:val="auto"/>
              </w:rPr>
            </w:pPr>
          </w:p>
        </w:tc>
        <w:tc>
          <w:tcPr>
            <w:tcW w:w="8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240" w:type="dxa"/>
            <w:vAlign w:val="bottom"/>
            <w:tcBorders>
              <w:left w:val="single" w:sz="8" w:color="auto"/>
              <w:right w:val="single" w:sz="8" w:color="auto"/>
            </w:tcBorders>
          </w:tcPr>
          <w:p>
            <w:pPr>
              <w:spacing w:after="0"/>
              <w:rPr>
                <w:sz w:val="13"/>
                <w:szCs w:val="13"/>
                <w:color w:val="auto"/>
              </w:rPr>
            </w:pPr>
          </w:p>
        </w:tc>
        <w:tc>
          <w:tcPr>
            <w:tcW w:w="8020" w:type="dxa"/>
            <w:vAlign w:val="bottom"/>
            <w:tcBorders>
              <w:right w:val="single" w:sz="8" w:color="auto"/>
            </w:tcBorders>
          </w:tcPr>
          <w:p>
            <w:pPr>
              <w:spacing w:after="0" w:line="155" w:lineRule="exact"/>
              <w:rPr>
                <w:sz w:val="20"/>
                <w:szCs w:val="20"/>
                <w:color w:val="auto"/>
              </w:rPr>
            </w:pPr>
            <w:r>
              <w:rPr>
                <w:rFonts w:ascii="Arial" w:cs="Arial" w:eastAsia="Arial" w:hAnsi="Arial"/>
                <w:sz w:val="15"/>
                <w:szCs w:val="15"/>
                <w:color w:val="auto"/>
              </w:rPr>
              <w:t>generally structured as electrical contracting services for energy related products such as the installation of solar</w:t>
            </w:r>
          </w:p>
        </w:tc>
        <w:tc>
          <w:tcPr>
            <w:tcW w:w="0" w:type="dxa"/>
            <w:vAlign w:val="bottom"/>
          </w:tcPr>
          <w:p>
            <w:pPr>
              <w:spacing w:after="0"/>
              <w:rPr>
                <w:sz w:val="1"/>
                <w:szCs w:val="1"/>
                <w:color w:val="auto"/>
              </w:rPr>
            </w:pPr>
          </w:p>
        </w:tc>
      </w:tr>
      <w:tr>
        <w:trPr>
          <w:trHeight w:val="204"/>
        </w:trPr>
        <w:tc>
          <w:tcPr>
            <w:tcW w:w="3240" w:type="dxa"/>
            <w:vAlign w:val="bottom"/>
            <w:tcBorders>
              <w:left w:val="single" w:sz="8" w:color="auto"/>
              <w:right w:val="single" w:sz="8" w:color="auto"/>
            </w:tcBorders>
          </w:tcPr>
          <w:p>
            <w:pPr>
              <w:spacing w:after="0"/>
              <w:rPr>
                <w:sz w:val="17"/>
                <w:szCs w:val="17"/>
                <w:color w:val="auto"/>
              </w:rPr>
            </w:pPr>
          </w:p>
        </w:tc>
        <w:tc>
          <w:tcPr>
            <w:tcW w:w="80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solutions, battery storage, distributed generation, and other specialized electric trade.</w:t>
            </w:r>
          </w:p>
        </w:tc>
        <w:tc>
          <w:tcPr>
            <w:tcW w:w="0" w:type="dxa"/>
            <w:vAlign w:val="bottom"/>
          </w:tcPr>
          <w:p>
            <w:pPr>
              <w:spacing w:after="0"/>
              <w:rPr>
                <w:sz w:val="1"/>
                <w:szCs w:val="1"/>
                <w:color w:val="auto"/>
              </w:rPr>
            </w:pPr>
          </w:p>
        </w:tc>
      </w:tr>
      <w:tr>
        <w:trPr>
          <w:trHeight w:val="105"/>
        </w:trPr>
        <w:tc>
          <w:tcPr>
            <w:tcW w:w="324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20" w:firstLine="619"/>
        <w:spacing w:after="0" w:line="261" w:lineRule="auto"/>
        <w:rPr>
          <w:sz w:val="20"/>
          <w:szCs w:val="20"/>
          <w:color w:val="auto"/>
        </w:rPr>
      </w:pPr>
      <w:r>
        <w:rPr>
          <w:rFonts w:ascii="Arial" w:cs="Arial" w:eastAsia="Arial" w:hAnsi="Arial"/>
          <w:sz w:val="17"/>
          <w:szCs w:val="17"/>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spacing w:after="0" w:line="381" w:lineRule="exact"/>
        <w:rPr>
          <w:sz w:val="20"/>
          <w:szCs w:val="20"/>
          <w:color w:val="auto"/>
        </w:rPr>
      </w:pPr>
    </w:p>
    <w:p>
      <w:pPr>
        <w:jc w:val="both"/>
        <w:ind w:right="20" w:firstLine="619"/>
        <w:spacing w:after="0" w:line="271" w:lineRule="auto"/>
        <w:rPr>
          <w:sz w:val="20"/>
          <w:szCs w:val="20"/>
          <w:color w:val="auto"/>
        </w:rPr>
      </w:pPr>
      <w:r>
        <w:rPr>
          <w:rFonts w:ascii="Arial" w:cs="Arial" w:eastAsia="Arial" w:hAnsi="Arial"/>
          <w:sz w:val="17"/>
          <w:szCs w:val="17"/>
          <w:color w:val="auto"/>
        </w:rPr>
        <w:t>As of January 31, 2026, the Company’s Chief Operating Decision Makers (the “CODMs”), consisting of the Chief Executive Officer and the Chief Operating Officer, evaluate the performance of ABM’s operating segments and allocate resources based on segment operating profit and revenue. These metrics are regularly reviewed as part of ABM’s internal reporting package.</w:t>
      </w:r>
    </w:p>
    <w:p>
      <w:pPr>
        <w:spacing w:after="0" w:line="163" w:lineRule="exact"/>
        <w:rPr>
          <w:sz w:val="20"/>
          <w:szCs w:val="20"/>
          <w:color w:val="auto"/>
        </w:rPr>
      </w:pPr>
    </w:p>
    <w:p>
      <w:pPr>
        <w:jc w:val="both"/>
        <w:ind w:right="20" w:firstLine="619"/>
        <w:spacing w:after="0" w:line="262" w:lineRule="auto"/>
        <w:rPr>
          <w:sz w:val="20"/>
          <w:szCs w:val="20"/>
          <w:color w:val="auto"/>
        </w:rPr>
      </w:pPr>
      <w:r>
        <w:rPr>
          <w:rFonts w:ascii="Arial" w:cs="Arial" w:eastAsia="Arial" w:hAnsi="Arial"/>
          <w:sz w:val="17"/>
          <w:szCs w:val="17"/>
          <w:color w:val="auto"/>
        </w:rPr>
        <w:t>Segment operating profits are used to allocate resources, including investment spending, primarily as part of the annual budget process. On a monthly basis, the CODMs review budget-to-actual variances to assess performance, monitor trends, and compare results across segments. Segment performance is also considered in the determination of incentive compensation for segment leadership. Segment asset information is not provided to the CODMs, nor is it used in evaluating segment performance or making resource allocation decisions. Accordingly, segment assets are not disclosed in this note.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23" w:name="page24"/>
    <w:bookmarkEnd w:id="23"/>
    <w:p>
      <w:pPr>
        <w:ind w:firstLine="619"/>
        <w:spacing w:after="0" w:line="290" w:lineRule="auto"/>
        <w:rPr>
          <w:sz w:val="20"/>
          <w:szCs w:val="20"/>
          <w:color w:val="auto"/>
        </w:rPr>
      </w:pPr>
      <w:r>
        <w:rPr>
          <w:rFonts w:ascii="Arial" w:cs="Arial" w:eastAsia="Arial" w:hAnsi="Arial"/>
          <w:sz w:val="17"/>
          <w:szCs w:val="17"/>
          <w:color w:val="auto"/>
        </w:rPr>
        <w:t>The following tables present the measure of profit or loss used by the CODMs, along with other significant segment items that are regularly provided and used in managing the business: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0046AD"/>
        </w:rPr>
        <w:t>Financial Information by Reportable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Three Months Ended January 31, 2026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B&amp;I</w:t>
            </w:r>
          </w:p>
        </w:tc>
        <w:tc>
          <w:tcPr>
            <w:tcW w:w="360" w:type="dxa"/>
            <w:vAlign w:val="bottom"/>
          </w:tcPr>
          <w:p>
            <w:pPr>
              <w:spacing w:after="0"/>
              <w:rPr>
                <w:sz w:val="12"/>
                <w:szCs w:val="12"/>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M&amp;D</w:t>
            </w:r>
          </w:p>
        </w:tc>
        <w:tc>
          <w:tcPr>
            <w:tcW w:w="300" w:type="dxa"/>
            <w:vAlign w:val="bottom"/>
          </w:tcPr>
          <w:p>
            <w:pPr>
              <w:spacing w:after="0"/>
              <w:rPr>
                <w:sz w:val="12"/>
                <w:szCs w:val="12"/>
                <w:color w:val="auto"/>
              </w:rPr>
            </w:pPr>
          </w:p>
        </w:tc>
        <w:tc>
          <w:tcPr>
            <w:tcW w:w="114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Aviation</w:t>
            </w:r>
          </w:p>
        </w:tc>
        <w:tc>
          <w:tcPr>
            <w:tcW w:w="260" w:type="dxa"/>
            <w:vAlign w:val="bottom"/>
          </w:tcPr>
          <w:p>
            <w:pPr>
              <w:spacing w:after="0"/>
              <w:rPr>
                <w:sz w:val="12"/>
                <w:szCs w:val="12"/>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Education</w:t>
            </w:r>
          </w:p>
        </w:tc>
        <w:tc>
          <w:tcPr>
            <w:tcW w:w="240" w:type="dxa"/>
            <w:vAlign w:val="bottom"/>
          </w:tcPr>
          <w:p>
            <w:pPr>
              <w:spacing w:after="0"/>
              <w:rPr>
                <w:sz w:val="12"/>
                <w:szCs w:val="12"/>
                <w:color w:val="auto"/>
              </w:rPr>
            </w:pPr>
          </w:p>
        </w:tc>
        <w:tc>
          <w:tcPr>
            <w:tcW w:w="1240" w:type="dxa"/>
            <w:vAlign w:val="bottom"/>
          </w:tcPr>
          <w:p>
            <w:pPr>
              <w:jc w:val="right"/>
              <w:ind w:right="343"/>
              <w:spacing w:after="0" w:line="148" w:lineRule="exact"/>
              <w:rPr>
                <w:sz w:val="20"/>
                <w:szCs w:val="20"/>
                <w:color w:val="auto"/>
              </w:rPr>
            </w:pPr>
            <w:r>
              <w:rPr>
                <w:rFonts w:ascii="Arial" w:cs="Arial" w:eastAsia="Arial" w:hAnsi="Arial"/>
                <w:sz w:val="15"/>
                <w:szCs w:val="15"/>
                <w:b w:val="1"/>
                <w:bCs w:val="1"/>
                <w:color w:val="auto"/>
              </w:rPr>
              <w:t>Technical</w:t>
            </w:r>
          </w:p>
        </w:tc>
        <w:tc>
          <w:tcPr>
            <w:tcW w:w="300" w:type="dxa"/>
            <w:vAlign w:val="bottom"/>
          </w:tcPr>
          <w:p>
            <w:pPr>
              <w:spacing w:after="0"/>
              <w:rPr>
                <w:sz w:val="12"/>
                <w:szCs w:val="12"/>
                <w:color w:val="auto"/>
              </w:rPr>
            </w:pPr>
          </w:p>
        </w:tc>
        <w:tc>
          <w:tcPr>
            <w:tcW w:w="104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43"/>
              <w:spacing w:after="0" w:line="135" w:lineRule="exact"/>
              <w:rPr>
                <w:sz w:val="20"/>
                <w:szCs w:val="20"/>
                <w:color w:val="auto"/>
              </w:rPr>
            </w:pPr>
            <w:r>
              <w:rPr>
                <w:rFonts w:ascii="Arial" w:cs="Arial" w:eastAsia="Arial" w:hAnsi="Arial"/>
                <w:sz w:val="15"/>
                <w:szCs w:val="15"/>
                <w:b w:val="1"/>
                <w:bCs w:val="1"/>
                <w:color w:val="auto"/>
              </w:rPr>
              <w:t>Solutions</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1,065.1</w:t>
            </w:r>
          </w:p>
        </w:tc>
        <w:tc>
          <w:tcPr>
            <w:tcW w:w="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422.3</w:t>
            </w:r>
          </w:p>
        </w:tc>
        <w:tc>
          <w:tcPr>
            <w:tcW w:w="300" w:type="dxa"/>
            <w:vAlign w:val="bottom"/>
            <w:shd w:val="clear" w:color="auto" w:fill="DCE2EF"/>
          </w:tcPr>
          <w:p>
            <w:pPr>
              <w:ind w:left="80"/>
              <w:spacing w:after="0"/>
              <w:rPr>
                <w:sz w:val="20"/>
                <w:szCs w:val="20"/>
                <w:color w:val="auto"/>
              </w:rPr>
            </w:pPr>
            <w:r>
              <w:rPr>
                <w:rFonts w:ascii="Arial" w:cs="Arial" w:eastAsia="Arial" w:hAnsi="Arial"/>
                <w:sz w:val="15"/>
                <w:szCs w:val="15"/>
                <w:color w:val="auto"/>
              </w:rPr>
              <w:t>$</w:t>
            </w: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297.7</w:t>
            </w:r>
          </w:p>
        </w:tc>
        <w:tc>
          <w:tcPr>
            <w:tcW w:w="26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228.7</w:t>
            </w:r>
          </w:p>
        </w:tc>
        <w:tc>
          <w:tcPr>
            <w:tcW w:w="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229.7</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2,243.5</w:t>
            </w:r>
          </w:p>
        </w:tc>
        <w:tc>
          <w:tcPr>
            <w:tcW w:w="0" w:type="dxa"/>
            <w:vAlign w:val="bottom"/>
          </w:tcPr>
          <w:p>
            <w:pPr>
              <w:spacing w:after="0"/>
              <w:rPr>
                <w:sz w:val="1"/>
                <w:szCs w:val="1"/>
                <w:color w:val="auto"/>
              </w:rPr>
            </w:pPr>
          </w:p>
        </w:tc>
      </w:tr>
      <w:tr>
        <w:trPr>
          <w:trHeight w:val="206"/>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 labor costs</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596.4</w:t>
            </w: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276.1</w:t>
            </w: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183.6</w:t>
            </w: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147.3</w:t>
            </w: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81.5</w:t>
            </w: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1,284.9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29.2</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5.5</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5.9</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26.5</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70.3</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General and administrative</w:t>
            </w:r>
          </w:p>
        </w:tc>
        <w:tc>
          <w:tcPr>
            <w:tcW w:w="32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19.6</w:t>
            </w: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12.0</w:t>
            </w:r>
          </w:p>
        </w:tc>
        <w:tc>
          <w:tcPr>
            <w:tcW w:w="3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11.1</w:t>
            </w:r>
          </w:p>
        </w:tc>
        <w:tc>
          <w:tcPr>
            <w:tcW w:w="26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2.4</w:t>
            </w:r>
          </w:p>
        </w:tc>
        <w:tc>
          <w:tcPr>
            <w:tcW w:w="24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20.4</w:t>
            </w:r>
          </w:p>
        </w:tc>
        <w:tc>
          <w:tcPr>
            <w:tcW w:w="30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65.5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8.2</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0.4</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13.8</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0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332.0</w:t>
            </w:r>
          </w:p>
        </w:tc>
        <w:tc>
          <w:tcPr>
            <w:tcW w:w="36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89.2</w:t>
            </w:r>
          </w:p>
        </w:tc>
        <w:tc>
          <w:tcPr>
            <w:tcW w:w="30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86.8</w:t>
            </w:r>
          </w:p>
        </w:tc>
        <w:tc>
          <w:tcPr>
            <w:tcW w:w="26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51.2</w:t>
            </w:r>
          </w:p>
        </w:tc>
        <w:tc>
          <w:tcPr>
            <w:tcW w:w="24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79.1</w:t>
            </w:r>
          </w:p>
        </w:tc>
        <w:tc>
          <w:tcPr>
            <w:tcW w:w="30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638.3</w:t>
            </w:r>
          </w:p>
        </w:tc>
        <w:tc>
          <w:tcPr>
            <w:tcW w:w="0" w:type="dxa"/>
            <w:vAlign w:val="bottom"/>
          </w:tcPr>
          <w:p>
            <w:pPr>
              <w:spacing w:after="0"/>
              <w:rPr>
                <w:sz w:val="1"/>
                <w:szCs w:val="1"/>
                <w:color w:val="auto"/>
              </w:rPr>
            </w:pPr>
          </w:p>
        </w:tc>
      </w:tr>
      <w:tr>
        <w:trPr>
          <w:trHeight w:val="199"/>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79.7</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36.3</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12.6</w:t>
            </w: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21.6</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8.4</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(81.9)</w:t>
            </w:r>
          </w:p>
        </w:tc>
        <w:tc>
          <w:tcPr>
            <w:tcW w:w="0" w:type="dxa"/>
            <w:vAlign w:val="bottom"/>
          </w:tcPr>
          <w:p>
            <w:pPr>
              <w:spacing w:after="0"/>
              <w:rPr>
                <w:sz w:val="1"/>
                <w:szCs w:val="1"/>
                <w:color w:val="auto"/>
              </w:rPr>
            </w:pPr>
          </w:p>
        </w:tc>
      </w:tr>
      <w:tr>
        <w:trPr>
          <w:trHeight w:val="205"/>
        </w:trPr>
        <w:tc>
          <w:tcPr>
            <w:tcW w:w="694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56"/>
        </w:trPr>
        <w:tc>
          <w:tcPr>
            <w:tcW w:w="4440" w:type="dxa"/>
            <w:vAlign w:val="bottom"/>
            <w:gridSpan w:val="6"/>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106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14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122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5"/>
        </w:trPr>
        <w:tc>
          <w:tcPr>
            <w:tcW w:w="304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4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DCE2EF"/>
            </w:tcBorders>
          </w:tcPr>
          <w:p>
            <w:pPr>
              <w:spacing w:after="0" w:line="20" w:lineRule="exact"/>
              <w:rPr>
                <w:sz w:val="1"/>
                <w:szCs w:val="1"/>
                <w:color w:val="auto"/>
              </w:rPr>
            </w:pPr>
          </w:p>
        </w:tc>
        <w:tc>
          <w:tcPr>
            <w:tcW w:w="11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5"/>
        </w:trPr>
        <w:tc>
          <w:tcPr>
            <w:tcW w:w="27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Borders>
              <w:bottom w:val="single" w:sz="8" w:color="DCE2EF"/>
            </w:tcBorders>
          </w:tcPr>
          <w:p>
            <w:pPr>
              <w:spacing w:after="0"/>
              <w:rPr>
                <w:sz w:val="17"/>
                <w:szCs w:val="17"/>
                <w:color w:val="auto"/>
              </w:rPr>
            </w:pPr>
          </w:p>
        </w:tc>
        <w:tc>
          <w:tcPr>
            <w:tcW w:w="1040" w:type="dxa"/>
            <w:vAlign w:val="bottom"/>
            <w:tcBorders>
              <w:bottom w:val="single" w:sz="8" w:color="DCE2EF"/>
            </w:tcBorders>
          </w:tcPr>
          <w:p>
            <w:pPr>
              <w:spacing w:after="0"/>
              <w:rPr>
                <w:sz w:val="17"/>
                <w:szCs w:val="17"/>
                <w:color w:val="auto"/>
              </w:rPr>
            </w:pPr>
          </w:p>
        </w:tc>
        <w:tc>
          <w:tcPr>
            <w:tcW w:w="360" w:type="dxa"/>
            <w:vAlign w:val="bottom"/>
            <w:tcBorders>
              <w:bottom w:val="single" w:sz="8" w:color="DCE2EF"/>
            </w:tcBorders>
          </w:tcPr>
          <w:p>
            <w:pPr>
              <w:spacing w:after="0"/>
              <w:rPr>
                <w:sz w:val="17"/>
                <w:szCs w:val="17"/>
                <w:color w:val="auto"/>
              </w:rPr>
            </w:pPr>
          </w:p>
        </w:tc>
        <w:tc>
          <w:tcPr>
            <w:tcW w:w="1060" w:type="dxa"/>
            <w:vAlign w:val="bottom"/>
            <w:tcBorders>
              <w:bottom w:val="single" w:sz="8" w:color="DCE2EF"/>
            </w:tcBorders>
          </w:tcPr>
          <w:p>
            <w:pPr>
              <w:spacing w:after="0"/>
              <w:rPr>
                <w:sz w:val="17"/>
                <w:szCs w:val="17"/>
                <w:color w:val="auto"/>
              </w:rPr>
            </w:pPr>
          </w:p>
        </w:tc>
        <w:tc>
          <w:tcPr>
            <w:tcW w:w="300" w:type="dxa"/>
            <w:vAlign w:val="bottom"/>
            <w:tcBorders>
              <w:bottom w:val="single" w:sz="8" w:color="DCE2EF"/>
            </w:tcBorders>
          </w:tcPr>
          <w:p>
            <w:pPr>
              <w:spacing w:after="0"/>
              <w:rPr>
                <w:sz w:val="17"/>
                <w:szCs w:val="17"/>
                <w:color w:val="auto"/>
              </w:rPr>
            </w:pPr>
          </w:p>
        </w:tc>
        <w:tc>
          <w:tcPr>
            <w:tcW w:w="1140" w:type="dxa"/>
            <w:vAlign w:val="bottom"/>
            <w:tcBorders>
              <w:bottom w:val="single" w:sz="8" w:color="DCE2EF"/>
            </w:tcBorders>
          </w:tcPr>
          <w:p>
            <w:pPr>
              <w:spacing w:after="0"/>
              <w:rPr>
                <w:sz w:val="17"/>
                <w:szCs w:val="17"/>
                <w:color w:val="auto"/>
              </w:rPr>
            </w:pPr>
          </w:p>
        </w:tc>
        <w:tc>
          <w:tcPr>
            <w:tcW w:w="260" w:type="dxa"/>
            <w:vAlign w:val="bottom"/>
            <w:tcBorders>
              <w:bottom w:val="single" w:sz="8" w:color="DCE2EF"/>
            </w:tcBorders>
          </w:tcPr>
          <w:p>
            <w:pPr>
              <w:spacing w:after="0"/>
              <w:rPr>
                <w:sz w:val="17"/>
                <w:szCs w:val="17"/>
                <w:color w:val="auto"/>
              </w:rPr>
            </w:pPr>
          </w:p>
        </w:tc>
        <w:tc>
          <w:tcPr>
            <w:tcW w:w="1220" w:type="dxa"/>
            <w:vAlign w:val="bottom"/>
            <w:tcBorders>
              <w:bottom w:val="single" w:sz="8" w:color="DCE2EF"/>
            </w:tcBorders>
          </w:tcPr>
          <w:p>
            <w:pPr>
              <w:spacing w:after="0"/>
              <w:rPr>
                <w:sz w:val="17"/>
                <w:szCs w:val="17"/>
                <w:color w:val="auto"/>
              </w:rPr>
            </w:pPr>
          </w:p>
        </w:tc>
        <w:tc>
          <w:tcPr>
            <w:tcW w:w="240" w:type="dxa"/>
            <w:vAlign w:val="bottom"/>
            <w:tcBorders>
              <w:bottom w:val="single" w:sz="8" w:color="DCE2EF"/>
            </w:tcBorders>
          </w:tcPr>
          <w:p>
            <w:pPr>
              <w:spacing w:after="0"/>
              <w:rPr>
                <w:sz w:val="17"/>
                <w:szCs w:val="17"/>
                <w:color w:val="auto"/>
              </w:rPr>
            </w:pPr>
          </w:p>
        </w:tc>
        <w:tc>
          <w:tcPr>
            <w:tcW w:w="124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225"/>
        </w:trPr>
        <w:tc>
          <w:tcPr>
            <w:tcW w:w="27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20" w:type="dxa"/>
            <w:vAlign w:val="bottom"/>
            <w:tcBorders>
              <w:bottom w:val="single" w:sz="8" w:color="DCE2EF"/>
            </w:tcBorders>
            <w:shd w:val="clear" w:color="auto" w:fill="DCE2EF"/>
          </w:tcPr>
          <w:p>
            <w:pPr>
              <w:spacing w:after="0"/>
              <w:rPr>
                <w:sz w:val="19"/>
                <w:szCs w:val="19"/>
                <w:color w:val="auto"/>
              </w:rPr>
            </w:pPr>
          </w:p>
        </w:tc>
        <w:tc>
          <w:tcPr>
            <w:tcW w:w="104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DCE2EF"/>
            </w:tcBorders>
            <w:shd w:val="clear" w:color="auto" w:fill="DCE2EF"/>
          </w:tcPr>
          <w:p>
            <w:pPr>
              <w:spacing w:after="0"/>
              <w:rPr>
                <w:sz w:val="19"/>
                <w:szCs w:val="19"/>
                <w:color w:val="auto"/>
              </w:rPr>
            </w:pPr>
          </w:p>
        </w:tc>
        <w:tc>
          <w:tcPr>
            <w:tcW w:w="106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DCE2EF"/>
            </w:tcBorders>
            <w:shd w:val="clear" w:color="auto" w:fill="DCE2EF"/>
          </w:tcPr>
          <w:p>
            <w:pPr>
              <w:spacing w:after="0"/>
              <w:rPr>
                <w:sz w:val="19"/>
                <w:szCs w:val="19"/>
                <w:color w:val="auto"/>
              </w:rPr>
            </w:pPr>
          </w:p>
        </w:tc>
        <w:tc>
          <w:tcPr>
            <w:tcW w:w="114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DCE2EF"/>
            </w:tcBorders>
            <w:shd w:val="clear" w:color="auto" w:fill="DCE2EF"/>
          </w:tcPr>
          <w:p>
            <w:pPr>
              <w:spacing w:after="0"/>
              <w:rPr>
                <w:sz w:val="19"/>
                <w:szCs w:val="19"/>
                <w:color w:val="auto"/>
              </w:rPr>
            </w:pPr>
          </w:p>
        </w:tc>
        <w:tc>
          <w:tcPr>
            <w:tcW w:w="122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DCE2EF"/>
            </w:tcBorders>
            <w:shd w:val="clear" w:color="auto" w:fill="DCE2EF"/>
          </w:tcPr>
          <w:p>
            <w:pPr>
              <w:spacing w:after="0"/>
              <w:rPr>
                <w:sz w:val="19"/>
                <w:szCs w:val="19"/>
                <w:color w:val="auto"/>
              </w:rPr>
            </w:pPr>
          </w:p>
        </w:tc>
        <w:tc>
          <w:tcPr>
            <w:tcW w:w="124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0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tcBorders>
          </w:tcPr>
          <w:p>
            <w:pPr>
              <w:spacing w:after="0" w:line="20" w:lineRule="exact"/>
              <w:rPr>
                <w:sz w:val="1"/>
                <w:szCs w:val="1"/>
                <w:color w:val="auto"/>
              </w:rPr>
            </w:pPr>
          </w:p>
        </w:tc>
        <w:tc>
          <w:tcPr>
            <w:tcW w:w="11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29.3</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15.9</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6.7</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10.8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66.2</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0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Salaries and wages (other than</w:t>
            </w:r>
          </w:p>
        </w:tc>
        <w:tc>
          <w:tcPr>
            <w:tcW w:w="32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28.4</w:t>
            </w:r>
          </w:p>
        </w:tc>
        <w:tc>
          <w:tcPr>
            <w:tcW w:w="36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8.0</w:t>
            </w:r>
          </w:p>
        </w:tc>
        <w:tc>
          <w:tcPr>
            <w:tcW w:w="300" w:type="dxa"/>
            <w:vAlign w:val="bottom"/>
            <w:shd w:val="clear" w:color="auto" w:fill="DCE2EF"/>
          </w:tcPr>
          <w:p>
            <w:pPr>
              <w:spacing w:after="0"/>
              <w:rPr>
                <w:sz w:val="13"/>
                <w:szCs w:val="13"/>
                <w:color w:val="auto"/>
              </w:rPr>
            </w:pPr>
          </w:p>
        </w:tc>
        <w:tc>
          <w:tcPr>
            <w:tcW w:w="11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4.0</w:t>
            </w:r>
          </w:p>
        </w:tc>
        <w:tc>
          <w:tcPr>
            <w:tcW w:w="26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4.5</w:t>
            </w:r>
          </w:p>
        </w:tc>
        <w:tc>
          <w:tcPr>
            <w:tcW w:w="24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35.7</w:t>
            </w:r>
          </w:p>
        </w:tc>
        <w:tc>
          <w:tcPr>
            <w:tcW w:w="3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20" w:type="dxa"/>
            <w:vAlign w:val="bottom"/>
            <w:shd w:val="clear" w:color="auto" w:fill="DCE2EF"/>
          </w:tcPr>
          <w:p>
            <w:pPr>
              <w:spacing w:after="0"/>
              <w:rPr>
                <w:sz w:val="17"/>
                <w:szCs w:val="17"/>
                <w:color w:val="auto"/>
              </w:rPr>
            </w:pPr>
          </w:p>
        </w:tc>
        <w:tc>
          <w:tcPr>
            <w:tcW w:w="1040" w:type="dxa"/>
            <w:vAlign w:val="bottom"/>
            <w:vMerge w:val="continue"/>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2.8</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5.4</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0.4</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2.4</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0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2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1.9</w:t>
            </w:r>
          </w:p>
        </w:tc>
        <w:tc>
          <w:tcPr>
            <w:tcW w:w="36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0.5</w:t>
            </w:r>
          </w:p>
        </w:tc>
        <w:tc>
          <w:tcPr>
            <w:tcW w:w="300" w:type="dxa"/>
            <w:vAlign w:val="bottom"/>
            <w:shd w:val="clear" w:color="auto" w:fill="DCE2EF"/>
          </w:tcPr>
          <w:p>
            <w:pPr>
              <w:spacing w:after="0"/>
              <w:rPr>
                <w:sz w:val="13"/>
                <w:szCs w:val="13"/>
                <w:color w:val="auto"/>
              </w:rPr>
            </w:pPr>
          </w:p>
        </w:tc>
        <w:tc>
          <w:tcPr>
            <w:tcW w:w="11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0.5</w:t>
            </w:r>
          </w:p>
        </w:tc>
        <w:tc>
          <w:tcPr>
            <w:tcW w:w="26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0.2</w:t>
            </w:r>
          </w:p>
        </w:tc>
        <w:tc>
          <w:tcPr>
            <w:tcW w:w="24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1.7</w:t>
            </w:r>
          </w:p>
        </w:tc>
        <w:tc>
          <w:tcPr>
            <w:tcW w:w="3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20" w:type="dxa"/>
            <w:vAlign w:val="bottom"/>
            <w:shd w:val="clear" w:color="auto" w:fill="DCE2EF"/>
          </w:tcPr>
          <w:p>
            <w:pPr>
              <w:spacing w:after="0"/>
              <w:rPr>
                <w:sz w:val="17"/>
                <w:szCs w:val="17"/>
                <w:color w:val="auto"/>
              </w:rPr>
            </w:pPr>
          </w:p>
        </w:tc>
        <w:tc>
          <w:tcPr>
            <w:tcW w:w="1040" w:type="dxa"/>
            <w:vAlign w:val="bottom"/>
            <w:vMerge w:val="continue"/>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0.3</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0.2</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0.4</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Three Months Ended January 31,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B&amp;I</w:t>
            </w:r>
          </w:p>
        </w:tc>
        <w:tc>
          <w:tcPr>
            <w:tcW w:w="360" w:type="dxa"/>
            <w:vAlign w:val="bottom"/>
          </w:tcPr>
          <w:p>
            <w:pPr>
              <w:spacing w:after="0"/>
              <w:rPr>
                <w:sz w:val="12"/>
                <w:szCs w:val="12"/>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M&amp;D</w:t>
            </w:r>
          </w:p>
        </w:tc>
        <w:tc>
          <w:tcPr>
            <w:tcW w:w="300" w:type="dxa"/>
            <w:vAlign w:val="bottom"/>
          </w:tcPr>
          <w:p>
            <w:pPr>
              <w:spacing w:after="0"/>
              <w:rPr>
                <w:sz w:val="12"/>
                <w:szCs w:val="12"/>
                <w:color w:val="auto"/>
              </w:rPr>
            </w:pPr>
          </w:p>
        </w:tc>
        <w:tc>
          <w:tcPr>
            <w:tcW w:w="114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rPr>
              <w:t>Aviation</w:t>
            </w:r>
          </w:p>
        </w:tc>
        <w:tc>
          <w:tcPr>
            <w:tcW w:w="260" w:type="dxa"/>
            <w:vAlign w:val="bottom"/>
          </w:tcPr>
          <w:p>
            <w:pPr>
              <w:spacing w:after="0"/>
              <w:rPr>
                <w:sz w:val="12"/>
                <w:szCs w:val="12"/>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Education</w:t>
            </w:r>
          </w:p>
        </w:tc>
        <w:tc>
          <w:tcPr>
            <w:tcW w:w="240" w:type="dxa"/>
            <w:vAlign w:val="bottom"/>
          </w:tcPr>
          <w:p>
            <w:pPr>
              <w:spacing w:after="0"/>
              <w:rPr>
                <w:sz w:val="12"/>
                <w:szCs w:val="12"/>
                <w:color w:val="auto"/>
              </w:rPr>
            </w:pPr>
          </w:p>
        </w:tc>
        <w:tc>
          <w:tcPr>
            <w:tcW w:w="1240" w:type="dxa"/>
            <w:vAlign w:val="bottom"/>
          </w:tcPr>
          <w:p>
            <w:pPr>
              <w:jc w:val="right"/>
              <w:ind w:right="343"/>
              <w:spacing w:after="0" w:line="148" w:lineRule="exact"/>
              <w:rPr>
                <w:sz w:val="20"/>
                <w:szCs w:val="20"/>
                <w:color w:val="auto"/>
              </w:rPr>
            </w:pPr>
            <w:r>
              <w:rPr>
                <w:rFonts w:ascii="Arial" w:cs="Arial" w:eastAsia="Arial" w:hAnsi="Arial"/>
                <w:sz w:val="15"/>
                <w:szCs w:val="15"/>
                <w:b w:val="1"/>
                <w:bCs w:val="1"/>
                <w:color w:val="auto"/>
              </w:rPr>
              <w:t>Technical</w:t>
            </w:r>
          </w:p>
        </w:tc>
        <w:tc>
          <w:tcPr>
            <w:tcW w:w="300" w:type="dxa"/>
            <w:vAlign w:val="bottom"/>
          </w:tcPr>
          <w:p>
            <w:pPr>
              <w:spacing w:after="0"/>
              <w:rPr>
                <w:sz w:val="12"/>
                <w:szCs w:val="12"/>
                <w:color w:val="auto"/>
              </w:rPr>
            </w:pPr>
          </w:p>
        </w:tc>
        <w:tc>
          <w:tcPr>
            <w:tcW w:w="1040" w:type="dxa"/>
            <w:vAlign w:val="bottom"/>
            <w:vMerge w:val="restart"/>
          </w:tcPr>
          <w:p>
            <w:pPr>
              <w:jc w:val="right"/>
              <w:ind w:right="4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27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43"/>
              <w:spacing w:after="0" w:line="135" w:lineRule="exact"/>
              <w:rPr>
                <w:sz w:val="20"/>
                <w:szCs w:val="20"/>
                <w:color w:val="auto"/>
              </w:rPr>
            </w:pPr>
            <w:r>
              <w:rPr>
                <w:rFonts w:ascii="Arial" w:cs="Arial" w:eastAsia="Arial" w:hAnsi="Arial"/>
                <w:sz w:val="15"/>
                <w:szCs w:val="15"/>
                <w:b w:val="1"/>
                <w:bCs w:val="1"/>
                <w:color w:val="auto"/>
              </w:rPr>
              <w:t>Solutions</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20" w:type="dxa"/>
            <w:vAlign w:val="bottom"/>
            <w:shd w:val="clear" w:color="auto" w:fill="DCE2E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1,022.9</w:t>
            </w:r>
          </w:p>
        </w:tc>
        <w:tc>
          <w:tcPr>
            <w:tcW w:w="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394.3</w:t>
            </w:r>
          </w:p>
        </w:tc>
        <w:tc>
          <w:tcPr>
            <w:tcW w:w="300" w:type="dxa"/>
            <w:vAlign w:val="bottom"/>
            <w:shd w:val="clear" w:color="auto" w:fill="DCE2EF"/>
          </w:tcPr>
          <w:p>
            <w:pPr>
              <w:ind w:left="80"/>
              <w:spacing w:after="0"/>
              <w:rPr>
                <w:sz w:val="20"/>
                <w:szCs w:val="20"/>
                <w:color w:val="auto"/>
              </w:rPr>
            </w:pPr>
            <w:r>
              <w:rPr>
                <w:rFonts w:ascii="Arial" w:cs="Arial" w:eastAsia="Arial" w:hAnsi="Arial"/>
                <w:sz w:val="15"/>
                <w:szCs w:val="15"/>
                <w:color w:val="auto"/>
              </w:rPr>
              <w:t>$</w:t>
            </w: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270.1</w:t>
            </w:r>
          </w:p>
        </w:tc>
        <w:tc>
          <w:tcPr>
            <w:tcW w:w="26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225.3</w:t>
            </w:r>
          </w:p>
        </w:tc>
        <w:tc>
          <w:tcPr>
            <w:tcW w:w="2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202.3</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2,114.9</w:t>
            </w:r>
          </w:p>
        </w:tc>
        <w:tc>
          <w:tcPr>
            <w:tcW w:w="0" w:type="dxa"/>
            <w:vAlign w:val="bottom"/>
          </w:tcPr>
          <w:p>
            <w:pPr>
              <w:spacing w:after="0"/>
              <w:rPr>
                <w:sz w:val="1"/>
                <w:szCs w:val="1"/>
                <w:color w:val="auto"/>
              </w:rPr>
            </w:pPr>
          </w:p>
        </w:tc>
      </w:tr>
      <w:tr>
        <w:trPr>
          <w:trHeight w:val="206"/>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Significant Segment 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 labor costs</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571.0</w:t>
            </w: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256.0</w:t>
            </w: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161.1</w:t>
            </w: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151.9</w:t>
            </w: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54.4</w:t>
            </w: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1,194.3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Indirect costs</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31.5</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8.6</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3.4</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21.9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General and administrative</w:t>
            </w:r>
          </w:p>
        </w:tc>
        <w:tc>
          <w:tcPr>
            <w:tcW w:w="320" w:type="dxa"/>
            <w:vAlign w:val="bottom"/>
            <w:shd w:val="clear" w:color="auto" w:fill="DCE2EF"/>
          </w:tcPr>
          <w:p>
            <w:pPr>
              <w:spacing w:after="0"/>
              <w:rPr>
                <w:sz w:val="18"/>
                <w:szCs w:val="18"/>
                <w:color w:val="auto"/>
              </w:rPr>
            </w:pPr>
          </w:p>
        </w:tc>
        <w:tc>
          <w:tcPr>
            <w:tcW w:w="10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18.2</w:t>
            </w:r>
          </w:p>
        </w:tc>
        <w:tc>
          <w:tcPr>
            <w:tcW w:w="360" w:type="dxa"/>
            <w:vAlign w:val="bottom"/>
            <w:shd w:val="clear" w:color="auto" w:fill="DCE2EF"/>
          </w:tcPr>
          <w:p>
            <w:pPr>
              <w:spacing w:after="0"/>
              <w:rPr>
                <w:sz w:val="18"/>
                <w:szCs w:val="18"/>
                <w:color w:val="auto"/>
              </w:rPr>
            </w:pPr>
          </w:p>
        </w:tc>
        <w:tc>
          <w:tcPr>
            <w:tcW w:w="106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11.0</w:t>
            </w:r>
          </w:p>
        </w:tc>
        <w:tc>
          <w:tcPr>
            <w:tcW w:w="300" w:type="dxa"/>
            <w:vAlign w:val="bottom"/>
            <w:shd w:val="clear" w:color="auto" w:fill="DCE2EF"/>
          </w:tcPr>
          <w:p>
            <w:pPr>
              <w:spacing w:after="0"/>
              <w:rPr>
                <w:sz w:val="18"/>
                <w:szCs w:val="18"/>
                <w:color w:val="auto"/>
              </w:rPr>
            </w:pPr>
          </w:p>
        </w:tc>
        <w:tc>
          <w:tcPr>
            <w:tcW w:w="114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rPr>
              <w:t>10.2</w:t>
            </w:r>
          </w:p>
        </w:tc>
        <w:tc>
          <w:tcPr>
            <w:tcW w:w="260" w:type="dxa"/>
            <w:vAlign w:val="bottom"/>
            <w:shd w:val="clear" w:color="auto" w:fill="DCE2EF"/>
          </w:tcPr>
          <w:p>
            <w:pPr>
              <w:spacing w:after="0"/>
              <w:rPr>
                <w:sz w:val="18"/>
                <w:szCs w:val="18"/>
                <w:color w:val="auto"/>
              </w:rPr>
            </w:pPr>
          </w:p>
        </w:tc>
        <w:tc>
          <w:tcPr>
            <w:tcW w:w="122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2.3</w:t>
            </w:r>
          </w:p>
        </w:tc>
        <w:tc>
          <w:tcPr>
            <w:tcW w:w="240" w:type="dxa"/>
            <w:vAlign w:val="bottom"/>
            <w:shd w:val="clear" w:color="auto" w:fill="DCE2EF"/>
          </w:tcPr>
          <w:p>
            <w:pPr>
              <w:spacing w:after="0"/>
              <w:rPr>
                <w:sz w:val="18"/>
                <w:szCs w:val="18"/>
                <w:color w:val="auto"/>
              </w:rPr>
            </w:pPr>
          </w:p>
        </w:tc>
        <w:tc>
          <w:tcPr>
            <w:tcW w:w="1240" w:type="dxa"/>
            <w:vAlign w:val="bottom"/>
            <w:shd w:val="clear" w:color="auto" w:fill="DCE2EF"/>
          </w:tcPr>
          <w:p>
            <w:pPr>
              <w:jc w:val="right"/>
              <w:ind w:right="83"/>
              <w:spacing w:after="0"/>
              <w:rPr>
                <w:sz w:val="20"/>
                <w:szCs w:val="20"/>
                <w:color w:val="auto"/>
              </w:rPr>
            </w:pPr>
            <w:r>
              <w:rPr>
                <w:rFonts w:ascii="Arial" w:cs="Arial" w:eastAsia="Arial" w:hAnsi="Arial"/>
                <w:sz w:val="15"/>
                <w:szCs w:val="15"/>
                <w:color w:val="auto"/>
              </w:rPr>
              <w:t>19.6</w:t>
            </w:r>
          </w:p>
        </w:tc>
        <w:tc>
          <w:tcPr>
            <w:tcW w:w="300" w:type="dxa"/>
            <w:vAlign w:val="bottom"/>
            <w:shd w:val="clear" w:color="auto" w:fill="DCE2EF"/>
          </w:tcPr>
          <w:p>
            <w:pPr>
              <w:spacing w:after="0"/>
              <w:rPr>
                <w:sz w:val="18"/>
                <w:szCs w:val="18"/>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Selling</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7.4</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3.1</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0.3</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13.1</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7"/>
        </w:trPr>
        <w:tc>
          <w:tcPr>
            <w:tcW w:w="20" w:type="dxa"/>
            <w:vAlign w:val="bottom"/>
            <w:shd w:val="clear" w:color="auto" w:fill="DCE2EF"/>
          </w:tcPr>
          <w:p>
            <w:pPr>
              <w:spacing w:after="0"/>
              <w:rPr>
                <w:sz w:val="18"/>
                <w:szCs w:val="18"/>
                <w:color w:val="auto"/>
              </w:rPr>
            </w:pPr>
          </w:p>
        </w:tc>
        <w:tc>
          <w:tcPr>
            <w:tcW w:w="2700" w:type="dxa"/>
            <w:vAlign w:val="bottom"/>
            <w:gridSpan w:val="2"/>
            <w:shd w:val="clear" w:color="auto" w:fill="DCE2EF"/>
          </w:tcPr>
          <w:p>
            <w:pPr>
              <w:ind w:left="100"/>
              <w:spacing w:after="0" w:line="207" w:lineRule="exact"/>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(1)</w:t>
            </w:r>
          </w:p>
        </w:tc>
        <w:tc>
          <w:tcPr>
            <w:tcW w:w="3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315.6</w:t>
            </w:r>
          </w:p>
        </w:tc>
        <w:tc>
          <w:tcPr>
            <w:tcW w:w="36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76.2</w:t>
            </w:r>
          </w:p>
        </w:tc>
        <w:tc>
          <w:tcPr>
            <w:tcW w:w="300" w:type="dxa"/>
            <w:vAlign w:val="bottom"/>
            <w:tcBorders>
              <w:bottom w:val="single" w:sz="8" w:color="auto"/>
            </w:tcBorders>
            <w:shd w:val="clear" w:color="auto" w:fill="DCE2EF"/>
          </w:tcPr>
          <w:p>
            <w:pPr>
              <w:spacing w:after="0"/>
              <w:rPr>
                <w:sz w:val="18"/>
                <w:szCs w:val="18"/>
                <w:color w:val="auto"/>
              </w:rPr>
            </w:pPr>
          </w:p>
        </w:tc>
        <w:tc>
          <w:tcPr>
            <w:tcW w:w="114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rPr>
              <w:t>82.9</w:t>
            </w:r>
          </w:p>
        </w:tc>
        <w:tc>
          <w:tcPr>
            <w:tcW w:w="260" w:type="dxa"/>
            <w:vAlign w:val="bottom"/>
            <w:tcBorders>
              <w:bottom w:val="single" w:sz="8" w:color="auto"/>
            </w:tcBorders>
            <w:shd w:val="clear" w:color="auto" w:fill="DCE2EF"/>
          </w:tcPr>
          <w:p>
            <w:pPr>
              <w:spacing w:after="0"/>
              <w:rPr>
                <w:sz w:val="18"/>
                <w:szCs w:val="18"/>
                <w:color w:val="auto"/>
              </w:rPr>
            </w:pPr>
          </w:p>
        </w:tc>
        <w:tc>
          <w:tcPr>
            <w:tcW w:w="122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51.3</w:t>
            </w:r>
          </w:p>
        </w:tc>
        <w:tc>
          <w:tcPr>
            <w:tcW w:w="240" w:type="dxa"/>
            <w:vAlign w:val="bottom"/>
            <w:tcBorders>
              <w:bottom w:val="single" w:sz="8" w:color="auto"/>
            </w:tcBorders>
            <w:shd w:val="clear" w:color="auto" w:fill="DCE2EF"/>
          </w:tcPr>
          <w:p>
            <w:pPr>
              <w:spacing w:after="0"/>
              <w:rPr>
                <w:sz w:val="18"/>
                <w:szCs w:val="18"/>
                <w:color w:val="auto"/>
              </w:rPr>
            </w:pPr>
          </w:p>
        </w:tc>
        <w:tc>
          <w:tcPr>
            <w:tcW w:w="1240" w:type="dxa"/>
            <w:vAlign w:val="bottom"/>
            <w:tcBorders>
              <w:bottom w:val="single" w:sz="8" w:color="auto"/>
            </w:tcBorders>
            <w:shd w:val="clear" w:color="auto" w:fill="DCE2EF"/>
          </w:tcPr>
          <w:p>
            <w:pPr>
              <w:jc w:val="right"/>
              <w:ind w:right="83"/>
              <w:spacing w:after="0"/>
              <w:rPr>
                <w:sz w:val="20"/>
                <w:szCs w:val="20"/>
                <w:color w:val="auto"/>
              </w:rPr>
            </w:pPr>
            <w:r>
              <w:rPr>
                <w:rFonts w:ascii="Arial" w:cs="Arial" w:eastAsia="Arial" w:hAnsi="Arial"/>
                <w:sz w:val="15"/>
                <w:szCs w:val="15"/>
                <w:color w:val="auto"/>
              </w:rPr>
              <w:t>76.8</w:t>
            </w:r>
          </w:p>
        </w:tc>
        <w:tc>
          <w:tcPr>
            <w:tcW w:w="30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602.8</w:t>
            </w:r>
          </w:p>
        </w:tc>
        <w:tc>
          <w:tcPr>
            <w:tcW w:w="0" w:type="dxa"/>
            <w:vAlign w:val="bottom"/>
          </w:tcPr>
          <w:p>
            <w:pPr>
              <w:spacing w:after="0"/>
              <w:rPr>
                <w:sz w:val="1"/>
                <w:szCs w:val="1"/>
                <w:color w:val="auto"/>
              </w:rPr>
            </w:pPr>
          </w:p>
        </w:tc>
      </w:tr>
      <w:tr>
        <w:trPr>
          <w:trHeight w:val="199"/>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Segment operating profit</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79.4</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39.4</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12.2</w:t>
            </w: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14.0</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16.6</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205"/>
        </w:trPr>
        <w:tc>
          <w:tcPr>
            <w:tcW w:w="6940" w:type="dxa"/>
            <w:vAlign w:val="bottom"/>
            <w:gridSpan w:val="9"/>
          </w:tcPr>
          <w:p>
            <w:pPr>
              <w:ind w:left="20"/>
              <w:spacing w:after="0"/>
              <w:rPr>
                <w:sz w:val="20"/>
                <w:szCs w:val="20"/>
                <w:color w:val="auto"/>
              </w:rPr>
            </w:pPr>
            <w:r>
              <w:rPr>
                <w:rFonts w:ascii="Arial" w:cs="Arial" w:eastAsia="Arial" w:hAnsi="Arial"/>
                <w:sz w:val="15"/>
                <w:szCs w:val="15"/>
                <w:color w:val="auto"/>
              </w:rPr>
              <w:t>Adjustment for income from unconsolidated affiliates, included in Aviation and Technical Solutions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56"/>
        </w:trPr>
        <w:tc>
          <w:tcPr>
            <w:tcW w:w="4440" w:type="dxa"/>
            <w:vAlign w:val="bottom"/>
            <w:gridSpan w:val="6"/>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w:t>
            </w:r>
          </w:p>
        </w:tc>
        <w:tc>
          <w:tcPr>
            <w:tcW w:w="106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140" w:type="dxa"/>
            <w:vAlign w:val="bottom"/>
            <w:shd w:val="clear" w:color="auto" w:fill="DCE2EF"/>
          </w:tcPr>
          <w:p>
            <w:pPr>
              <w:spacing w:after="0"/>
              <w:rPr>
                <w:sz w:val="13"/>
                <w:szCs w:val="13"/>
                <w:color w:val="auto"/>
              </w:rPr>
            </w:pPr>
          </w:p>
        </w:tc>
        <w:tc>
          <w:tcPr>
            <w:tcW w:w="260" w:type="dxa"/>
            <w:vAlign w:val="bottom"/>
            <w:shd w:val="clear" w:color="auto" w:fill="DCE2EF"/>
          </w:tcPr>
          <w:p>
            <w:pPr>
              <w:spacing w:after="0"/>
              <w:rPr>
                <w:sz w:val="13"/>
                <w:szCs w:val="13"/>
                <w:color w:val="auto"/>
              </w:rPr>
            </w:pPr>
          </w:p>
        </w:tc>
        <w:tc>
          <w:tcPr>
            <w:tcW w:w="122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304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buildings, included in Technical Solutions</w:t>
            </w: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040" w:type="dxa"/>
            <w:vAlign w:val="bottom"/>
            <w:tcBorders>
              <w:bottom w:val="single" w:sz="8" w:color="auto"/>
            </w:tcBorders>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2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 operating profit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DCE2EF"/>
            </w:tcBorders>
          </w:tcPr>
          <w:p>
            <w:pPr>
              <w:spacing w:after="0" w:line="20" w:lineRule="exact"/>
              <w:rPr>
                <w:sz w:val="1"/>
                <w:szCs w:val="1"/>
                <w:color w:val="auto"/>
              </w:rPr>
            </w:pPr>
          </w:p>
        </w:tc>
        <w:tc>
          <w:tcPr>
            <w:tcW w:w="20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DCE2EF"/>
            </w:tcBorders>
          </w:tcPr>
          <w:p>
            <w:pPr>
              <w:spacing w:after="0" w:line="20" w:lineRule="exact"/>
              <w:rPr>
                <w:sz w:val="1"/>
                <w:szCs w:val="1"/>
                <w:color w:val="auto"/>
              </w:rPr>
            </w:pPr>
          </w:p>
        </w:tc>
        <w:tc>
          <w:tcPr>
            <w:tcW w:w="10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DCE2EF"/>
            </w:tcBorders>
          </w:tcPr>
          <w:p>
            <w:pPr>
              <w:spacing w:after="0" w:line="20" w:lineRule="exact"/>
              <w:rPr>
                <w:sz w:val="1"/>
                <w:szCs w:val="1"/>
                <w:color w:val="auto"/>
              </w:rPr>
            </w:pPr>
          </w:p>
        </w:tc>
        <w:tc>
          <w:tcPr>
            <w:tcW w:w="11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from unconsolidated affiliates</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5"/>
        </w:trPr>
        <w:tc>
          <w:tcPr>
            <w:tcW w:w="27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Borders>
              <w:bottom w:val="single" w:sz="8" w:color="DCE2EF"/>
            </w:tcBorders>
          </w:tcPr>
          <w:p>
            <w:pPr>
              <w:spacing w:after="0"/>
              <w:rPr>
                <w:sz w:val="17"/>
                <w:szCs w:val="17"/>
                <w:color w:val="auto"/>
              </w:rPr>
            </w:pPr>
          </w:p>
        </w:tc>
        <w:tc>
          <w:tcPr>
            <w:tcW w:w="1040" w:type="dxa"/>
            <w:vAlign w:val="bottom"/>
            <w:tcBorders>
              <w:bottom w:val="single" w:sz="8" w:color="DCE2EF"/>
            </w:tcBorders>
          </w:tcPr>
          <w:p>
            <w:pPr>
              <w:spacing w:after="0"/>
              <w:rPr>
                <w:sz w:val="17"/>
                <w:szCs w:val="17"/>
                <w:color w:val="auto"/>
              </w:rPr>
            </w:pPr>
          </w:p>
        </w:tc>
        <w:tc>
          <w:tcPr>
            <w:tcW w:w="360" w:type="dxa"/>
            <w:vAlign w:val="bottom"/>
            <w:tcBorders>
              <w:bottom w:val="single" w:sz="8" w:color="DCE2EF"/>
            </w:tcBorders>
          </w:tcPr>
          <w:p>
            <w:pPr>
              <w:spacing w:after="0"/>
              <w:rPr>
                <w:sz w:val="17"/>
                <w:szCs w:val="17"/>
                <w:color w:val="auto"/>
              </w:rPr>
            </w:pPr>
          </w:p>
        </w:tc>
        <w:tc>
          <w:tcPr>
            <w:tcW w:w="1060" w:type="dxa"/>
            <w:vAlign w:val="bottom"/>
            <w:tcBorders>
              <w:bottom w:val="single" w:sz="8" w:color="DCE2EF"/>
            </w:tcBorders>
          </w:tcPr>
          <w:p>
            <w:pPr>
              <w:spacing w:after="0"/>
              <w:rPr>
                <w:sz w:val="17"/>
                <w:szCs w:val="17"/>
                <w:color w:val="auto"/>
              </w:rPr>
            </w:pPr>
          </w:p>
        </w:tc>
        <w:tc>
          <w:tcPr>
            <w:tcW w:w="300" w:type="dxa"/>
            <w:vAlign w:val="bottom"/>
            <w:tcBorders>
              <w:bottom w:val="single" w:sz="8" w:color="DCE2EF"/>
            </w:tcBorders>
          </w:tcPr>
          <w:p>
            <w:pPr>
              <w:spacing w:after="0"/>
              <w:rPr>
                <w:sz w:val="17"/>
                <w:szCs w:val="17"/>
                <w:color w:val="auto"/>
              </w:rPr>
            </w:pPr>
          </w:p>
        </w:tc>
        <w:tc>
          <w:tcPr>
            <w:tcW w:w="1140" w:type="dxa"/>
            <w:vAlign w:val="bottom"/>
            <w:tcBorders>
              <w:bottom w:val="single" w:sz="8" w:color="DCE2EF"/>
            </w:tcBorders>
          </w:tcPr>
          <w:p>
            <w:pPr>
              <w:spacing w:after="0"/>
              <w:rPr>
                <w:sz w:val="17"/>
                <w:szCs w:val="17"/>
                <w:color w:val="auto"/>
              </w:rPr>
            </w:pPr>
          </w:p>
        </w:tc>
        <w:tc>
          <w:tcPr>
            <w:tcW w:w="260" w:type="dxa"/>
            <w:vAlign w:val="bottom"/>
            <w:tcBorders>
              <w:bottom w:val="single" w:sz="8" w:color="DCE2EF"/>
            </w:tcBorders>
          </w:tcPr>
          <w:p>
            <w:pPr>
              <w:spacing w:after="0"/>
              <w:rPr>
                <w:sz w:val="17"/>
                <w:szCs w:val="17"/>
                <w:color w:val="auto"/>
              </w:rPr>
            </w:pPr>
          </w:p>
        </w:tc>
        <w:tc>
          <w:tcPr>
            <w:tcW w:w="1220" w:type="dxa"/>
            <w:vAlign w:val="bottom"/>
            <w:tcBorders>
              <w:bottom w:val="single" w:sz="8" w:color="DCE2EF"/>
            </w:tcBorders>
          </w:tcPr>
          <w:p>
            <w:pPr>
              <w:spacing w:after="0"/>
              <w:rPr>
                <w:sz w:val="17"/>
                <w:szCs w:val="17"/>
                <w:color w:val="auto"/>
              </w:rPr>
            </w:pPr>
          </w:p>
        </w:tc>
        <w:tc>
          <w:tcPr>
            <w:tcW w:w="240" w:type="dxa"/>
            <w:vAlign w:val="bottom"/>
            <w:tcBorders>
              <w:bottom w:val="single" w:sz="8" w:color="DCE2EF"/>
            </w:tcBorders>
          </w:tcPr>
          <w:p>
            <w:pPr>
              <w:spacing w:after="0"/>
              <w:rPr>
                <w:sz w:val="17"/>
                <w:szCs w:val="17"/>
                <w:color w:val="auto"/>
              </w:rPr>
            </w:pPr>
          </w:p>
        </w:tc>
        <w:tc>
          <w:tcPr>
            <w:tcW w:w="124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25"/>
        </w:trPr>
        <w:tc>
          <w:tcPr>
            <w:tcW w:w="27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20" w:type="dxa"/>
            <w:vAlign w:val="bottom"/>
            <w:tcBorders>
              <w:bottom w:val="single" w:sz="8" w:color="DCE2EF"/>
            </w:tcBorders>
            <w:shd w:val="clear" w:color="auto" w:fill="DCE2EF"/>
          </w:tcPr>
          <w:p>
            <w:pPr>
              <w:spacing w:after="0"/>
              <w:rPr>
                <w:sz w:val="19"/>
                <w:szCs w:val="19"/>
                <w:color w:val="auto"/>
              </w:rPr>
            </w:pPr>
          </w:p>
        </w:tc>
        <w:tc>
          <w:tcPr>
            <w:tcW w:w="1040" w:type="dxa"/>
            <w:vAlign w:val="bottom"/>
            <w:tcBorders>
              <w:bottom w:val="single" w:sz="8" w:color="DCE2EF"/>
            </w:tcBorders>
            <w:shd w:val="clear" w:color="auto" w:fill="DCE2EF"/>
          </w:tcPr>
          <w:p>
            <w:pPr>
              <w:spacing w:after="0"/>
              <w:rPr>
                <w:sz w:val="19"/>
                <w:szCs w:val="19"/>
                <w:color w:val="auto"/>
              </w:rPr>
            </w:pPr>
          </w:p>
        </w:tc>
        <w:tc>
          <w:tcPr>
            <w:tcW w:w="360" w:type="dxa"/>
            <w:vAlign w:val="bottom"/>
            <w:tcBorders>
              <w:bottom w:val="single" w:sz="8" w:color="DCE2EF"/>
            </w:tcBorders>
            <w:shd w:val="clear" w:color="auto" w:fill="DCE2EF"/>
          </w:tcPr>
          <w:p>
            <w:pPr>
              <w:spacing w:after="0"/>
              <w:rPr>
                <w:sz w:val="19"/>
                <w:szCs w:val="19"/>
                <w:color w:val="auto"/>
              </w:rPr>
            </w:pPr>
          </w:p>
        </w:tc>
        <w:tc>
          <w:tcPr>
            <w:tcW w:w="106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DCE2EF"/>
            </w:tcBorders>
            <w:shd w:val="clear" w:color="auto" w:fill="DCE2EF"/>
          </w:tcPr>
          <w:p>
            <w:pPr>
              <w:spacing w:after="0"/>
              <w:rPr>
                <w:sz w:val="19"/>
                <w:szCs w:val="19"/>
                <w:color w:val="auto"/>
              </w:rPr>
            </w:pPr>
          </w:p>
        </w:tc>
        <w:tc>
          <w:tcPr>
            <w:tcW w:w="1140" w:type="dxa"/>
            <w:vAlign w:val="bottom"/>
            <w:tcBorders>
              <w:bottom w:val="single" w:sz="8" w:color="DCE2EF"/>
            </w:tcBorders>
            <w:shd w:val="clear" w:color="auto" w:fill="DCE2EF"/>
          </w:tcPr>
          <w:p>
            <w:pPr>
              <w:spacing w:after="0"/>
              <w:rPr>
                <w:sz w:val="19"/>
                <w:szCs w:val="19"/>
                <w:color w:val="auto"/>
              </w:rPr>
            </w:pPr>
          </w:p>
        </w:tc>
        <w:tc>
          <w:tcPr>
            <w:tcW w:w="260" w:type="dxa"/>
            <w:vAlign w:val="bottom"/>
            <w:tcBorders>
              <w:bottom w:val="single" w:sz="8" w:color="DCE2EF"/>
            </w:tcBorders>
            <w:shd w:val="clear" w:color="auto" w:fill="DCE2EF"/>
          </w:tcPr>
          <w:p>
            <w:pPr>
              <w:spacing w:after="0"/>
              <w:rPr>
                <w:sz w:val="19"/>
                <w:szCs w:val="19"/>
                <w:color w:val="auto"/>
              </w:rPr>
            </w:pPr>
          </w:p>
        </w:tc>
        <w:tc>
          <w:tcPr>
            <w:tcW w:w="1220" w:type="dxa"/>
            <w:vAlign w:val="bottom"/>
            <w:tcBorders>
              <w:bottom w:val="single" w:sz="8" w:color="DCE2EF"/>
            </w:tcBorders>
            <w:shd w:val="clear" w:color="auto" w:fill="DCE2EF"/>
          </w:tcPr>
          <w:p>
            <w:pPr>
              <w:spacing w:after="0"/>
              <w:rPr>
                <w:sz w:val="19"/>
                <w:szCs w:val="19"/>
                <w:color w:val="auto"/>
              </w:rPr>
            </w:pPr>
          </w:p>
        </w:tc>
        <w:tc>
          <w:tcPr>
            <w:tcW w:w="240" w:type="dxa"/>
            <w:vAlign w:val="bottom"/>
            <w:tcBorders>
              <w:bottom w:val="single" w:sz="8" w:color="DCE2EF"/>
            </w:tcBorders>
            <w:shd w:val="clear" w:color="auto" w:fill="DCE2EF"/>
          </w:tcPr>
          <w:p>
            <w:pPr>
              <w:spacing w:after="0"/>
              <w:rPr>
                <w:sz w:val="19"/>
                <w:szCs w:val="19"/>
                <w:color w:val="auto"/>
              </w:rPr>
            </w:pPr>
          </w:p>
        </w:tc>
        <w:tc>
          <w:tcPr>
            <w:tcW w:w="124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020" w:type="dxa"/>
            <w:vAlign w:val="bottom"/>
            <w:tcBorders>
              <w:top w:val="single" w:sz="8" w:color="DCE2EF"/>
            </w:tcBorders>
          </w:tcPr>
          <w:p>
            <w:pPr>
              <w:spacing w:after="0" w:line="20" w:lineRule="exact"/>
              <w:rPr>
                <w:sz w:val="1"/>
                <w:szCs w:val="1"/>
                <w:color w:val="auto"/>
              </w:rPr>
            </w:pPr>
          </w:p>
        </w:tc>
        <w:tc>
          <w:tcPr>
            <w:tcW w:w="320" w:type="dxa"/>
            <w:vAlign w:val="bottom"/>
            <w:tcBorders>
              <w:top w:val="single" w:sz="8" w:color="DCE2EF"/>
            </w:tcBorders>
          </w:tcPr>
          <w:p>
            <w:pPr>
              <w:spacing w:after="0" w:line="20" w:lineRule="exact"/>
              <w:rPr>
                <w:sz w:val="1"/>
                <w:szCs w:val="1"/>
                <w:color w:val="auto"/>
              </w:rPr>
            </w:pPr>
          </w:p>
        </w:tc>
        <w:tc>
          <w:tcPr>
            <w:tcW w:w="1040" w:type="dxa"/>
            <w:vAlign w:val="bottom"/>
            <w:tcBorders>
              <w:top w:val="single" w:sz="8" w:color="DCE2EF"/>
            </w:tcBorders>
          </w:tcPr>
          <w:p>
            <w:pPr>
              <w:spacing w:after="0" w:line="20" w:lineRule="exact"/>
              <w:rPr>
                <w:sz w:val="1"/>
                <w:szCs w:val="1"/>
                <w:color w:val="auto"/>
              </w:rPr>
            </w:pPr>
          </w:p>
        </w:tc>
        <w:tc>
          <w:tcPr>
            <w:tcW w:w="36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tcBorders>
          </w:tcPr>
          <w:p>
            <w:pPr>
              <w:spacing w:after="0" w:line="20" w:lineRule="exact"/>
              <w:rPr>
                <w:sz w:val="1"/>
                <w:szCs w:val="1"/>
                <w:color w:val="auto"/>
              </w:rPr>
            </w:pPr>
          </w:p>
        </w:tc>
        <w:tc>
          <w:tcPr>
            <w:tcW w:w="114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tcBorders>
          </w:tcPr>
          <w:p>
            <w:pPr>
              <w:spacing w:after="0" w:line="20" w:lineRule="exact"/>
              <w:rPr>
                <w:sz w:val="1"/>
                <w:szCs w:val="1"/>
                <w:color w:val="auto"/>
              </w:rPr>
            </w:pPr>
          </w:p>
        </w:tc>
        <w:tc>
          <w:tcPr>
            <w:tcW w:w="122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124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0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gridSpan w:val="3"/>
            <w:shd w:val="clear" w:color="auto" w:fill="DCE2EF"/>
          </w:tcPr>
          <w:p>
            <w:pPr>
              <w:ind w:left="20"/>
              <w:spacing w:after="0" w:line="207" w:lineRule="exact"/>
              <w:rPr>
                <w:sz w:val="20"/>
                <w:szCs w:val="20"/>
                <w:color w:val="auto"/>
              </w:rPr>
            </w:pPr>
            <w:r>
              <w:rPr>
                <w:rFonts w:ascii="Arial" w:cs="Arial" w:eastAsia="Arial" w:hAnsi="Arial"/>
                <w:sz w:val="15"/>
                <w:szCs w:val="15"/>
                <w:b w:val="1"/>
                <w:bCs w:val="1"/>
                <w:color w:val="auto"/>
              </w:rPr>
              <w:t>Other significant segment items</w:t>
            </w:r>
            <w:r>
              <w:rPr>
                <w:rFonts w:ascii="Arial" w:cs="Arial" w:eastAsia="Arial" w:hAnsi="Arial"/>
                <w:sz w:val="20"/>
                <w:szCs w:val="20"/>
                <w:b w:val="1"/>
                <w:bCs w:val="1"/>
                <w:color w:val="auto"/>
                <w:vertAlign w:val="superscript"/>
              </w:rPr>
              <w:t>(2)</w:t>
            </w:r>
          </w:p>
        </w:tc>
        <w:tc>
          <w:tcPr>
            <w:tcW w:w="32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Materials and supplies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28.0</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14.2</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5.4</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10.8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61.4</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0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Salaries and wages (other than</w:t>
            </w:r>
          </w:p>
        </w:tc>
        <w:tc>
          <w:tcPr>
            <w:tcW w:w="32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30.1</w:t>
            </w:r>
          </w:p>
        </w:tc>
        <w:tc>
          <w:tcPr>
            <w:tcW w:w="36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7.9</w:t>
            </w:r>
          </w:p>
        </w:tc>
        <w:tc>
          <w:tcPr>
            <w:tcW w:w="300" w:type="dxa"/>
            <w:vAlign w:val="bottom"/>
            <w:shd w:val="clear" w:color="auto" w:fill="DCE2EF"/>
          </w:tcPr>
          <w:p>
            <w:pPr>
              <w:spacing w:after="0"/>
              <w:rPr>
                <w:sz w:val="13"/>
                <w:szCs w:val="13"/>
                <w:color w:val="auto"/>
              </w:rPr>
            </w:pPr>
          </w:p>
        </w:tc>
        <w:tc>
          <w:tcPr>
            <w:tcW w:w="11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3.8</w:t>
            </w:r>
          </w:p>
        </w:tc>
        <w:tc>
          <w:tcPr>
            <w:tcW w:w="26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3.9</w:t>
            </w:r>
          </w:p>
        </w:tc>
        <w:tc>
          <w:tcPr>
            <w:tcW w:w="24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32.6</w:t>
            </w:r>
          </w:p>
        </w:tc>
        <w:tc>
          <w:tcPr>
            <w:tcW w:w="3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20" w:type="dxa"/>
            <w:vAlign w:val="bottom"/>
            <w:shd w:val="clear" w:color="auto" w:fill="DCE2EF"/>
          </w:tcPr>
          <w:p>
            <w:pPr>
              <w:spacing w:after="0"/>
              <w:rPr>
                <w:sz w:val="17"/>
                <w:szCs w:val="17"/>
                <w:color w:val="auto"/>
              </w:rPr>
            </w:pPr>
          </w:p>
        </w:tc>
        <w:tc>
          <w:tcPr>
            <w:tcW w:w="1040" w:type="dxa"/>
            <w:vAlign w:val="bottom"/>
            <w:vMerge w:val="continue"/>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Consulting and professional services</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2.9</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11.6</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0.9</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1.8</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DCE2EF"/>
          </w:tcPr>
          <w:p>
            <w:pPr>
              <w:spacing w:after="0"/>
              <w:rPr>
                <w:sz w:val="13"/>
                <w:szCs w:val="13"/>
                <w:color w:val="auto"/>
              </w:rPr>
            </w:pPr>
          </w:p>
        </w:tc>
        <w:tc>
          <w:tcPr>
            <w:tcW w:w="2700" w:type="dxa"/>
            <w:vAlign w:val="bottom"/>
            <w:gridSpan w:val="2"/>
            <w:shd w:val="clear" w:color="auto" w:fill="DCE2EF"/>
          </w:tcPr>
          <w:p>
            <w:pPr>
              <w:ind w:left="100"/>
              <w:spacing w:after="0" w:line="156" w:lineRule="exact"/>
              <w:rPr>
                <w:sz w:val="20"/>
                <w:szCs w:val="20"/>
                <w:color w:val="auto"/>
              </w:rPr>
            </w:pPr>
            <w:r>
              <w:rPr>
                <w:rFonts w:ascii="Arial" w:cs="Arial" w:eastAsia="Arial" w:hAnsi="Arial"/>
                <w:sz w:val="15"/>
                <w:szCs w:val="15"/>
                <w:color w:val="auto"/>
              </w:rPr>
              <w:t>Travel and entertainment (other than</w:t>
            </w:r>
          </w:p>
        </w:tc>
        <w:tc>
          <w:tcPr>
            <w:tcW w:w="320" w:type="dxa"/>
            <w:vAlign w:val="bottom"/>
            <w:shd w:val="clear" w:color="auto" w:fill="DCE2EF"/>
          </w:tcPr>
          <w:p>
            <w:pPr>
              <w:spacing w:after="0"/>
              <w:rPr>
                <w:sz w:val="13"/>
                <w:szCs w:val="13"/>
                <w:color w:val="auto"/>
              </w:rPr>
            </w:pPr>
          </w:p>
        </w:tc>
        <w:tc>
          <w:tcPr>
            <w:tcW w:w="10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1.9</w:t>
            </w:r>
          </w:p>
        </w:tc>
        <w:tc>
          <w:tcPr>
            <w:tcW w:w="360" w:type="dxa"/>
            <w:vAlign w:val="bottom"/>
            <w:shd w:val="clear" w:color="auto" w:fill="DCE2EF"/>
          </w:tcPr>
          <w:p>
            <w:pPr>
              <w:spacing w:after="0"/>
              <w:rPr>
                <w:sz w:val="13"/>
                <w:szCs w:val="13"/>
                <w:color w:val="auto"/>
              </w:rPr>
            </w:pPr>
          </w:p>
        </w:tc>
        <w:tc>
          <w:tcPr>
            <w:tcW w:w="1060" w:type="dxa"/>
            <w:vAlign w:val="bottom"/>
            <w:vMerge w:val="restart"/>
            <w:shd w:val="clear" w:color="auto" w:fill="DCE2EF"/>
          </w:tcPr>
          <w:p>
            <w:pPr>
              <w:jc w:val="right"/>
              <w:ind w:right="3"/>
              <w:spacing w:after="0"/>
              <w:rPr>
                <w:sz w:val="20"/>
                <w:szCs w:val="20"/>
                <w:color w:val="auto"/>
              </w:rPr>
            </w:pPr>
            <w:r>
              <w:rPr>
                <w:rFonts w:ascii="Arial" w:cs="Arial" w:eastAsia="Arial" w:hAnsi="Arial"/>
                <w:sz w:val="15"/>
                <w:szCs w:val="15"/>
                <w:color w:val="auto"/>
              </w:rPr>
              <w:t>0.4</w:t>
            </w:r>
          </w:p>
        </w:tc>
        <w:tc>
          <w:tcPr>
            <w:tcW w:w="300" w:type="dxa"/>
            <w:vAlign w:val="bottom"/>
            <w:shd w:val="clear" w:color="auto" w:fill="DCE2EF"/>
          </w:tcPr>
          <w:p>
            <w:pPr>
              <w:spacing w:after="0"/>
              <w:rPr>
                <w:sz w:val="13"/>
                <w:szCs w:val="13"/>
                <w:color w:val="auto"/>
              </w:rPr>
            </w:pPr>
          </w:p>
        </w:tc>
        <w:tc>
          <w:tcPr>
            <w:tcW w:w="1140" w:type="dxa"/>
            <w:vAlign w:val="bottom"/>
            <w:vMerge w:val="restart"/>
            <w:shd w:val="clear" w:color="auto" w:fill="DCE2EF"/>
          </w:tcPr>
          <w:p>
            <w:pPr>
              <w:jc w:val="right"/>
              <w:ind w:right="23"/>
              <w:spacing w:after="0"/>
              <w:rPr>
                <w:sz w:val="20"/>
                <w:szCs w:val="20"/>
                <w:color w:val="auto"/>
              </w:rPr>
            </w:pPr>
            <w:r>
              <w:rPr>
                <w:rFonts w:ascii="Arial" w:cs="Arial" w:eastAsia="Arial" w:hAnsi="Arial"/>
                <w:sz w:val="15"/>
                <w:szCs w:val="15"/>
                <w:color w:val="auto"/>
              </w:rPr>
              <w:t>0.5</w:t>
            </w:r>
          </w:p>
        </w:tc>
        <w:tc>
          <w:tcPr>
            <w:tcW w:w="26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ind w:right="63"/>
              <w:spacing w:after="0"/>
              <w:rPr>
                <w:sz w:val="20"/>
                <w:szCs w:val="20"/>
                <w:color w:val="auto"/>
              </w:rPr>
            </w:pPr>
            <w:r>
              <w:rPr>
                <w:rFonts w:ascii="Arial" w:cs="Arial" w:eastAsia="Arial" w:hAnsi="Arial"/>
                <w:sz w:val="15"/>
                <w:szCs w:val="15"/>
                <w:color w:val="auto"/>
              </w:rPr>
              <w:t>0.3</w:t>
            </w:r>
          </w:p>
        </w:tc>
        <w:tc>
          <w:tcPr>
            <w:tcW w:w="24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ind w:right="83"/>
              <w:spacing w:after="0"/>
              <w:rPr>
                <w:sz w:val="20"/>
                <w:szCs w:val="20"/>
                <w:color w:val="auto"/>
              </w:rPr>
            </w:pPr>
            <w:r>
              <w:rPr>
                <w:rFonts w:ascii="Arial" w:cs="Arial" w:eastAsia="Arial" w:hAnsi="Arial"/>
                <w:sz w:val="15"/>
                <w:szCs w:val="15"/>
                <w:color w:val="auto"/>
              </w:rPr>
              <w:t>1.9</w:t>
            </w:r>
          </w:p>
        </w:tc>
        <w:tc>
          <w:tcPr>
            <w:tcW w:w="30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2700" w:type="dxa"/>
            <w:vAlign w:val="bottom"/>
            <w:gridSpan w:val="2"/>
            <w:shd w:val="clear" w:color="auto" w:fill="DCE2EF"/>
          </w:tcPr>
          <w:p>
            <w:pPr>
              <w:ind w:left="100"/>
              <w:spacing w:after="0"/>
              <w:rPr>
                <w:sz w:val="20"/>
                <w:szCs w:val="20"/>
                <w:color w:val="auto"/>
              </w:rPr>
            </w:pPr>
            <w:r>
              <w:rPr>
                <w:rFonts w:ascii="Arial" w:cs="Arial" w:eastAsia="Arial" w:hAnsi="Arial"/>
                <w:sz w:val="15"/>
                <w:szCs w:val="15"/>
                <w:color w:val="auto"/>
              </w:rPr>
              <w:t>direct)</w:t>
            </w:r>
          </w:p>
        </w:tc>
        <w:tc>
          <w:tcPr>
            <w:tcW w:w="320" w:type="dxa"/>
            <w:vAlign w:val="bottom"/>
            <w:shd w:val="clear" w:color="auto" w:fill="DCE2EF"/>
          </w:tcPr>
          <w:p>
            <w:pPr>
              <w:spacing w:after="0"/>
              <w:rPr>
                <w:sz w:val="17"/>
                <w:szCs w:val="17"/>
                <w:color w:val="auto"/>
              </w:rPr>
            </w:pPr>
          </w:p>
        </w:tc>
        <w:tc>
          <w:tcPr>
            <w:tcW w:w="1040" w:type="dxa"/>
            <w:vAlign w:val="bottom"/>
            <w:vMerge w:val="continue"/>
            <w:shd w:val="clear" w:color="auto" w:fill="DCE2EF"/>
          </w:tcPr>
          <w:p>
            <w:pPr>
              <w:spacing w:after="0"/>
              <w:rPr>
                <w:sz w:val="17"/>
                <w:szCs w:val="17"/>
                <w:color w:val="auto"/>
              </w:rPr>
            </w:pPr>
          </w:p>
        </w:tc>
        <w:tc>
          <w:tcPr>
            <w:tcW w:w="360" w:type="dxa"/>
            <w:vAlign w:val="bottom"/>
            <w:shd w:val="clear" w:color="auto" w:fill="DCE2EF"/>
          </w:tcPr>
          <w:p>
            <w:pPr>
              <w:spacing w:after="0"/>
              <w:rPr>
                <w:sz w:val="17"/>
                <w:szCs w:val="17"/>
                <w:color w:val="auto"/>
              </w:rPr>
            </w:pPr>
          </w:p>
        </w:tc>
        <w:tc>
          <w:tcPr>
            <w:tcW w:w="106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140" w:type="dxa"/>
            <w:vAlign w:val="bottom"/>
            <w:vMerge w:val="continue"/>
            <w:shd w:val="clear" w:color="auto" w:fill="DCE2EF"/>
          </w:tcPr>
          <w:p>
            <w:pPr>
              <w:spacing w:after="0"/>
              <w:rPr>
                <w:sz w:val="17"/>
                <w:szCs w:val="17"/>
                <w:color w:val="auto"/>
              </w:rPr>
            </w:pPr>
          </w:p>
        </w:tc>
        <w:tc>
          <w:tcPr>
            <w:tcW w:w="260" w:type="dxa"/>
            <w:vAlign w:val="bottom"/>
            <w:shd w:val="clear" w:color="auto" w:fill="DCE2EF"/>
          </w:tcPr>
          <w:p>
            <w:pPr>
              <w:spacing w:after="0"/>
              <w:rPr>
                <w:sz w:val="17"/>
                <w:szCs w:val="17"/>
                <w:color w:val="auto"/>
              </w:rPr>
            </w:pPr>
          </w:p>
        </w:tc>
        <w:tc>
          <w:tcPr>
            <w:tcW w:w="1220" w:type="dxa"/>
            <w:vAlign w:val="bottom"/>
            <w:vMerge w:val="continue"/>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240" w:type="dxa"/>
            <w:vAlign w:val="bottom"/>
            <w:vMerge w:val="continue"/>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0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gridSpan w:val="2"/>
          </w:tcPr>
          <w:p>
            <w:pPr>
              <w:ind w:left="100"/>
              <w:spacing w:after="0"/>
              <w:rPr>
                <w:sz w:val="20"/>
                <w:szCs w:val="20"/>
                <w:color w:val="auto"/>
              </w:rPr>
            </w:pPr>
            <w:r>
              <w:rPr>
                <w:rFonts w:ascii="Arial" w:cs="Arial" w:eastAsia="Arial" w:hAnsi="Arial"/>
                <w:sz w:val="15"/>
                <w:szCs w:val="15"/>
                <w:color w:val="auto"/>
              </w:rPr>
              <w:t>Legal</w:t>
            </w:r>
          </w:p>
        </w:tc>
        <w:tc>
          <w:tcPr>
            <w:tcW w:w="32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0.4</w:t>
            </w:r>
          </w:p>
        </w:tc>
        <w:tc>
          <w:tcPr>
            <w:tcW w:w="3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0.6</w:t>
            </w:r>
          </w:p>
        </w:tc>
        <w:tc>
          <w:tcPr>
            <w:tcW w:w="260" w:type="dxa"/>
            <w:vAlign w:val="bottom"/>
          </w:tcPr>
          <w:p>
            <w:pPr>
              <w:spacing w:after="0"/>
              <w:rPr>
                <w:sz w:val="17"/>
                <w:szCs w:val="17"/>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0.2</w:t>
            </w:r>
          </w:p>
        </w:tc>
        <w:tc>
          <w:tcPr>
            <w:tcW w:w="24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60" w:hanging="157"/>
        <w:spacing w:after="0" w:line="229" w:lineRule="auto"/>
        <w:tabs>
          <w:tab w:leader="none" w:pos="169"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Other segment items consist of payroll related expenses, materials and supplies, insurance costs, depreciation and amortization, consulting and professional services, and various other expense items.</w:t>
      </w:r>
    </w:p>
    <w:p>
      <w:pPr>
        <w:spacing w:after="0" w:line="183" w:lineRule="exact"/>
        <w:rPr>
          <w:rFonts w:ascii="Arial" w:cs="Arial" w:eastAsia="Arial" w:hAnsi="Arial"/>
          <w:sz w:val="20"/>
          <w:szCs w:val="20"/>
          <w:color w:val="auto"/>
          <w:vertAlign w:val="superscript"/>
        </w:rPr>
      </w:pPr>
    </w:p>
    <w:p>
      <w:pPr>
        <w:ind w:left="160" w:hanging="157"/>
        <w:spacing w:after="0" w:line="283" w:lineRule="auto"/>
        <w:tabs>
          <w:tab w:leader="none" w:pos="156"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Note these items are included in the segment expenses and operating profit shown above and are listed separately below segment operating profit as they are metrics that are separately provided to the CODMs on a regular basis.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5" w:name="page26"/>
    <w:bookmarkEnd w:id="25"/>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14.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Subsequent Amendment of Amended Credit Facility and Closing of WGNSTAR Acquisition</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February 3, 2026, we incurred $255.0 million of the First Incremental Term Loan, pursuant to an amendment to the Amended Credit Facility. The initial applicable rate with respect to the First Incremental Term Loan shall be Term SOFR plus 2.0% per annum. Beginning on the first adjustment date occurring after the delivery of a compliance certificate for the fiscal quarter of the Company ending April 30, 2026, the applicable rate with respect to the First Incremental Term Loan will be determined pursuant to the applicable pricing grid set forth in the Amended Credit Facility. The other terms and conditions that apply to the First Incremental Term Loan are substantially the same as the terms and conditions that apply to the other term loans outstanding under the Amended Credit Facility.</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February 4, 2026, we consummated the acquisition of WGNSTAR for an aggregate purchase price of approximately $264 million in cash (subject to customary working capital adjustments). We financed the acquisition with borrowings under the Amended Credit Facility. WGNSTAR is a provider of managed workforce solutions and equipment support services for the semiconductor and high-technology industries across the U.S. and Ireland. The acquisition will be accounted for under the acquisition method. Accordingly, the assets acquired and liabilities assumed will be recognized on the date of acquisition at their estimated fair values, with the excess of the purchase price recorded as goodwill. The purchase price allocation will be subject to adjustments within the measurement period not to exceed one year from the acquisition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0046AD"/>
        </w:rPr>
        <w:t>ITEM 2. MANAGEMENT’S DISCUSSION AND ANALYSIS OF FINANCIAL CONDITION AND RESULTS OF OPERATIONS.</w:t>
      </w:r>
    </w:p>
    <w:p>
      <w:pPr>
        <w:spacing w:after="0" w:line="16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2025,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Throughout the MD&amp;A, amounts and percentages may not recalculate due to rounding. Unless otherwise indicated, all information in the MD&amp;A and references to years are based on our fiscal years, which end on October 31.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ABM is a leading provider of integrated facility solutions, customized by industry, with a mission to </w:t>
      </w:r>
      <w:r>
        <w:rPr>
          <w:rFonts w:ascii="Arial" w:cs="Arial" w:eastAsia="Arial" w:hAnsi="Arial"/>
          <w:sz w:val="17"/>
          <w:szCs w:val="17"/>
          <w:b w:val="1"/>
          <w:bCs w:val="1"/>
          <w:color w:val="326ABD"/>
        </w:rPr>
        <w:t>make a difference, every person, every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326ABD"/>
        </w:rPr>
        <w:t>day.</w:t>
      </w:r>
    </w:p>
    <w:p>
      <w:pPr>
        <w:spacing w:after="0" w:line="147"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color w:val="auto"/>
        </w:rPr>
        <w:t xml:space="preserve">In 2021, we launched our multiyear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transformation and systems modernization plan to strengthen our industry leadership, enhance our core service capabilities, and modernize our systems, processes, and tools — with a goal of advancing data integrity, technology enablement, and operational consistency to support long-term growth and value creation.</w:t>
      </w:r>
    </w:p>
    <w:p>
      <w:pPr>
        <w:spacing w:after="0" w:line="1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As this work progresses, ABM is entering a phase of turning modernization efforts into measurable performance improvements across our enterprise.</w:t>
      </w:r>
    </w:p>
    <w:p>
      <w:pPr>
        <w:spacing w:after="0" w:line="9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Looking ahead, ABM will continue to advance this transformation and modernization program where appropriate while optimizing systems and processes company-wide that we expect to drive performance, strengthen client trust, and create long-term value for shareholders.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Restructuring Program</w:t>
      </w:r>
    </w:p>
    <w:p>
      <w:pPr>
        <w:spacing w:after="0" w:line="16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fourth quarter of 2025, we launched a Restructuring Program to further streamline our operations and improve the efficiency of our support functions. This initiative is intended to enhance overall organizational effectiveness and ensure alignment between our cost structure and strategic growth objectives. Once fully implemented in 2026, this program is expected to deliver approximately $35.0 million of annualized cost savings. We recognized $17.1 million of cumulative restructuring charges under this program through the first quarter of 2026. The range of the remaining costs to be incurred related to the Restructuring Program cannot be reasonably estimated at this time.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will continue to review our overhead and cost structure for efficiency opportunities under this program.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0046AD"/>
        </w:rPr>
        <w:t>Segment Reporting</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current reportable segments consist of B&amp;I, M&amp;D, Aviation, Education,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146925" cy="3929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3929380"/>
                    </a:xfrm>
                    <a:prstGeom prst="rect">
                      <a:avLst/>
                    </a:prstGeom>
                    <a:noFill/>
                  </pic:spPr>
                </pic:pic>
              </a:graphicData>
            </a:graphic>
          </wp:anchor>
        </w:drawing>
      </w:r>
    </w:p>
    <w:p>
      <w:pPr>
        <w:spacing w:after="0" w:line="148" w:lineRule="exact"/>
        <w:rPr>
          <w:sz w:val="20"/>
          <w:szCs w:val="20"/>
          <w:color w:val="auto"/>
        </w:rPr>
      </w:pPr>
    </w:p>
    <w:p>
      <w:pPr>
        <w:jc w:val="center"/>
        <w:ind w:left="2600"/>
        <w:spacing w:after="0"/>
        <w:rPr>
          <w:sz w:val="20"/>
          <w:szCs w:val="20"/>
          <w:color w:val="auto"/>
        </w:rPr>
      </w:pPr>
      <w:r>
        <w:rPr>
          <w:rFonts w:ascii="Arial" w:cs="Arial" w:eastAsia="Arial" w:hAnsi="Arial"/>
          <w:sz w:val="15"/>
          <w:szCs w:val="15"/>
          <w:b w:val="1"/>
          <w:bCs w:val="1"/>
          <w:color w:val="0046AD"/>
        </w:rPr>
        <w:t>REPORTABLE SEGMENTS AND DESCRIPTIONS</w:t>
      </w:r>
    </w:p>
    <w:p>
      <w:pPr>
        <w:spacing w:after="0" w:line="152"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B&amp;I, our largest reportable segment, encompasses comprehensive facility solutions, including janitorial and maintenance, facilities engineering, and parking and transportation management to a diverse range of clients. Our expertise extends to commercial real estate properties, including corporate offices for high-tech clients, sports and entertainment venues, and both traditional hospitals and non-acute healthcare facilities.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392" w:lineRule="exact"/>
        <w:rPr>
          <w:sz w:val="20"/>
          <w:szCs w:val="20"/>
          <w:color w:val="auto"/>
        </w:rPr>
      </w:pPr>
    </w:p>
    <w:p>
      <w:pPr>
        <w:jc w:val="both"/>
        <w:ind w:left="2660"/>
        <w:spacing w:after="0"/>
        <w:rPr>
          <w:sz w:val="20"/>
          <w:szCs w:val="20"/>
          <w:color w:val="auto"/>
        </w:rPr>
      </w:pPr>
      <w:r>
        <w:rPr>
          <w:rFonts w:ascii="Arial" w:cs="Arial" w:eastAsia="Arial" w:hAnsi="Arial"/>
          <w:sz w:val="15"/>
          <w:szCs w:val="15"/>
          <w:color w:val="auto"/>
        </w:rPr>
        <w:t>M&amp;D provides integrated facility services, engineering, janitorial and maintenance, and other specialized solutions to a variety of manufacturing, distribution, and data center facilities. We typically provide these services pursuant to monthly fixed-price, square-foot, and cost-plus arrangements, that are obtained through a competitive bid process as well as pursuant to work orders.</w:t>
      </w:r>
    </w:p>
    <w:p>
      <w:pPr>
        <w:spacing w:after="0" w:line="200" w:lineRule="exact"/>
        <w:rPr>
          <w:sz w:val="20"/>
          <w:szCs w:val="20"/>
          <w:color w:val="auto"/>
        </w:rPr>
      </w:pPr>
    </w:p>
    <w:p>
      <w:pPr>
        <w:spacing w:after="0" w:line="391" w:lineRule="exact"/>
        <w:rPr>
          <w:sz w:val="20"/>
          <w:szCs w:val="20"/>
          <w:color w:val="auto"/>
        </w:rPr>
      </w:pPr>
    </w:p>
    <w:p>
      <w:pPr>
        <w:jc w:val="both"/>
        <w:ind w:left="2660"/>
        <w:spacing w:after="0" w:line="228" w:lineRule="auto"/>
        <w:rPr>
          <w:sz w:val="20"/>
          <w:szCs w:val="20"/>
          <w:color w:val="auto"/>
        </w:rPr>
      </w:pPr>
      <w:r>
        <w:rPr>
          <w:rFonts w:ascii="Arial" w:cs="Arial" w:eastAsia="Arial" w:hAnsi="Arial"/>
          <w:sz w:val="15"/>
          <w:szCs w:val="15"/>
          <w:color w:val="auto"/>
        </w:rPr>
        <w:t>Aviation provides comprehensive support services to airlines and airports, including parking and transportation management, janitorial and maintenance services, passenger assistance, catering logistics, aircraft cabin maintenance, and transportation solutions.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393" w:lineRule="exact"/>
        <w:rPr>
          <w:sz w:val="20"/>
          <w:szCs w:val="20"/>
          <w:color w:val="auto"/>
        </w:rPr>
      </w:pPr>
    </w:p>
    <w:p>
      <w:pPr>
        <w:jc w:val="both"/>
        <w:ind w:left="2660"/>
        <w:spacing w:after="0" w:line="232" w:lineRule="auto"/>
        <w:rPr>
          <w:sz w:val="20"/>
          <w:szCs w:val="20"/>
          <w:color w:val="auto"/>
        </w:rPr>
      </w:pPr>
      <w:r>
        <w:rPr>
          <w:rFonts w:ascii="Arial" w:cs="Arial" w:eastAsia="Arial" w:hAnsi="Arial"/>
          <w:sz w:val="15"/>
          <w:szCs w:val="15"/>
          <w:color w:val="auto"/>
        </w:rPr>
        <w:t>Education delivers comprehensive facility services to public school districts, private schools, colleges, and universities. Our services include janitorial and custodial services, landscaping and grounds maintenance, facilities engineering, and parking management. These services are typically provided pursuant to monthly fixed-price, square-foot, and cost-plus arrangements that are obtained through either a competitive bid process or re-bid upon renewal as well as pursuant to work orders.</w:t>
      </w:r>
    </w:p>
    <w:p>
      <w:pPr>
        <w:spacing w:after="0" w:line="364" w:lineRule="exact"/>
        <w:rPr>
          <w:sz w:val="20"/>
          <w:szCs w:val="20"/>
          <w:color w:val="auto"/>
        </w:rPr>
      </w:pPr>
    </w:p>
    <w:p>
      <w:pPr>
        <w:jc w:val="both"/>
        <w:ind w:left="2660"/>
        <w:spacing w:after="0" w:line="226" w:lineRule="auto"/>
        <w:rPr>
          <w:sz w:val="20"/>
          <w:szCs w:val="20"/>
          <w:color w:val="auto"/>
        </w:rPr>
      </w:pPr>
      <w:r>
        <w:rPr>
          <w:rFonts w:ascii="Arial" w:cs="Arial" w:eastAsia="Arial" w:hAnsi="Arial"/>
          <w:sz w:val="15"/>
          <w:szCs w:val="15"/>
          <w:color w:val="auto"/>
        </w:rPr>
        <w:t>Technical Solutions specializes in comprehensive facility infrastructure services, including mechanical and electrical systems, EV charging station design, installation, and maintenance, as well as microgrid systems encompassing uninterrupted power supply (“UPS”) systems and power distribution units. These offerings are strategically leveraged for cross-selling across all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1"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0046AD"/>
        </w:rPr>
        <w:t>Key Financial Highlights</w:t>
      </w:r>
    </w:p>
    <w:p>
      <w:pPr>
        <w:spacing w:after="0" w:line="180" w:lineRule="exact"/>
        <w:rPr>
          <w:sz w:val="20"/>
          <w:szCs w:val="20"/>
          <w:color w:val="auto"/>
        </w:rPr>
      </w:pPr>
    </w:p>
    <w:p>
      <w:pPr>
        <w:jc w:val="both"/>
        <w:ind w:left="620" w:hanging="307"/>
        <w:spacing w:after="0" w:line="258"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Revenues increased by $128.6 million, or 6.1%, to $2,243.5 million during the three months ended January 31, 2026, as compared to the prior year period. Revenue growth was comprised of organic growth of 5.5% and acquisition growth of 0.6%. The organic revenue growth was due to net new business and expansion of business with existing customers among all our industry groups, as well as higher project and recurring services revenues associated with mission-critical infrastructure and data center solutions within Technical Solutions. Acquisition growth was driven by a $13.0 million revenue increase from the LMC Acquisition.</w:t>
      </w:r>
    </w:p>
    <w:p>
      <w:pPr>
        <w:spacing w:after="0" w:line="136" w:lineRule="exact"/>
        <w:rPr>
          <w:rFonts w:ascii="Arial" w:cs="Arial" w:eastAsia="Arial" w:hAnsi="Arial"/>
          <w:sz w:val="19"/>
          <w:szCs w:val="19"/>
          <w:color w:val="auto"/>
        </w:rPr>
      </w:pPr>
    </w:p>
    <w:p>
      <w:pPr>
        <w:ind w:left="620" w:hanging="307"/>
        <w:spacing w:after="0" w:line="261" w:lineRule="auto"/>
        <w:tabs>
          <w:tab w:leader="none" w:pos="609" w:val="left"/>
        </w:tabs>
        <w:numPr>
          <w:ilvl w:val="0"/>
          <w:numId w:val="15"/>
        </w:numPr>
        <w:rPr>
          <w:rFonts w:ascii="Arial" w:cs="Arial" w:eastAsia="Arial" w:hAnsi="Arial"/>
          <w:sz w:val="19"/>
          <w:szCs w:val="19"/>
          <w:color w:val="auto"/>
        </w:rPr>
      </w:pPr>
      <w:r>
        <w:rPr>
          <w:rFonts w:ascii="Arial" w:cs="Arial" w:eastAsia="Arial" w:hAnsi="Arial"/>
          <w:sz w:val="17"/>
          <w:szCs w:val="17"/>
          <w:color w:val="auto"/>
        </w:rPr>
        <w:t>We had a decrease in operating profit of $2.9 million, to $74.7 million, during the three months ended January 31, 2026, as compared to the prior year period. The decrease was primarily attributed to:</w:t>
      </w:r>
    </w:p>
    <w:p>
      <w:pPr>
        <w:spacing w:after="0" w:line="117" w:lineRule="exact"/>
        <w:rPr>
          <w:rFonts w:ascii="Arial" w:cs="Arial" w:eastAsia="Arial" w:hAnsi="Arial"/>
          <w:sz w:val="19"/>
          <w:szCs w:val="19"/>
          <w:color w:val="auto"/>
        </w:rPr>
      </w:pPr>
    </w:p>
    <w:p>
      <w:pPr>
        <w:ind w:left="1240" w:hanging="309"/>
        <w:spacing w:after="0"/>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restructuring charges incurred during the first quarter of 2026 under our Restructuring Program; and</w:t>
      </w:r>
    </w:p>
    <w:p>
      <w:pPr>
        <w:spacing w:after="0" w:line="165" w:lineRule="exact"/>
        <w:rPr>
          <w:rFonts w:ascii="Arial" w:cs="Arial" w:eastAsia="Arial" w:hAnsi="Arial"/>
          <w:sz w:val="17"/>
          <w:szCs w:val="17"/>
          <w:color w:val="auto"/>
        </w:rPr>
      </w:pPr>
    </w:p>
    <w:p>
      <w:pPr>
        <w:ind w:left="1240" w:hanging="309"/>
        <w:spacing w:after="0"/>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service mix and timing of the completion of certain projects due to temporary weather related delays in Technical Solutions.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decrease was partially offset by:</w:t>
      </w:r>
    </w:p>
    <w:p>
      <w:pPr>
        <w:spacing w:after="0" w:line="165" w:lineRule="exact"/>
        <w:rPr>
          <w:sz w:val="20"/>
          <w:szCs w:val="20"/>
          <w:color w:val="auto"/>
        </w:rPr>
      </w:pPr>
    </w:p>
    <w:p>
      <w:pPr>
        <w:ind w:left="1240" w:hanging="309"/>
        <w:spacing w:after="0"/>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operational efficiencies, including cost savings realized from initiatives implemented under our Restructuring Program.</w:t>
      </w:r>
    </w:p>
    <w:p>
      <w:pPr>
        <w:spacing w:after="0" w:line="178" w:lineRule="exact"/>
        <w:rPr>
          <w:rFonts w:ascii="Arial" w:cs="Arial" w:eastAsia="Arial" w:hAnsi="Arial"/>
          <w:sz w:val="17"/>
          <w:szCs w:val="17"/>
          <w:color w:val="auto"/>
        </w:rPr>
      </w:pPr>
    </w:p>
    <w:p>
      <w:pPr>
        <w:jc w:val="both"/>
        <w:ind w:left="620" w:hanging="307"/>
        <w:spacing w:after="0" w:line="260" w:lineRule="auto"/>
        <w:tabs>
          <w:tab w:leader="none" w:pos="609" w:val="left"/>
        </w:tabs>
        <w:numPr>
          <w:ilvl w:val="0"/>
          <w:numId w:val="16"/>
        </w:numPr>
        <w:rPr>
          <w:rFonts w:ascii="Arial" w:cs="Arial" w:eastAsia="Arial" w:hAnsi="Arial"/>
          <w:sz w:val="19"/>
          <w:szCs w:val="19"/>
          <w:color w:val="auto"/>
        </w:rPr>
      </w:pPr>
      <w:r>
        <w:rPr>
          <w:rFonts w:ascii="Arial" w:cs="Arial" w:eastAsia="Arial" w:hAnsi="Arial"/>
          <w:sz w:val="17"/>
          <w:szCs w:val="17"/>
          <w:color w:val="auto"/>
        </w:rPr>
        <w:t>Our effective tax rates for the three months ended January 31, 2026, and January 31, 2025, were 25.6% and 21.4%, respectively. Our effective tax rate for the three months ended January 31, 2026, was reduced by discrete items, primarily share based compensation. Our effective tax rate for the three months ended January 31, 2025, was reduced by discrete items, primarily return to provision adjustments related to our non-U.S. operations.</w:t>
      </w:r>
    </w:p>
    <w:p>
      <w:pPr>
        <w:spacing w:after="0" w:line="82" w:lineRule="exact"/>
        <w:rPr>
          <w:rFonts w:ascii="Arial" w:cs="Arial" w:eastAsia="Arial" w:hAnsi="Arial"/>
          <w:sz w:val="19"/>
          <w:szCs w:val="19"/>
          <w:color w:val="auto"/>
        </w:rPr>
      </w:pPr>
    </w:p>
    <w:p>
      <w:pPr>
        <w:jc w:val="both"/>
        <w:ind w:left="620" w:hanging="307"/>
        <w:spacing w:after="0" w:line="241" w:lineRule="auto"/>
        <w:tabs>
          <w:tab w:leader="none" w:pos="609" w:val="left"/>
        </w:tabs>
        <w:numPr>
          <w:ilvl w:val="0"/>
          <w:numId w:val="16"/>
        </w:numPr>
        <w:rPr>
          <w:rFonts w:ascii="Arial" w:cs="Arial" w:eastAsia="Arial" w:hAnsi="Arial"/>
          <w:sz w:val="19"/>
          <w:szCs w:val="19"/>
          <w:color w:val="auto"/>
        </w:rPr>
      </w:pPr>
      <w:r>
        <w:rPr>
          <w:rFonts w:ascii="Arial" w:cs="Arial" w:eastAsia="Arial" w:hAnsi="Arial"/>
          <w:sz w:val="17"/>
          <w:szCs w:val="17"/>
          <w:color w:val="auto"/>
        </w:rPr>
        <w:t>Net cash provided by operating activities was $62.0 million for the three months ended January 31, 2026, as compared to cash used in operating activities of $106.2 million for the three months ended January 31, 2025. The $168.2 million improvement was primarily driven by favorable changes in working capital, including improved cash collections and timing of payments.</w:t>
      </w:r>
    </w:p>
    <w:p>
      <w:pPr>
        <w:spacing w:after="0" w:line="148" w:lineRule="exact"/>
        <w:rPr>
          <w:rFonts w:ascii="Arial" w:cs="Arial" w:eastAsia="Arial" w:hAnsi="Arial"/>
          <w:sz w:val="19"/>
          <w:szCs w:val="19"/>
          <w:color w:val="auto"/>
        </w:rPr>
      </w:pPr>
    </w:p>
    <w:p>
      <w:pPr>
        <w:jc w:val="both"/>
        <w:ind w:left="620" w:hanging="307"/>
        <w:spacing w:after="0" w:line="256" w:lineRule="auto"/>
        <w:tabs>
          <w:tab w:leader="none" w:pos="609" w:val="left"/>
        </w:tabs>
        <w:numPr>
          <w:ilvl w:val="0"/>
          <w:numId w:val="16"/>
        </w:numPr>
        <w:rPr>
          <w:rFonts w:ascii="Arial" w:cs="Arial" w:eastAsia="Arial" w:hAnsi="Arial"/>
          <w:sz w:val="19"/>
          <w:szCs w:val="19"/>
          <w:color w:val="auto"/>
        </w:rPr>
      </w:pPr>
      <w:r>
        <w:rPr>
          <w:rFonts w:ascii="Arial" w:cs="Arial" w:eastAsia="Arial" w:hAnsi="Arial"/>
          <w:sz w:val="17"/>
          <w:szCs w:val="17"/>
          <w:color w:val="auto"/>
        </w:rPr>
        <w:t>Dividends of $17.3 million were paid to shareholders, and dividends totaling $0.290 per common share were declared during the three months ended January 31, 2026. Additionally, we repurchased 2.1 million shares for $91.1 million, excluding excise taxes, during the three months ended January 31, 2026.</w:t>
      </w:r>
    </w:p>
    <w:p>
      <w:pPr>
        <w:spacing w:after="0" w:line="136" w:lineRule="exact"/>
        <w:rPr>
          <w:rFonts w:ascii="Arial" w:cs="Arial" w:eastAsia="Arial" w:hAnsi="Arial"/>
          <w:sz w:val="19"/>
          <w:szCs w:val="19"/>
          <w:color w:val="auto"/>
        </w:rPr>
      </w:pPr>
    </w:p>
    <w:p>
      <w:pPr>
        <w:ind w:left="620" w:hanging="307"/>
        <w:spacing w:after="0" w:line="277" w:lineRule="auto"/>
        <w:tabs>
          <w:tab w:leader="none" w:pos="609" w:val="left"/>
        </w:tabs>
        <w:numPr>
          <w:ilvl w:val="0"/>
          <w:numId w:val="16"/>
        </w:numPr>
        <w:rPr>
          <w:rFonts w:ascii="Arial" w:cs="Arial" w:eastAsia="Arial" w:hAnsi="Arial"/>
          <w:sz w:val="19"/>
          <w:szCs w:val="19"/>
          <w:color w:val="auto"/>
        </w:rPr>
      </w:pPr>
      <w:r>
        <w:rPr>
          <w:rFonts w:ascii="Arial" w:cs="Arial" w:eastAsia="Arial" w:hAnsi="Arial"/>
          <w:sz w:val="17"/>
          <w:szCs w:val="17"/>
          <w:color w:val="auto"/>
        </w:rPr>
        <w:t>At January 31, 2026, total outstanding borrowings under our Amended Credit Facility were $1.6 billion. At January 31, 2026, we had up to $507.7 million of borrowing capacity.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ind w:right="3300"/>
        <w:spacing w:after="0" w:line="468" w:lineRule="auto"/>
        <w:rPr>
          <w:sz w:val="20"/>
          <w:szCs w:val="20"/>
          <w:color w:val="auto"/>
        </w:rPr>
      </w:pPr>
      <w:r>
        <w:rPr>
          <w:rFonts w:ascii="Arial" w:cs="Arial" w:eastAsia="Arial" w:hAnsi="Arial"/>
          <w:sz w:val="17"/>
          <w:szCs w:val="17"/>
          <w:b w:val="1"/>
          <w:bCs w:val="1"/>
          <w:i w:val="1"/>
          <w:iCs w:val="1"/>
          <w:color w:val="0046AD"/>
        </w:rPr>
        <w:t>Three Months Ended January 31, 2026, Compared with the Three Months Ended January 31, 2025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 January 31,</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0"/>
        </w:trPr>
        <w:tc>
          <w:tcPr>
            <w:tcW w:w="52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83"/>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6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Increase / (Decrease)</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36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8"/>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2,243.5</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2,114.9</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128.6</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6.1%</w:t>
            </w: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1,983.5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1,855.1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128.4</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6.9%</w:t>
            </w: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100"/>
              <w:spacing w:after="0"/>
              <w:rPr>
                <w:sz w:val="20"/>
                <w:szCs w:val="20"/>
                <w:color w:val="auto"/>
              </w:rPr>
            </w:pPr>
            <w:r>
              <w:rPr>
                <w:rFonts w:ascii="Arial" w:cs="Arial" w:eastAsia="Arial" w:hAnsi="Arial"/>
                <w:sz w:val="15"/>
                <w:szCs w:val="15"/>
                <w:i w:val="1"/>
                <w:iCs w:val="1"/>
                <w:color w:val="auto"/>
              </w:rPr>
              <w:t>Gross margin</w:t>
            </w:r>
          </w:p>
        </w:tc>
        <w:tc>
          <w:tcPr>
            <w:tcW w:w="300" w:type="dxa"/>
            <w:vAlign w:val="bottom"/>
            <w:shd w:val="clear" w:color="auto" w:fill="DCE2EF"/>
          </w:tcPr>
          <w:p>
            <w:pPr>
              <w:spacing w:after="0"/>
              <w:rPr>
                <w:sz w:val="18"/>
                <w:szCs w:val="18"/>
                <w:color w:val="auto"/>
              </w:rPr>
            </w:pPr>
          </w:p>
        </w:tc>
        <w:tc>
          <w:tcPr>
            <w:tcW w:w="13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12.3%</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(69) bps</w:t>
            </w:r>
          </w:p>
        </w:tc>
        <w:tc>
          <w:tcPr>
            <w:tcW w:w="1280" w:type="dxa"/>
            <w:vAlign w:val="bottom"/>
            <w:shd w:val="clear" w:color="auto" w:fill="DCE2EF"/>
          </w:tcPr>
          <w:p>
            <w:pPr>
              <w:spacing w:after="0"/>
              <w:rPr>
                <w:sz w:val="18"/>
                <w:szCs w:val="18"/>
                <w:color w:val="auto"/>
              </w:rPr>
            </w:pP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30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169.8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169.0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0.8</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0.4%</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Restructuring and related expenses</w:t>
            </w:r>
          </w:p>
        </w:tc>
        <w:tc>
          <w:tcPr>
            <w:tcW w:w="3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360" w:type="dxa"/>
            <w:vAlign w:val="bottom"/>
            <w:gridSpan w:val="2"/>
            <w:shd w:val="clear" w:color="auto" w:fill="DCE2EF"/>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3.7</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Amortization of intangible assets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11.9</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(10.0)%</w:t>
            </w:r>
          </w:p>
        </w:tc>
      </w:tr>
      <w:tr>
        <w:trPr>
          <w:trHeight w:val="200"/>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Operating profit</w:t>
            </w:r>
          </w:p>
        </w:tc>
        <w:tc>
          <w:tcPr>
            <w:tcW w:w="300" w:type="dxa"/>
            <w:vAlign w:val="bottom"/>
            <w:shd w:val="clear" w:color="auto" w:fill="DCE2EF"/>
          </w:tcPr>
          <w:p>
            <w:pPr>
              <w:spacing w:after="0"/>
              <w:rPr>
                <w:sz w:val="17"/>
                <w:szCs w:val="17"/>
                <w:color w:val="auto"/>
              </w:rPr>
            </w:pPr>
          </w:p>
        </w:tc>
        <w:tc>
          <w:tcPr>
            <w:tcW w:w="1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74.7</w:t>
            </w:r>
          </w:p>
        </w:tc>
        <w:tc>
          <w:tcPr>
            <w:tcW w:w="10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6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rPr>
              <w:t>77.6</w:t>
            </w:r>
          </w:p>
        </w:tc>
        <w:tc>
          <w:tcPr>
            <w:tcW w:w="10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(2.9)</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(3.7)%</w:t>
            </w:r>
          </w:p>
        </w:tc>
      </w:tr>
      <w:tr>
        <w:trPr>
          <w:trHeight w:val="205"/>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Income from unconsolidated affiliates</w:t>
            </w:r>
          </w:p>
        </w:tc>
        <w:tc>
          <w:tcPr>
            <w:tcW w:w="30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0.6</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rPr>
              <w:t>88.3%</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(1.1)</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(4.9)%</w:t>
            </w:r>
          </w:p>
        </w:tc>
      </w:tr>
      <w:tr>
        <w:trPr>
          <w:trHeight w:val="198"/>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03"/>
              <w:spacing w:after="0"/>
              <w:rPr>
                <w:sz w:val="20"/>
                <w:szCs w:val="20"/>
                <w:color w:val="auto"/>
              </w:rPr>
            </w:pPr>
            <w:r>
              <w:rPr>
                <w:rFonts w:ascii="Arial" w:cs="Arial" w:eastAsia="Arial" w:hAnsi="Arial"/>
                <w:sz w:val="15"/>
                <w:szCs w:val="15"/>
                <w:color w:val="auto"/>
              </w:rPr>
              <w:t>55.5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(6.0)%</w:t>
            </w:r>
          </w:p>
        </w:tc>
      </w:tr>
      <w:tr>
        <w:trPr>
          <w:trHeight w:val="207"/>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Income tax provision</w:t>
            </w:r>
          </w:p>
        </w:tc>
        <w:tc>
          <w:tcPr>
            <w:tcW w:w="30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ind w:right="63"/>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DCE2EF"/>
          </w:tcPr>
          <w:p>
            <w:pPr>
              <w:spacing w:after="0"/>
              <w:rPr>
                <w:sz w:val="18"/>
                <w:szCs w:val="18"/>
                <w:color w:val="auto"/>
              </w:rPr>
            </w:pPr>
          </w:p>
        </w:tc>
        <w:tc>
          <w:tcPr>
            <w:tcW w:w="30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(12.7)%</w:t>
            </w:r>
          </w:p>
        </w:tc>
      </w:tr>
      <w:tr>
        <w:trPr>
          <w:trHeight w:val="199"/>
        </w:trPr>
        <w:tc>
          <w:tcPr>
            <w:tcW w:w="526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b w:val="1"/>
                <w:bCs w:val="1"/>
                <w:color w:val="auto"/>
              </w:rPr>
              <w:t>Net income</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38.8</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43.6</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80" w:type="dxa"/>
            <w:vAlign w:val="bottom"/>
            <w:tcBorders>
              <w:bottom w:val="single" w:sz="8" w:color="DCE2EF"/>
            </w:tcBorders>
          </w:tcPr>
          <w:p>
            <w:pPr>
              <w:jc w:val="center"/>
              <w:ind w:left="23"/>
              <w:spacing w:after="0"/>
              <w:rPr>
                <w:sz w:val="20"/>
                <w:szCs w:val="20"/>
                <w:color w:val="auto"/>
              </w:rPr>
            </w:pPr>
            <w:r>
              <w:rPr>
                <w:rFonts w:ascii="Arial" w:cs="Arial" w:eastAsia="Arial" w:hAnsi="Arial"/>
                <w:sz w:val="15"/>
                <w:szCs w:val="15"/>
                <w:color w:val="auto"/>
              </w:rPr>
              <w:t>(11.1)%</w:t>
            </w:r>
          </w:p>
        </w:tc>
      </w:tr>
      <w:tr>
        <w:trPr>
          <w:trHeight w:val="186"/>
        </w:trPr>
        <w:tc>
          <w:tcPr>
            <w:tcW w:w="52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comprehensive income</w:t>
            </w:r>
          </w:p>
        </w:tc>
        <w:tc>
          <w:tcPr>
            <w:tcW w:w="300" w:type="dxa"/>
            <w:vAlign w:val="bottom"/>
            <w:shd w:val="clear" w:color="auto" w:fill="DCE2EF"/>
          </w:tcPr>
          <w:p>
            <w:pPr>
              <w:spacing w:after="0"/>
              <w:rPr>
                <w:sz w:val="16"/>
                <w:szCs w:val="16"/>
                <w:color w:val="auto"/>
              </w:rPr>
            </w:pPr>
          </w:p>
        </w:tc>
        <w:tc>
          <w:tcPr>
            <w:tcW w:w="13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240" w:type="dxa"/>
            <w:vAlign w:val="bottom"/>
            <w:gridSpan w:val="2"/>
          </w:tcPr>
          <w:p>
            <w:pPr>
              <w:ind w:left="300"/>
              <w:spacing w:after="0"/>
              <w:rPr>
                <w:sz w:val="20"/>
                <w:szCs w:val="20"/>
                <w:color w:val="auto"/>
              </w:rPr>
            </w:pPr>
            <w:r>
              <w:rPr>
                <w:rFonts w:ascii="Arial" w:cs="Arial" w:eastAsia="Arial" w:hAnsi="Arial"/>
                <w:sz w:val="15"/>
                <w:szCs w:val="15"/>
                <w:color w:val="auto"/>
              </w:rPr>
              <w:t>Interest rate swaps</w:t>
            </w:r>
          </w:p>
        </w:tc>
        <w:tc>
          <w:tcPr>
            <w:tcW w:w="30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(68.0)%</w:t>
            </w:r>
          </w:p>
        </w:tc>
      </w:tr>
      <w:tr>
        <w:trPr>
          <w:trHeight w:val="207"/>
        </w:trPr>
        <w:tc>
          <w:tcPr>
            <w:tcW w:w="20" w:type="dxa"/>
            <w:vAlign w:val="bottom"/>
            <w:shd w:val="clear" w:color="auto" w:fill="DCE2EF"/>
          </w:tcPr>
          <w:p>
            <w:pPr>
              <w:spacing w:after="0"/>
              <w:rPr>
                <w:sz w:val="18"/>
                <w:szCs w:val="18"/>
                <w:color w:val="auto"/>
              </w:rPr>
            </w:pPr>
          </w:p>
        </w:tc>
        <w:tc>
          <w:tcPr>
            <w:tcW w:w="5240" w:type="dxa"/>
            <w:vAlign w:val="bottom"/>
            <w:gridSpan w:val="2"/>
            <w:shd w:val="clear" w:color="auto" w:fill="DCE2EF"/>
          </w:tcPr>
          <w:p>
            <w:pPr>
              <w:ind w:left="300"/>
              <w:spacing w:after="0"/>
              <w:rPr>
                <w:sz w:val="20"/>
                <w:szCs w:val="20"/>
                <w:color w:val="auto"/>
              </w:rPr>
            </w:pPr>
            <w:r>
              <w:rPr>
                <w:rFonts w:ascii="Arial" w:cs="Arial" w:eastAsia="Arial" w:hAnsi="Arial"/>
                <w:sz w:val="15"/>
                <w:szCs w:val="15"/>
                <w:color w:val="auto"/>
              </w:rPr>
              <w:t>Foreign currency translation and other</w:t>
            </w:r>
          </w:p>
        </w:tc>
        <w:tc>
          <w:tcPr>
            <w:tcW w:w="3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rPr>
              <w:t>9.5</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63"/>
              <w:spacing w:after="0"/>
              <w:rPr>
                <w:sz w:val="20"/>
                <w:szCs w:val="20"/>
                <w:color w:val="auto"/>
              </w:rPr>
            </w:pPr>
            <w:r>
              <w:rPr>
                <w:rFonts w:ascii="Arial" w:cs="Arial" w:eastAsia="Arial" w:hAnsi="Arial"/>
                <w:sz w:val="15"/>
                <w:szCs w:val="15"/>
                <w:color w:val="auto"/>
              </w:rPr>
              <w:t>(7.6)</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0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17.1</w:t>
            </w:r>
          </w:p>
        </w:tc>
        <w:tc>
          <w:tcPr>
            <w:tcW w:w="1280" w:type="dxa"/>
            <w:vAlign w:val="bottom"/>
            <w:shd w:val="clear" w:color="auto" w:fill="DCE2EF"/>
          </w:tcPr>
          <w:p>
            <w:pPr>
              <w:ind w:left="540"/>
              <w:spacing w:after="0"/>
              <w:rPr>
                <w:sz w:val="20"/>
                <w:szCs w:val="20"/>
                <w:color w:val="auto"/>
              </w:rPr>
            </w:pPr>
            <w:r>
              <w:rPr>
                <w:rFonts w:ascii="Arial" w:cs="Arial" w:eastAsia="Arial" w:hAnsi="Arial"/>
                <w:sz w:val="15"/>
                <w:szCs w:val="15"/>
                <w:color w:val="auto"/>
              </w:rPr>
              <w:t>NM*</w:t>
            </w:r>
          </w:p>
        </w:tc>
      </w:tr>
      <w:tr>
        <w:trPr>
          <w:trHeight w:val="205"/>
        </w:trPr>
        <w:tc>
          <w:tcPr>
            <w:tcW w:w="20" w:type="dxa"/>
            <w:vAlign w:val="bottom"/>
            <w:tcBorders>
              <w:bottom w:val="single" w:sz="8" w:color="DCE2EF"/>
            </w:tcBorders>
          </w:tcPr>
          <w:p>
            <w:pPr>
              <w:spacing w:after="0"/>
              <w:rPr>
                <w:sz w:val="17"/>
                <w:szCs w:val="17"/>
                <w:color w:val="auto"/>
              </w:rPr>
            </w:pPr>
          </w:p>
        </w:tc>
        <w:tc>
          <w:tcPr>
            <w:tcW w:w="5240" w:type="dxa"/>
            <w:vAlign w:val="bottom"/>
            <w:tcBorders>
              <w:bottom w:val="single" w:sz="8" w:color="DCE2EF"/>
            </w:tcBorders>
            <w:gridSpan w:val="2"/>
          </w:tcPr>
          <w:p>
            <w:pPr>
              <w:ind w:left="300"/>
              <w:spacing w:after="0"/>
              <w:rPr>
                <w:sz w:val="20"/>
                <w:szCs w:val="20"/>
                <w:color w:val="auto"/>
              </w:rPr>
            </w:pPr>
            <w:r>
              <w:rPr>
                <w:rFonts w:ascii="Arial" w:cs="Arial" w:eastAsia="Arial" w:hAnsi="Arial"/>
                <w:sz w:val="15"/>
                <w:szCs w:val="15"/>
                <w:color w:val="auto"/>
              </w:rPr>
              <w:t>Income tax benefit</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0.5</w:t>
            </w:r>
          </w:p>
        </w:tc>
        <w:tc>
          <w:tcPr>
            <w:tcW w:w="100" w:type="dxa"/>
            <w:vAlign w:val="bottom"/>
            <w:tcBorders>
              <w:bottom w:val="single" w:sz="8" w:color="DCE2E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0.3</w:t>
            </w:r>
          </w:p>
        </w:tc>
        <w:tc>
          <w:tcPr>
            <w:tcW w:w="10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0.2</w:t>
            </w:r>
          </w:p>
        </w:tc>
        <w:tc>
          <w:tcPr>
            <w:tcW w:w="12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70.2%</w:t>
            </w:r>
          </w:p>
        </w:tc>
      </w:tr>
      <w:tr>
        <w:trPr>
          <w:trHeight w:val="225"/>
        </w:trPr>
        <w:tc>
          <w:tcPr>
            <w:tcW w:w="526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rPr>
              <w:t>46.9</w:t>
            </w:r>
          </w:p>
        </w:tc>
        <w:tc>
          <w:tcPr>
            <w:tcW w:w="100" w:type="dxa"/>
            <w:vAlign w:val="bottom"/>
            <w:tcBorders>
              <w:bottom w:val="single" w:sz="8" w:color="DCE2EF"/>
            </w:tcBorders>
            <w:shd w:val="clear" w:color="auto" w:fill="DCE2EF"/>
          </w:tcPr>
          <w:p>
            <w:pPr>
              <w:spacing w:after="0"/>
              <w:rPr>
                <w:sz w:val="19"/>
                <w:szCs w:val="19"/>
                <w:color w:val="auto"/>
              </w:rPr>
            </w:pPr>
          </w:p>
        </w:tc>
        <w:tc>
          <w:tcPr>
            <w:tcW w:w="380" w:type="dxa"/>
            <w:vAlign w:val="bottom"/>
            <w:tcBorders>
              <w:bottom w:val="single" w:sz="8" w:color="auto"/>
            </w:tcBorders>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35.2</w:t>
            </w:r>
          </w:p>
        </w:tc>
        <w:tc>
          <w:tcPr>
            <w:tcW w:w="100" w:type="dxa"/>
            <w:vAlign w:val="bottom"/>
            <w:tcBorders>
              <w:bottom w:val="single" w:sz="8" w:color="DCE2EF"/>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DCE2EF"/>
          </w:tcPr>
          <w:p>
            <w:pPr>
              <w:jc w:val="right"/>
              <w:ind w:right="3"/>
              <w:spacing w:after="0"/>
              <w:rPr>
                <w:sz w:val="20"/>
                <w:szCs w:val="20"/>
                <w:color w:val="auto"/>
              </w:rPr>
            </w:pPr>
            <w:r>
              <w:rPr>
                <w:rFonts w:ascii="Arial" w:cs="Arial" w:eastAsia="Arial" w:hAnsi="Arial"/>
                <w:sz w:val="15"/>
                <w:szCs w:val="15"/>
                <w:color w:val="auto"/>
              </w:rPr>
              <w:t>11.7</w:t>
            </w:r>
          </w:p>
        </w:tc>
        <w:tc>
          <w:tcPr>
            <w:tcW w:w="1280" w:type="dxa"/>
            <w:vAlign w:val="bottom"/>
            <w:tcBorders>
              <w:bottom w:val="single" w:sz="8" w:color="DCE2EF"/>
            </w:tcBorders>
            <w:shd w:val="clear" w:color="auto" w:fill="DCE2EF"/>
          </w:tcPr>
          <w:p>
            <w:pPr>
              <w:jc w:val="center"/>
              <w:ind w:left="43"/>
              <w:spacing w:after="0"/>
              <w:rPr>
                <w:sz w:val="20"/>
                <w:szCs w:val="20"/>
                <w:color w:val="auto"/>
              </w:rPr>
            </w:pPr>
            <w:r>
              <w:rPr>
                <w:rFonts w:ascii="Arial" w:cs="Arial" w:eastAsia="Arial" w:hAnsi="Arial"/>
                <w:sz w:val="15"/>
                <w:szCs w:val="15"/>
                <w:color w:val="auto"/>
              </w:rPr>
              <w:t>33.5%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360" w:type="dxa"/>
            <w:vAlign w:val="bottom"/>
            <w:tcBorders>
              <w:top w:val="single" w:sz="8" w:color="DCE2EF"/>
            </w:tcBorders>
          </w:tcPr>
          <w:p>
            <w:pPr>
              <w:spacing w:after="0" w:line="20" w:lineRule="exact"/>
              <w:rPr>
                <w:sz w:val="1"/>
                <w:szCs w:val="1"/>
                <w:color w:val="auto"/>
              </w:rPr>
            </w:pPr>
          </w:p>
        </w:tc>
        <w:tc>
          <w:tcPr>
            <w:tcW w:w="28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Revenues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Revenues increased by $128.6 million, or 6.1%, to $ 2,243.5 million during the three months ended January 31, 2026, as compared to the prior year period. Revenue growth was comprised of organic growth of 5.5% and acquisition growth of 0.6%. The organic revenue growth was due to net new business and expansion of business with existing customers among all our industry groups, as well as higher project and recurring services revenues associated with mission-critical infrastructure and data center solutions within Technical Solutions. Acquisition growth was driven by a $13.0 million revenue increase from the LMC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Operating Expenses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expenses increased by $128.4 million, or 6.9%, to $ 1,983.5 million during the three months ended January 31, 2026, as compared to the prior year period. Gross margin decreased by 69 bps to 11.6% in the three months ended January 31, 2026, from 12.3% in the prior year period. The decrease in gross margin was primarily driven by strategic pricing decisions for contract rebids within B&amp;I, service mix within M&amp;D and Technical Solutions, and weather-related disruptions in Aviation and Technical Solutions. This was partially offset by operational efficiencies achieved through our Restructuring Program as well as positive operational impacts from weather-related disruptions within Education.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Selling, General and Administrative Expenses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Selling, general and administrative expenses increased by $0.8 million, or 0.4%, to $169.8 million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January 31, 2026, as compared to the prior year period. The increase in selling, general and administrative expenses was primarily attributable to:</w:t>
      </w:r>
    </w:p>
    <w:p>
      <w:pPr>
        <w:spacing w:after="0" w:line="149" w:lineRule="exact"/>
        <w:rPr>
          <w:sz w:val="20"/>
          <w:szCs w:val="20"/>
          <w:color w:val="auto"/>
        </w:rPr>
      </w:pPr>
    </w:p>
    <w:p>
      <w:pPr>
        <w:ind w:left="620" w:right="5740" w:hanging="307"/>
        <w:spacing w:after="0" w:line="48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$2.5 million increase in costs associated with systems’ go-live. The increase was partially offset by: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0" w:name="page31"/>
    <w:bookmarkEnd w:id="30"/>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$2.4 million decrease in accruals for potential legal settlements.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Amortization of Intangible Assets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Amortization of intangible assets decreased by $1.4 million, or 10.0%, to $11.9 million during the three months ended January 31, 2026, as compared to the prior year period. The decrease was primarily attributable to certain intangibles acquired as part of the Able and GCA acquisitions.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Expense</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Interest expense increased by $1.1 million, or 4.9%, to $24.0 million during the three months ended January 31, 2026, as compared to the prior year period, and was driven by higher borrowings from our Amended Credit Facility to fund working capital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Income Taxes from Operations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Our effective tax rates from income on operations for the three months ended January 31, 2026, and January 31, 2025, were 25.6% and 21.4%, respectively, resulting in provisions for taxes of $13.4 million and $11.9 million, respectively.</w:t>
      </w:r>
    </w:p>
    <w:p>
      <w:pPr>
        <w:spacing w:after="0" w:line="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effective tax rate for the three months ended January 31, 2026, was reduced by discrete items, primarily share based compensation. Our effective tax rate for the three months ended January 31, 2025, was reduced by discrete items, primarily return to provision adjustments related to our non-U.S. operations.</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WOTC and FEZ credit are federal tax credits available to employers for hiring individuals from certain targeted groups. We have historically benefited from these credits, and they expired on December 31, 2025. As of January 31, 2026, the credits have not been renewed and our effective tax rate for the three months ended January 31, 2026, includes a benefit only for those employees who started work before December 31, 2025. Any extension or renewal of the WOTC and FEZ credit is subject to future legislative action by Congress and would occur retroactively.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Interest Rate Swaps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had a loss of $1.9 million on interest rate swaps during the three months ended January 31, 2026, as compared to a loss of $1.1 million during the three months ended January 31, 2025, primarily due to underlying changes in the fair value of our interest rate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Foreign Currency Translation</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had a foreign currency translation gain of $9.5 million during the three months ended January 31, 2026, as compared to a foreign currency translation loss of $7.6 million during the three months ended January 31, 2025.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0046AD"/>
        </w:rPr>
        <w:t>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Financial Information for Each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423"/>
              <w:spacing w:after="0"/>
              <w:rPr>
                <w:sz w:val="20"/>
                <w:szCs w:val="20"/>
                <w:color w:val="auto"/>
              </w:rPr>
            </w:pPr>
            <w:r>
              <w:rPr>
                <w:rFonts w:ascii="Arial" w:cs="Arial" w:eastAsia="Arial" w:hAnsi="Arial"/>
                <w:sz w:val="15"/>
                <w:szCs w:val="15"/>
                <w:b w:val="1"/>
                <w:bCs w:val="1"/>
                <w:color w:val="auto"/>
              </w:rPr>
              <w:t>Three Months Ended January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2"/>
          </w:tcPr>
          <w:p>
            <w:pPr>
              <w:jc w:val="right"/>
              <w:ind w:right="660"/>
              <w:spacing w:after="0" w:line="161" w:lineRule="exact"/>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right"/>
              <w:ind w:right="583"/>
              <w:spacing w:after="0" w:line="161"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2"/>
          </w:tcPr>
          <w:p>
            <w:pPr>
              <w:jc w:val="right"/>
              <w:ind w:right="383"/>
              <w:spacing w:after="0" w:line="161"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30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DCE2EF"/>
            </w:tcBorders>
          </w:tcPr>
          <w:p>
            <w:pPr>
              <w:spacing w:after="0" w:line="20" w:lineRule="exact"/>
              <w:rPr>
                <w:sz w:val="1"/>
                <w:szCs w:val="1"/>
                <w:color w:val="auto"/>
              </w:rPr>
            </w:pPr>
          </w:p>
        </w:tc>
        <w:tc>
          <w:tcPr>
            <w:tcW w:w="10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b w:val="1"/>
                <w:bCs w:val="1"/>
                <w:color w:val="auto"/>
              </w:rPr>
              <w:t>Revenues</w:t>
            </w:r>
          </w:p>
        </w:tc>
        <w:tc>
          <w:tcPr>
            <w:tcW w:w="400" w:type="dxa"/>
            <w:vAlign w:val="bottom"/>
            <w:shd w:val="clear" w:color="auto" w:fill="DCE2EF"/>
          </w:tcPr>
          <w:p>
            <w:pPr>
              <w:spacing w:after="0"/>
              <w:rPr>
                <w:sz w:val="16"/>
                <w:szCs w:val="16"/>
                <w:color w:val="auto"/>
              </w:rPr>
            </w:pPr>
          </w:p>
        </w:tc>
        <w:tc>
          <w:tcPr>
            <w:tcW w:w="10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80" w:type="dxa"/>
            <w:vAlign w:val="bottom"/>
            <w:shd w:val="clear" w:color="auto" w:fill="DCE2EF"/>
          </w:tcPr>
          <w:p>
            <w:pPr>
              <w:spacing w:after="0"/>
              <w:rPr>
                <w:sz w:val="16"/>
                <w:szCs w:val="16"/>
                <w:color w:val="auto"/>
              </w:rPr>
            </w:pP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Business &amp; Industry</w:t>
            </w:r>
          </w:p>
        </w:tc>
        <w:tc>
          <w:tcPr>
            <w:tcW w:w="4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1,065.1</w:t>
            </w:r>
          </w:p>
        </w:tc>
        <w:tc>
          <w:tcPr>
            <w:tcW w:w="7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3"/>
              <w:spacing w:after="0"/>
              <w:rPr>
                <w:sz w:val="20"/>
                <w:szCs w:val="20"/>
                <w:color w:val="auto"/>
              </w:rPr>
            </w:pPr>
            <w:r>
              <w:rPr>
                <w:rFonts w:ascii="Arial" w:cs="Arial" w:eastAsia="Arial" w:hAnsi="Arial"/>
                <w:sz w:val="15"/>
                <w:szCs w:val="15"/>
                <w:color w:val="auto"/>
              </w:rPr>
              <w:t>1,022.9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42.2</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w w:val="99"/>
              </w:rPr>
              <w:t>4.1%</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422.3</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394.3</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28.0</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7.1%</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Aviation</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297.7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jc w:val="right"/>
              <w:ind w:right="103"/>
              <w:spacing w:after="0"/>
              <w:rPr>
                <w:sz w:val="20"/>
                <w:szCs w:val="20"/>
                <w:color w:val="auto"/>
              </w:rPr>
            </w:pPr>
            <w:r>
              <w:rPr>
                <w:rFonts w:ascii="Arial" w:cs="Arial" w:eastAsia="Arial" w:hAnsi="Arial"/>
                <w:sz w:val="15"/>
                <w:szCs w:val="15"/>
                <w:color w:val="auto"/>
              </w:rPr>
              <w:t>270.1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27.6</w:t>
            </w:r>
          </w:p>
        </w:tc>
        <w:tc>
          <w:tcPr>
            <w:tcW w:w="1280" w:type="dxa"/>
            <w:vAlign w:val="bottom"/>
          </w:tcPr>
          <w:p>
            <w:pPr>
              <w:jc w:val="center"/>
              <w:ind w:left="43"/>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7"/>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228.7</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225.3</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3.4</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1.5%</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DCE2EF"/>
            </w:tcBorders>
            <w:gridSpan w:val="4"/>
          </w:tcPr>
          <w:p>
            <w:pPr>
              <w:ind w:left="20"/>
              <w:spacing w:after="0"/>
              <w:rPr>
                <w:sz w:val="20"/>
                <w:szCs w:val="20"/>
                <w:color w:val="auto"/>
              </w:rPr>
            </w:pPr>
            <w:r>
              <w:rPr>
                <w:rFonts w:ascii="Arial" w:cs="Arial" w:eastAsia="Arial" w:hAnsi="Arial"/>
                <w:sz w:val="15"/>
                <w:szCs w:val="15"/>
                <w:color w:val="auto"/>
              </w:rPr>
              <w:t>Technical Solutions</w:t>
            </w:r>
          </w:p>
        </w:tc>
        <w:tc>
          <w:tcPr>
            <w:tcW w:w="400" w:type="dxa"/>
            <w:vAlign w:val="bottom"/>
            <w:tcBorders>
              <w:bottom w:val="single" w:sz="8" w:color="DCE2EF"/>
            </w:tcBorders>
          </w:tcPr>
          <w:p>
            <w:pPr>
              <w:spacing w:after="0"/>
              <w:rPr>
                <w:sz w:val="17"/>
                <w:szCs w:val="17"/>
                <w:color w:val="auto"/>
              </w:rPr>
            </w:pPr>
          </w:p>
        </w:tc>
        <w:tc>
          <w:tcPr>
            <w:tcW w:w="1020" w:type="dxa"/>
            <w:vAlign w:val="bottom"/>
            <w:tcBorders>
              <w:bottom w:val="single" w:sz="8" w:color="DCE2E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229.7</w:t>
            </w:r>
          </w:p>
        </w:tc>
        <w:tc>
          <w:tcPr>
            <w:tcW w:w="100" w:type="dxa"/>
            <w:vAlign w:val="bottom"/>
            <w:tcBorders>
              <w:bottom w:val="single" w:sz="8" w:color="DCE2E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DCE2E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27.4</w:t>
            </w:r>
          </w:p>
        </w:tc>
        <w:tc>
          <w:tcPr>
            <w:tcW w:w="1280" w:type="dxa"/>
            <w:vAlign w:val="bottom"/>
            <w:tcBorders>
              <w:bottom w:val="single" w:sz="8" w:color="DCE2EF"/>
            </w:tcBorders>
          </w:tcPr>
          <w:p>
            <w:pPr>
              <w:jc w:val="center"/>
              <w:ind w:left="43"/>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30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440" w:type="dxa"/>
            <w:vAlign w:val="bottom"/>
            <w:gridSpan w:val="2"/>
            <w:shd w:val="clear" w:color="auto" w:fill="DCE2EF"/>
          </w:tcPr>
          <w:p>
            <w:pPr>
              <w:jc w:val="right"/>
              <w:ind w:right="3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2,243.5</w:t>
            </w:r>
          </w:p>
        </w:tc>
        <w:tc>
          <w:tcPr>
            <w:tcW w:w="700" w:type="dxa"/>
            <w:vAlign w:val="bottom"/>
            <w:gridSpan w:val="2"/>
            <w:shd w:val="clear" w:color="auto" w:fill="DCE2EF"/>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2,114.9</w:t>
            </w:r>
          </w:p>
        </w:tc>
        <w:tc>
          <w:tcPr>
            <w:tcW w:w="22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128.6</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6.1%</w:t>
            </w:r>
          </w:p>
        </w:tc>
        <w:tc>
          <w:tcPr>
            <w:tcW w:w="0" w:type="dxa"/>
            <w:vAlign w:val="bottom"/>
          </w:tcPr>
          <w:p>
            <w:pPr>
              <w:spacing w:after="0"/>
              <w:rPr>
                <w:sz w:val="1"/>
                <w:szCs w:val="1"/>
                <w:color w:val="auto"/>
              </w:rPr>
            </w:pPr>
          </w:p>
        </w:tc>
      </w:tr>
      <w:tr>
        <w:trPr>
          <w:trHeight w:val="20"/>
        </w:trPr>
        <w:tc>
          <w:tcPr>
            <w:tcW w:w="3820" w:type="dxa"/>
            <w:vAlign w:val="bottom"/>
            <w:tcBorders>
              <w:top w:val="single" w:sz="8" w:color="DCE2EF"/>
              <w:bottom w:val="single" w:sz="8" w:color="DCE2EF"/>
            </w:tcBorders>
            <w:gridSpan w:val="4"/>
            <w:vMerge w:val="restart"/>
          </w:tcPr>
          <w:p>
            <w:pPr>
              <w:ind w:left="20"/>
              <w:spacing w:after="0"/>
              <w:rPr>
                <w:sz w:val="20"/>
                <w:szCs w:val="20"/>
                <w:color w:val="auto"/>
              </w:rPr>
            </w:pPr>
            <w:r>
              <w:rPr>
                <w:rFonts w:ascii="Arial" w:cs="Arial" w:eastAsia="Arial" w:hAnsi="Arial"/>
                <w:sz w:val="15"/>
                <w:szCs w:val="15"/>
                <w:b w:val="1"/>
                <w:bCs w:val="1"/>
                <w:color w:val="auto"/>
              </w:rPr>
              <w:t>Operating profit</w:t>
            </w:r>
          </w:p>
        </w:tc>
        <w:tc>
          <w:tcPr>
            <w:tcW w:w="400" w:type="dxa"/>
            <w:vAlign w:val="bottom"/>
            <w:tcBorders>
              <w:top w:val="single" w:sz="8" w:color="DCE2EF"/>
            </w:tcBorders>
          </w:tcPr>
          <w:p>
            <w:pPr>
              <w:spacing w:after="0" w:line="20" w:lineRule="exact"/>
              <w:rPr>
                <w:sz w:val="1"/>
                <w:szCs w:val="1"/>
                <w:color w:val="auto"/>
              </w:rPr>
            </w:pPr>
          </w:p>
        </w:tc>
        <w:tc>
          <w:tcPr>
            <w:tcW w:w="102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2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Business &amp; Industry</w:t>
            </w:r>
          </w:p>
        </w:tc>
        <w:tc>
          <w:tcPr>
            <w:tcW w:w="400" w:type="dxa"/>
            <w:vAlign w:val="bottom"/>
            <w:shd w:val="clear" w:color="auto" w:fill="DCE2EF"/>
          </w:tcPr>
          <w:p>
            <w:pPr>
              <w:spacing w:after="0"/>
              <w:rPr>
                <w:sz w:val="17"/>
                <w:szCs w:val="17"/>
                <w:color w:val="auto"/>
              </w:rPr>
            </w:pPr>
          </w:p>
        </w:tc>
        <w:tc>
          <w:tcPr>
            <w:tcW w:w="1440" w:type="dxa"/>
            <w:vAlign w:val="bottom"/>
            <w:gridSpan w:val="2"/>
            <w:shd w:val="clear" w:color="auto" w:fill="DCE2EF"/>
          </w:tcPr>
          <w:p>
            <w:pPr>
              <w:jc w:val="right"/>
              <w:ind w:right="3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79.7</w:t>
            </w:r>
          </w:p>
        </w:tc>
        <w:tc>
          <w:tcPr>
            <w:tcW w:w="700" w:type="dxa"/>
            <w:vAlign w:val="bottom"/>
            <w:gridSpan w:val="2"/>
            <w:shd w:val="clear" w:color="auto" w:fill="DCE2EF"/>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79.4</w:t>
            </w:r>
          </w:p>
        </w:tc>
        <w:tc>
          <w:tcPr>
            <w:tcW w:w="22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0.3</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0.4%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7.5%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(28)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Manufacturing &amp; Distribution</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36.3</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39.4</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(3.1)</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8.6%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(139)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Aviation</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12.6</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0.4</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4.2 %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(31)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Education</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21.6</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14.0</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7.6</w:t>
            </w:r>
          </w:p>
        </w:tc>
        <w:tc>
          <w:tcPr>
            <w:tcW w:w="1280" w:type="dxa"/>
            <w:vAlign w:val="bottom"/>
            <w:shd w:val="clear" w:color="auto" w:fill="DCE2EF"/>
          </w:tcPr>
          <w:p>
            <w:pPr>
              <w:jc w:val="center"/>
              <w:ind w:left="43"/>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9.4%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322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Technical Solutions</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8.4</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103"/>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(8.2)</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3"/>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3.7%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(452) bps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Corporate</w:t>
            </w:r>
          </w:p>
        </w:tc>
        <w:tc>
          <w:tcPr>
            <w:tcW w:w="400" w:type="dxa"/>
            <w:vAlign w:val="bottom"/>
            <w:shd w:val="clear" w:color="auto" w:fill="DCE2EF"/>
          </w:tcPr>
          <w:p>
            <w:pPr>
              <w:spacing w:after="0"/>
              <w:rPr>
                <w:sz w:val="18"/>
                <w:szCs w:val="18"/>
                <w:color w:val="auto"/>
              </w:rPr>
            </w:pPr>
          </w:p>
        </w:tc>
        <w:tc>
          <w:tcPr>
            <w:tcW w:w="102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240" w:type="dxa"/>
            <w:vAlign w:val="bottom"/>
            <w:gridSpan w:val="2"/>
            <w:shd w:val="clear" w:color="auto" w:fill="DCE2EF"/>
          </w:tcPr>
          <w:p>
            <w:pPr>
              <w:jc w:val="right"/>
              <w:ind w:right="140"/>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DCE2EF"/>
          </w:tcPr>
          <w:p>
            <w:pPr>
              <w:spacing w:after="0"/>
              <w:rPr>
                <w:sz w:val="18"/>
                <w:szCs w:val="18"/>
                <w:color w:val="auto"/>
              </w:rPr>
            </w:pPr>
          </w:p>
        </w:tc>
        <w:tc>
          <w:tcPr>
            <w:tcW w:w="600" w:type="dxa"/>
            <w:vAlign w:val="bottom"/>
            <w:shd w:val="clear" w:color="auto" w:fill="DCE2EF"/>
          </w:tcPr>
          <w:p>
            <w:pPr>
              <w:spacing w:after="0"/>
              <w:rPr>
                <w:sz w:val="18"/>
                <w:szCs w:val="18"/>
                <w:color w:val="auto"/>
              </w:rPr>
            </w:pPr>
          </w:p>
        </w:tc>
        <w:tc>
          <w:tcPr>
            <w:tcW w:w="1060" w:type="dxa"/>
            <w:vAlign w:val="bottom"/>
            <w:gridSpan w:val="2"/>
            <w:shd w:val="clear" w:color="auto" w:fill="DCE2EF"/>
          </w:tcPr>
          <w:p>
            <w:pPr>
              <w:jc w:val="right"/>
              <w:ind w:right="63"/>
              <w:spacing w:after="0"/>
              <w:rPr>
                <w:sz w:val="20"/>
                <w:szCs w:val="20"/>
                <w:color w:val="auto"/>
              </w:rPr>
            </w:pPr>
            <w:r>
              <w:rPr>
                <w:rFonts w:ascii="Arial" w:cs="Arial" w:eastAsia="Arial" w:hAnsi="Arial"/>
                <w:sz w:val="15"/>
                <w:szCs w:val="15"/>
                <w:color w:val="auto"/>
              </w:rPr>
              <w:t>(83.2)</w:t>
            </w:r>
          </w:p>
        </w:tc>
        <w:tc>
          <w:tcPr>
            <w:tcW w:w="1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080" w:type="dxa"/>
            <w:vAlign w:val="bottom"/>
            <w:shd w:val="clear" w:color="auto" w:fill="DCE2EF"/>
          </w:tcPr>
          <w:p>
            <w:pPr>
              <w:jc w:val="right"/>
              <w:ind w:right="5"/>
              <w:spacing w:after="0"/>
              <w:rPr>
                <w:sz w:val="20"/>
                <w:szCs w:val="20"/>
                <w:color w:val="auto"/>
              </w:rPr>
            </w:pPr>
            <w:r>
              <w:rPr>
                <w:rFonts w:ascii="Arial" w:cs="Arial" w:eastAsia="Arial" w:hAnsi="Arial"/>
                <w:sz w:val="15"/>
                <w:szCs w:val="15"/>
                <w:color w:val="auto"/>
              </w:rPr>
              <w:t>1.3</w:t>
            </w:r>
          </w:p>
        </w:tc>
        <w:tc>
          <w:tcPr>
            <w:tcW w:w="1280" w:type="dxa"/>
            <w:vAlign w:val="bottom"/>
            <w:shd w:val="clear" w:color="auto" w:fill="DCE2EF"/>
          </w:tcPr>
          <w:p>
            <w:pPr>
              <w:jc w:val="center"/>
              <w:ind w:left="23"/>
              <w:spacing w:after="0"/>
              <w:rPr>
                <w:sz w:val="20"/>
                <w:szCs w:val="20"/>
                <w:color w:val="auto"/>
              </w:rPr>
            </w:pPr>
            <w:r>
              <w:rPr>
                <w:rFonts w:ascii="Arial" w:cs="Arial" w:eastAsia="Arial" w:hAnsi="Arial"/>
                <w:sz w:val="15"/>
                <w:szCs w:val="15"/>
                <w:color w:val="auto"/>
                <w:w w:val="99"/>
              </w:rPr>
              <w:t>1.6%</w:t>
            </w:r>
          </w:p>
        </w:tc>
        <w:tc>
          <w:tcPr>
            <w:tcW w:w="0" w:type="dxa"/>
            <w:vAlign w:val="bottom"/>
          </w:tcPr>
          <w:p>
            <w:pPr>
              <w:spacing w:after="0"/>
              <w:rPr>
                <w:sz w:val="1"/>
                <w:szCs w:val="1"/>
                <w:color w:val="auto"/>
              </w:rPr>
            </w:pPr>
          </w:p>
        </w:tc>
      </w:tr>
      <w:tr>
        <w:trPr>
          <w:trHeight w:val="155"/>
        </w:trPr>
        <w:tc>
          <w:tcPr>
            <w:tcW w:w="5660" w:type="dxa"/>
            <w:vAlign w:val="bottom"/>
            <w:gridSpan w:val="7"/>
          </w:tcPr>
          <w:p>
            <w:pPr>
              <w:ind w:left="20"/>
              <w:spacing w:after="0" w:line="156" w:lineRule="exact"/>
              <w:rPr>
                <w:sz w:val="20"/>
                <w:szCs w:val="20"/>
                <w:color w:val="auto"/>
              </w:rPr>
            </w:pPr>
            <w:r>
              <w:rPr>
                <w:rFonts w:ascii="Arial" w:cs="Arial" w:eastAsia="Arial" w:hAnsi="Arial"/>
                <w:sz w:val="15"/>
                <w:szCs w:val="15"/>
                <w:color w:val="auto"/>
              </w:rPr>
              <w:t>Adjustment for income from unconsolidated affiliates, included in Aviation</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vMerge w:val="restart"/>
          </w:tcPr>
          <w:p>
            <w:pPr>
              <w:jc w:val="right"/>
              <w:ind w:right="63"/>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1280" w:type="dxa"/>
            <w:vAlign w:val="bottom"/>
            <w:vMerge w:val="restart"/>
          </w:tcPr>
          <w:p>
            <w:pPr>
              <w:jc w:val="center"/>
              <w:ind w:left="23"/>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gridSpan w:val="3"/>
          </w:tcPr>
          <w:p>
            <w:pPr>
              <w:ind w:left="160"/>
              <w:spacing w:after="0"/>
              <w:rPr>
                <w:sz w:val="20"/>
                <w:szCs w:val="20"/>
                <w:color w:val="auto"/>
              </w:rPr>
            </w:pPr>
            <w:r>
              <w:rPr>
                <w:rFonts w:ascii="Arial" w:cs="Arial" w:eastAsia="Arial" w:hAnsi="Arial"/>
                <w:sz w:val="15"/>
                <w:szCs w:val="15"/>
                <w:color w:val="auto"/>
              </w:rPr>
              <w:t>and Technical Solutions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660" w:type="dxa"/>
            <w:vAlign w:val="bottom"/>
            <w:gridSpan w:val="7"/>
            <w:shd w:val="clear" w:color="auto" w:fill="DCE2EF"/>
          </w:tcPr>
          <w:p>
            <w:pPr>
              <w:ind w:left="20"/>
              <w:spacing w:after="0" w:line="156" w:lineRule="exact"/>
              <w:rPr>
                <w:sz w:val="20"/>
                <w:szCs w:val="20"/>
                <w:color w:val="auto"/>
              </w:rPr>
            </w:pPr>
            <w:r>
              <w:rPr>
                <w:rFonts w:ascii="Arial" w:cs="Arial" w:eastAsia="Arial" w:hAnsi="Arial"/>
                <w:sz w:val="15"/>
                <w:szCs w:val="15"/>
                <w:color w:val="auto"/>
              </w:rPr>
              <w:t>Adjustment for tax deductions for energy efficient government buildings,</w:t>
            </w:r>
          </w:p>
        </w:tc>
        <w:tc>
          <w:tcPr>
            <w:tcW w:w="1240" w:type="dxa"/>
            <w:vAlign w:val="bottom"/>
            <w:gridSpan w:val="2"/>
            <w:vMerge w:val="restart"/>
            <w:shd w:val="clear" w:color="auto" w:fill="DCE2EF"/>
          </w:tcPr>
          <w:p>
            <w:pPr>
              <w:jc w:val="right"/>
              <w:ind w:right="140"/>
              <w:spacing w:after="0"/>
              <w:rPr>
                <w:sz w:val="20"/>
                <w:szCs w:val="20"/>
                <w:color w:val="auto"/>
              </w:rPr>
            </w:pPr>
            <w:r>
              <w:rPr>
                <w:rFonts w:ascii="Arial" w:cs="Arial" w:eastAsia="Arial" w:hAnsi="Arial"/>
                <w:sz w:val="15"/>
                <w:szCs w:val="15"/>
                <w:color w:val="auto"/>
              </w:rPr>
              <w:t>(0.5)</w:t>
            </w:r>
          </w:p>
        </w:tc>
        <w:tc>
          <w:tcPr>
            <w:tcW w:w="100" w:type="dxa"/>
            <w:vAlign w:val="bottom"/>
            <w:shd w:val="clear" w:color="auto" w:fill="DCE2EF"/>
          </w:tcPr>
          <w:p>
            <w:pPr>
              <w:spacing w:after="0"/>
              <w:rPr>
                <w:sz w:val="13"/>
                <w:szCs w:val="13"/>
                <w:color w:val="auto"/>
              </w:rPr>
            </w:pPr>
          </w:p>
        </w:tc>
        <w:tc>
          <w:tcPr>
            <w:tcW w:w="6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940" w:type="dxa"/>
            <w:vAlign w:val="bottom"/>
            <w:vMerge w:val="restart"/>
            <w:shd w:val="clear" w:color="auto" w:fill="DCE2EF"/>
          </w:tcPr>
          <w:p>
            <w:pPr>
              <w:jc w:val="right"/>
              <w:ind w:right="103"/>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108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(0.5)</w:t>
            </w:r>
          </w:p>
        </w:tc>
        <w:tc>
          <w:tcPr>
            <w:tcW w:w="1280" w:type="dxa"/>
            <w:vAlign w:val="bottom"/>
            <w:vMerge w:val="restart"/>
            <w:shd w:val="clear" w:color="auto" w:fill="DCE2EF"/>
          </w:tcPr>
          <w:p>
            <w:pPr>
              <w:jc w:val="right"/>
              <w:ind w:right="363"/>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5"/>
        </w:trPr>
        <w:tc>
          <w:tcPr>
            <w:tcW w:w="20" w:type="dxa"/>
            <w:vAlign w:val="bottom"/>
            <w:shd w:val="clear" w:color="auto" w:fill="DCE2EF"/>
          </w:tcPr>
          <w:p>
            <w:pPr>
              <w:spacing w:after="0"/>
              <w:rPr>
                <w:sz w:val="17"/>
                <w:szCs w:val="17"/>
                <w:color w:val="auto"/>
              </w:rPr>
            </w:pPr>
          </w:p>
        </w:tc>
        <w:tc>
          <w:tcPr>
            <w:tcW w:w="3800" w:type="dxa"/>
            <w:vAlign w:val="bottom"/>
            <w:gridSpan w:val="3"/>
            <w:shd w:val="clear" w:color="auto" w:fill="DCE2EF"/>
          </w:tcPr>
          <w:p>
            <w:pPr>
              <w:ind w:left="160"/>
              <w:spacing w:after="0"/>
              <w:rPr>
                <w:sz w:val="20"/>
                <w:szCs w:val="20"/>
                <w:color w:val="auto"/>
              </w:rPr>
            </w:pPr>
            <w:r>
              <w:rPr>
                <w:rFonts w:ascii="Arial" w:cs="Arial" w:eastAsia="Arial" w:hAnsi="Arial"/>
                <w:sz w:val="15"/>
                <w:szCs w:val="15"/>
                <w:color w:val="auto"/>
              </w:rPr>
              <w:t>included in Technical Solutions</w:t>
            </w:r>
          </w:p>
        </w:tc>
        <w:tc>
          <w:tcPr>
            <w:tcW w:w="400" w:type="dxa"/>
            <w:vAlign w:val="bottom"/>
            <w:shd w:val="clear" w:color="auto" w:fill="DCE2EF"/>
          </w:tcPr>
          <w:p>
            <w:pPr>
              <w:spacing w:after="0"/>
              <w:rPr>
                <w:sz w:val="17"/>
                <w:szCs w:val="17"/>
                <w:color w:val="auto"/>
              </w:rPr>
            </w:pPr>
          </w:p>
        </w:tc>
        <w:tc>
          <w:tcPr>
            <w:tcW w:w="1020" w:type="dxa"/>
            <w:vAlign w:val="bottom"/>
            <w:shd w:val="clear" w:color="auto" w:fill="DCE2EF"/>
          </w:tcPr>
          <w:p>
            <w:pPr>
              <w:spacing w:after="0"/>
              <w:rPr>
                <w:sz w:val="17"/>
                <w:szCs w:val="17"/>
                <w:color w:val="auto"/>
              </w:rPr>
            </w:pPr>
          </w:p>
        </w:tc>
        <w:tc>
          <w:tcPr>
            <w:tcW w:w="420" w:type="dxa"/>
            <w:vAlign w:val="bottom"/>
            <w:tcBorders>
              <w:bottom w:val="single" w:sz="8" w:color="auto"/>
            </w:tcBorders>
            <w:shd w:val="clear" w:color="auto" w:fill="DCE2EF"/>
          </w:tcPr>
          <w:p>
            <w:pPr>
              <w:spacing w:after="0"/>
              <w:rPr>
                <w:sz w:val="17"/>
                <w:szCs w:val="17"/>
                <w:color w:val="auto"/>
              </w:rPr>
            </w:pPr>
          </w:p>
        </w:tc>
        <w:tc>
          <w:tcPr>
            <w:tcW w:w="1240" w:type="dxa"/>
            <w:vAlign w:val="bottom"/>
            <w:tcBorders>
              <w:bottom w:val="single" w:sz="8" w:color="auto"/>
            </w:tcBorders>
            <w:gridSpan w:val="2"/>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00" w:type="dxa"/>
            <w:vAlign w:val="bottom"/>
            <w:tcBorders>
              <w:bottom w:val="single" w:sz="8" w:color="auto"/>
            </w:tcBorders>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940" w:type="dxa"/>
            <w:vAlign w:val="bottom"/>
            <w:tcBorders>
              <w:bottom w:val="single" w:sz="8" w:color="auto"/>
            </w:tcBorders>
            <w:vMerge w:val="continue"/>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tcBorders>
              <w:bottom w:val="single" w:sz="8" w:color="auto"/>
            </w:tcBorders>
            <w:shd w:val="clear" w:color="auto" w:fill="DCE2EF"/>
          </w:tcPr>
          <w:p>
            <w:pPr>
              <w:spacing w:after="0"/>
              <w:rPr>
                <w:sz w:val="17"/>
                <w:szCs w:val="17"/>
                <w:color w:val="auto"/>
              </w:rPr>
            </w:pPr>
          </w:p>
        </w:tc>
        <w:tc>
          <w:tcPr>
            <w:tcW w:w="1080" w:type="dxa"/>
            <w:vAlign w:val="bottom"/>
            <w:tcBorders>
              <w:bottom w:val="single" w:sz="8" w:color="auto"/>
            </w:tcBorders>
            <w:vMerge w:val="continue"/>
            <w:shd w:val="clear" w:color="auto" w:fill="DCE2EF"/>
          </w:tcPr>
          <w:p>
            <w:pPr>
              <w:spacing w:after="0"/>
              <w:rPr>
                <w:sz w:val="17"/>
                <w:szCs w:val="17"/>
                <w:color w:val="auto"/>
              </w:rPr>
            </w:pPr>
          </w:p>
        </w:tc>
        <w:tc>
          <w:tcPr>
            <w:tcW w:w="1280" w:type="dxa"/>
            <w:vAlign w:val="bottom"/>
            <w:vMerge w:val="continue"/>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74.7</w:t>
            </w:r>
          </w:p>
        </w:tc>
        <w:tc>
          <w:tcPr>
            <w:tcW w:w="7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3"/>
              <w:spacing w:after="0"/>
              <w:rPr>
                <w:sz w:val="20"/>
                <w:szCs w:val="20"/>
                <w:color w:val="auto"/>
              </w:rPr>
            </w:pPr>
            <w:r>
              <w:rPr>
                <w:rFonts w:ascii="Arial" w:cs="Arial" w:eastAsia="Arial" w:hAnsi="Arial"/>
                <w:sz w:val="15"/>
                <w:szCs w:val="15"/>
                <w:color w:val="auto"/>
              </w:rPr>
              <w:t>77.6</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(2.9)</w:t>
            </w:r>
          </w:p>
        </w:tc>
        <w:tc>
          <w:tcPr>
            <w:tcW w:w="1280" w:type="dxa"/>
            <w:vAlign w:val="bottom"/>
          </w:tcPr>
          <w:p>
            <w:pPr>
              <w:jc w:val="center"/>
              <w:ind w:left="2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5"/>
                <w:szCs w:val="15"/>
                <w:color w:val="auto"/>
              </w:rPr>
              <w:t>*Not meaningful</w:t>
            </w: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2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820" w:type="dxa"/>
            <w:vAlign w:val="bottom"/>
            <w:gridSpan w:val="4"/>
          </w:tcPr>
          <w:p>
            <w:pPr>
              <w:ind w:left="20"/>
              <w:spacing w:after="0"/>
              <w:rPr>
                <w:sz w:val="20"/>
                <w:szCs w:val="20"/>
                <w:color w:val="auto"/>
              </w:rPr>
            </w:pPr>
            <w:r>
              <w:rPr>
                <w:rFonts w:ascii="Arial" w:cs="Arial" w:eastAsia="Arial" w:hAnsi="Arial"/>
                <w:sz w:val="15"/>
                <w:szCs w:val="15"/>
                <w:b w:val="1"/>
                <w:bCs w:val="1"/>
                <w:i w:val="1"/>
                <w:iCs w:val="1"/>
                <w:color w:val="0046AD"/>
              </w:rPr>
              <w:t>Business &amp; Industry</w:t>
            </w:r>
          </w:p>
        </w:tc>
        <w:tc>
          <w:tcPr>
            <w:tcW w:w="400" w:type="dxa"/>
            <w:vAlign w:val="bottom"/>
          </w:tcPr>
          <w:p>
            <w:pPr>
              <w:spacing w:after="0"/>
              <w:rPr>
                <w:sz w:val="24"/>
                <w:szCs w:val="24"/>
                <w:color w:val="auto"/>
              </w:rPr>
            </w:pPr>
          </w:p>
        </w:tc>
        <w:tc>
          <w:tcPr>
            <w:tcW w:w="3380" w:type="dxa"/>
            <w:vAlign w:val="bottom"/>
            <w:gridSpan w:val="6"/>
            <w:vMerge w:val="restart"/>
          </w:tcPr>
          <w:p>
            <w:pPr>
              <w:jc w:val="right"/>
              <w:ind w:right="680"/>
              <w:spacing w:after="0"/>
              <w:rPr>
                <w:sz w:val="20"/>
                <w:szCs w:val="20"/>
                <w:color w:val="auto"/>
              </w:rPr>
            </w:pPr>
            <w:r>
              <w:rPr>
                <w:rFonts w:ascii="Arial" w:cs="Arial" w:eastAsia="Arial" w:hAnsi="Arial"/>
                <w:sz w:val="15"/>
                <w:szCs w:val="15"/>
                <w:b w:val="1"/>
                <w:bCs w:val="1"/>
                <w:color w:val="auto"/>
              </w:rPr>
              <w:t>Three Months Ended January 31,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Pr>
          <w:p>
            <w:pPr>
              <w:spacing w:after="0"/>
              <w:rPr>
                <w:sz w:val="12"/>
                <w:szCs w:val="12"/>
                <w:color w:val="auto"/>
              </w:rPr>
            </w:pPr>
          </w:p>
        </w:tc>
        <w:tc>
          <w:tcPr>
            <w:tcW w:w="1020" w:type="dxa"/>
            <w:vAlign w:val="bottom"/>
          </w:tcPr>
          <w:p>
            <w:pPr>
              <w:jc w:val="right"/>
              <w:ind w:right="244"/>
              <w:spacing w:after="0" w:line="135" w:lineRule="exact"/>
              <w:rPr>
                <w:sz w:val="20"/>
                <w:szCs w:val="20"/>
                <w:color w:val="auto"/>
              </w:rPr>
            </w:pPr>
            <w:r>
              <w:rPr>
                <w:rFonts w:ascii="Arial" w:cs="Arial" w:eastAsia="Arial" w:hAnsi="Arial"/>
                <w:sz w:val="15"/>
                <w:szCs w:val="15"/>
                <w:b w:val="1"/>
                <w:bCs w:val="1"/>
                <w:color w:val="auto"/>
              </w:rPr>
              <w:t>2026</w:t>
            </w:r>
          </w:p>
        </w:tc>
        <w:tc>
          <w:tcPr>
            <w:tcW w:w="420" w:type="dxa"/>
            <w:vAlign w:val="bottom"/>
          </w:tcPr>
          <w:p>
            <w:pPr>
              <w:spacing w:after="0"/>
              <w:rPr>
                <w:sz w:val="12"/>
                <w:szCs w:val="12"/>
                <w:color w:val="auto"/>
              </w:rPr>
            </w:pPr>
          </w:p>
        </w:tc>
        <w:tc>
          <w:tcPr>
            <w:tcW w:w="1240" w:type="dxa"/>
            <w:vAlign w:val="bottom"/>
            <w:gridSpan w:val="2"/>
          </w:tcPr>
          <w:p>
            <w:pPr>
              <w:jc w:val="right"/>
              <w:ind w:right="40"/>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80" w:type="dxa"/>
            <w:vAlign w:val="bottom"/>
            <w:gridSpan w:val="4"/>
          </w:tcPr>
          <w:p>
            <w:pPr>
              <w:jc w:val="right"/>
              <w:ind w:right="90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4"/>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1,065.1</w:t>
            </w:r>
          </w:p>
        </w:tc>
        <w:tc>
          <w:tcPr>
            <w:tcW w:w="1240" w:type="dxa"/>
            <w:vAlign w:val="bottom"/>
            <w:gridSpan w:val="2"/>
            <w:shd w:val="clear" w:color="auto" w:fill="DCE2EF"/>
          </w:tcPr>
          <w:p>
            <w:pPr>
              <w:jc w:val="right"/>
              <w:ind w:right="10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w w:val="99"/>
              </w:rPr>
              <w:t>1,022.9</w:t>
            </w:r>
          </w:p>
        </w:tc>
        <w:tc>
          <w:tcPr>
            <w:tcW w:w="1060" w:type="dxa"/>
            <w:vAlign w:val="bottom"/>
            <w:gridSpan w:val="2"/>
            <w:shd w:val="clear" w:color="auto" w:fill="DCE2EF"/>
          </w:tcPr>
          <w:p>
            <w:pPr>
              <w:jc w:val="right"/>
              <w:ind w:right="763"/>
              <w:spacing w:after="0"/>
              <w:rPr>
                <w:sz w:val="20"/>
                <w:szCs w:val="20"/>
                <w:color w:val="auto"/>
              </w:rPr>
            </w:pPr>
            <w:r>
              <w:rPr>
                <w:rFonts w:ascii="Arial" w:cs="Arial" w:eastAsia="Arial" w:hAnsi="Arial"/>
                <w:sz w:val="15"/>
                <w:szCs w:val="15"/>
                <w:color w:val="auto"/>
              </w:rPr>
              <w:t>$</w:t>
            </w: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80" w:type="dxa"/>
            <w:vAlign w:val="bottom"/>
            <w:shd w:val="clear" w:color="auto" w:fill="DCE2EF"/>
          </w:tcPr>
          <w:p>
            <w:pPr>
              <w:jc w:val="right"/>
              <w:ind w:right="525"/>
              <w:spacing w:after="0"/>
              <w:rPr>
                <w:sz w:val="20"/>
                <w:szCs w:val="20"/>
                <w:color w:val="auto"/>
              </w:rPr>
            </w:pPr>
            <w:r>
              <w:rPr>
                <w:rFonts w:ascii="Arial" w:cs="Arial" w:eastAsia="Arial" w:hAnsi="Arial"/>
                <w:sz w:val="15"/>
                <w:szCs w:val="15"/>
                <w:color w:val="auto"/>
              </w:rPr>
              <w:t>42.2</w:t>
            </w:r>
          </w:p>
        </w:tc>
        <w:tc>
          <w:tcPr>
            <w:tcW w:w="128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5"/>
        </w:trPr>
        <w:tc>
          <w:tcPr>
            <w:tcW w:w="3820" w:type="dxa"/>
            <w:vAlign w:val="bottom"/>
            <w:gridSpan w:val="4"/>
          </w:tcPr>
          <w:p>
            <w:pPr>
              <w:ind w:left="20"/>
              <w:spacing w:after="0"/>
              <w:rPr>
                <w:sz w:val="20"/>
                <w:szCs w:val="20"/>
                <w:color w:val="auto"/>
              </w:rPr>
            </w:pPr>
            <w:r>
              <w:rPr>
                <w:rFonts w:ascii="Arial" w:cs="Arial" w:eastAsia="Arial" w:hAnsi="Arial"/>
                <w:sz w:val="15"/>
                <w:szCs w:val="15"/>
                <w:color w:val="auto"/>
              </w:rPr>
              <w:t>Operating profit</w:t>
            </w:r>
          </w:p>
        </w:tc>
        <w:tc>
          <w:tcPr>
            <w:tcW w:w="4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79.7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79.4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25"/>
              <w:spacing w:after="0"/>
              <w:rPr>
                <w:sz w:val="20"/>
                <w:szCs w:val="20"/>
                <w:color w:val="auto"/>
              </w:rPr>
            </w:pPr>
            <w:r>
              <w:rPr>
                <w:rFonts w:ascii="Arial" w:cs="Arial" w:eastAsia="Arial" w:hAnsi="Arial"/>
                <w:sz w:val="15"/>
                <w:szCs w:val="15"/>
                <w:color w:val="auto"/>
              </w:rPr>
              <w:t>0.3</w:t>
            </w:r>
          </w:p>
        </w:tc>
        <w:tc>
          <w:tcPr>
            <w:tcW w:w="1280" w:type="dxa"/>
            <w:vAlign w:val="bottom"/>
          </w:tcPr>
          <w:p>
            <w:pPr>
              <w:jc w:val="right"/>
              <w:ind w:right="603"/>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3"/>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44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700" w:type="dxa"/>
            <w:vAlign w:val="bottom"/>
            <w:gridSpan w:val="2"/>
            <w:shd w:val="clear" w:color="auto" w:fill="DCE2EF"/>
          </w:tcPr>
          <w:p>
            <w:pPr>
              <w:jc w:val="right"/>
              <w:ind w:right="20"/>
              <w:spacing w:after="0"/>
              <w:rPr>
                <w:sz w:val="20"/>
                <w:szCs w:val="20"/>
                <w:color w:val="auto"/>
              </w:rPr>
            </w:pPr>
            <w:r>
              <w:rPr>
                <w:rFonts w:ascii="Arial" w:cs="Arial" w:eastAsia="Arial" w:hAnsi="Arial"/>
                <w:sz w:val="14"/>
                <w:szCs w:val="14"/>
                <w:i w:val="1"/>
                <w:iCs w:val="1"/>
                <w:color w:val="auto"/>
              </w:rPr>
              <w:t>7.8%</w:t>
            </w:r>
          </w:p>
        </w:tc>
        <w:tc>
          <w:tcPr>
            <w:tcW w:w="12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80" w:type="dxa"/>
            <w:vAlign w:val="bottom"/>
            <w:shd w:val="clear" w:color="auto" w:fill="DCE2EF"/>
          </w:tcPr>
          <w:p>
            <w:pPr>
              <w:jc w:val="right"/>
              <w:ind w:right="465"/>
              <w:spacing w:after="0"/>
              <w:rPr>
                <w:sz w:val="20"/>
                <w:szCs w:val="20"/>
                <w:color w:val="auto"/>
              </w:rPr>
            </w:pPr>
            <w:r>
              <w:rPr>
                <w:rFonts w:ascii="Arial" w:cs="Arial" w:eastAsia="Arial" w:hAnsi="Arial"/>
                <w:sz w:val="14"/>
                <w:szCs w:val="14"/>
                <w:i w:val="1"/>
                <w:iCs w:val="1"/>
                <w:color w:val="auto"/>
              </w:rPr>
              <w:t>(28) bps</w:t>
            </w:r>
          </w:p>
        </w:tc>
        <w:tc>
          <w:tcPr>
            <w:tcW w:w="12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B&amp;I revenues increased by $42.2 million, or 4.1%, to $1,065.1 million during the three months ended January 31, 2026, as compared to the prior year period. The revenue increase was primarily driven by client expansions domestically and new client wins internationally as well as higher volumes of work orders across all geographies. This includes strategic pricing decisions for contract rebids and proactive extensions. Management reimbursement revenues for this segment totaled $73.8 million and $71.3 million for the three months ended January 31, 2026 and 2025, respectively.</w:t>
      </w:r>
    </w:p>
    <w:p>
      <w:pPr>
        <w:spacing w:after="0" w:line="11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profit increased by $0.3 million, or 0.4%, to $ 79.7 million during the three months ended January 31, 2026, as compared to the prior year period. Operating profit margin decreased by 28 bps to 7.5% in the three months ended January 31, 2026, from 7.8% in the prior year period. The decrease in operating profit margin was primarily driven by strategic pricing decisions for contract rebids and proactive extensions, and investments made in the second half of 2025 to hire certain sales expertise to support future growth, partially offset by operational efficiencies achieved through our Restructuring Program.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2"/>
        </w:trPr>
        <w:tc>
          <w:tcPr>
            <w:tcW w:w="384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Manufacturing &amp; Distribution</w:t>
            </w:r>
          </w:p>
        </w:tc>
        <w:tc>
          <w:tcPr>
            <w:tcW w:w="380" w:type="dxa"/>
            <w:vAlign w:val="bottom"/>
          </w:tcPr>
          <w:p>
            <w:pPr>
              <w:spacing w:after="0"/>
              <w:rPr>
                <w:sz w:val="18"/>
                <w:szCs w:val="18"/>
                <w:color w:val="auto"/>
              </w:rPr>
            </w:pPr>
          </w:p>
        </w:tc>
        <w:tc>
          <w:tcPr>
            <w:tcW w:w="3500" w:type="dxa"/>
            <w:vAlign w:val="bottom"/>
            <w:gridSpan w:val="5"/>
            <w:vMerge w:val="restart"/>
          </w:tcPr>
          <w:p>
            <w:pPr>
              <w:ind w:left="280"/>
              <w:spacing w:after="0"/>
              <w:rPr>
                <w:sz w:val="20"/>
                <w:szCs w:val="20"/>
                <w:color w:val="auto"/>
              </w:rPr>
            </w:pPr>
            <w:r>
              <w:rPr>
                <w:rFonts w:ascii="Arial" w:cs="Arial" w:eastAsia="Arial" w:hAnsi="Arial"/>
                <w:sz w:val="15"/>
                <w:szCs w:val="15"/>
                <w:b w:val="1"/>
                <w:bCs w:val="1"/>
                <w:color w:val="auto"/>
              </w:rPr>
              <w:t>Three Months Ended January 31,</w:t>
            </w: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gridSpan w:val="2"/>
          </w:tcPr>
          <w:p>
            <w:pPr>
              <w:jc w:val="right"/>
              <w:ind w:right="90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4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422.3</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394.3</w:t>
            </w:r>
          </w:p>
        </w:tc>
        <w:tc>
          <w:tcPr>
            <w:tcW w:w="120" w:type="dxa"/>
            <w:vAlign w:val="bottom"/>
            <w:shd w:val="clear" w:color="auto" w:fill="DCE2EF"/>
          </w:tcPr>
          <w:p>
            <w:pPr>
              <w:spacing w:after="0"/>
              <w:rPr>
                <w:sz w:val="17"/>
                <w:szCs w:val="17"/>
                <w:color w:val="auto"/>
              </w:rPr>
            </w:pPr>
          </w:p>
        </w:tc>
        <w:tc>
          <w:tcPr>
            <w:tcW w:w="540" w:type="dxa"/>
            <w:vAlign w:val="bottom"/>
            <w:shd w:val="clear" w:color="auto" w:fill="DCE2EF"/>
          </w:tcPr>
          <w:p>
            <w:pPr>
              <w:jc w:val="right"/>
              <w:ind w:right="36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28.0</w:t>
            </w:r>
          </w:p>
        </w:tc>
        <w:tc>
          <w:tcPr>
            <w:tcW w:w="14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5"/>
        </w:trPr>
        <w:tc>
          <w:tcPr>
            <w:tcW w:w="384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38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39.4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306"/>
              <w:spacing w:after="0"/>
              <w:rPr>
                <w:sz w:val="20"/>
                <w:szCs w:val="20"/>
                <w:color w:val="auto"/>
              </w:rPr>
            </w:pPr>
            <w:r>
              <w:rPr>
                <w:rFonts w:ascii="Arial" w:cs="Arial" w:eastAsia="Arial" w:hAnsi="Arial"/>
                <w:sz w:val="15"/>
                <w:szCs w:val="15"/>
                <w:color w:val="auto"/>
              </w:rPr>
              <w:t>(3.1)</w:t>
            </w:r>
          </w:p>
        </w:tc>
        <w:tc>
          <w:tcPr>
            <w:tcW w:w="1460" w:type="dxa"/>
            <w:vAlign w:val="bottom"/>
          </w:tcPr>
          <w:p>
            <w:pPr>
              <w:jc w:val="right"/>
              <w:ind w:right="543"/>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2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8.6%</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10.0%</w:t>
            </w:r>
          </w:p>
        </w:tc>
        <w:tc>
          <w:tcPr>
            <w:tcW w:w="120" w:type="dxa"/>
            <w:vAlign w:val="bottom"/>
            <w:shd w:val="clear" w:color="auto" w:fill="DCE2EF"/>
          </w:tcPr>
          <w:p>
            <w:pPr>
              <w:spacing w:after="0"/>
              <w:rPr>
                <w:sz w:val="16"/>
                <w:szCs w:val="16"/>
                <w:color w:val="auto"/>
              </w:rPr>
            </w:pPr>
          </w:p>
        </w:tc>
        <w:tc>
          <w:tcPr>
            <w:tcW w:w="54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(139)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M&amp;D revenues increased by $28.0 million, or 7.1%, to $422.3 million during the three months ended January 31, 2026, as compared to the prior year period. The increase was primarily attributable to the expansion of business with existing clients and new business wins.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$3.1 million, or 7.7%, to $36.3 million during the three months ended January 31, 2026, as compared to the prior year period. Operating profit margin decreased by 139 bps to 8.6% in the three months ended January 31, 2026, from 10.0% in the prior year period. The decrease in operating profit margin was primarily attributable to contract mix and investments made in the second half of 2025 to hire certain technical expertise to support future growth.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Aviation</w:t>
            </w:r>
          </w:p>
        </w:tc>
        <w:tc>
          <w:tcPr>
            <w:tcW w:w="380" w:type="dxa"/>
            <w:vAlign w:val="bottom"/>
          </w:tcPr>
          <w:p>
            <w:pPr>
              <w:spacing w:after="0"/>
              <w:rPr>
                <w:sz w:val="18"/>
                <w:szCs w:val="18"/>
                <w:color w:val="auto"/>
              </w:rPr>
            </w:pPr>
          </w:p>
        </w:tc>
        <w:tc>
          <w:tcPr>
            <w:tcW w:w="3500" w:type="dxa"/>
            <w:vAlign w:val="bottom"/>
            <w:gridSpan w:val="5"/>
            <w:vMerge w:val="restart"/>
          </w:tcPr>
          <w:p>
            <w:pPr>
              <w:ind w:left="300"/>
              <w:spacing w:after="0"/>
              <w:rPr>
                <w:sz w:val="20"/>
                <w:szCs w:val="20"/>
                <w:color w:val="auto"/>
              </w:rPr>
            </w:pPr>
            <w:r>
              <w:rPr>
                <w:rFonts w:ascii="Arial" w:cs="Arial" w:eastAsia="Arial" w:hAnsi="Arial"/>
                <w:sz w:val="15"/>
                <w:szCs w:val="15"/>
                <w:b w:val="1"/>
                <w:bCs w:val="1"/>
                <w:color w:val="auto"/>
              </w:rPr>
              <w:t>Three Months Ended January 31,</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gridSpan w:val="2"/>
          </w:tcPr>
          <w:p>
            <w:pPr>
              <w:ind w:left="440"/>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297.7</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270.1</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CE2EF"/>
          </w:tcPr>
          <w:p>
            <w:pPr>
              <w:jc w:val="right"/>
              <w:ind w:right="346"/>
              <w:spacing w:after="0"/>
              <w:rPr>
                <w:sz w:val="20"/>
                <w:szCs w:val="20"/>
                <w:color w:val="auto"/>
              </w:rPr>
            </w:pPr>
            <w:r>
              <w:rPr>
                <w:rFonts w:ascii="Arial" w:cs="Arial" w:eastAsia="Arial" w:hAnsi="Arial"/>
                <w:sz w:val="15"/>
                <w:szCs w:val="15"/>
                <w:color w:val="auto"/>
              </w:rPr>
              <w:t>27.6</w:t>
            </w:r>
          </w:p>
        </w:tc>
        <w:tc>
          <w:tcPr>
            <w:tcW w:w="146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38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jc w:val="right"/>
              <w:ind w:right="346"/>
              <w:spacing w:after="0"/>
              <w:rPr>
                <w:sz w:val="20"/>
                <w:szCs w:val="20"/>
                <w:color w:val="auto"/>
              </w:rPr>
            </w:pPr>
            <w:r>
              <w:rPr>
                <w:rFonts w:ascii="Arial" w:cs="Arial" w:eastAsia="Arial" w:hAnsi="Arial"/>
                <w:sz w:val="15"/>
                <w:szCs w:val="15"/>
                <w:color w:val="auto"/>
              </w:rPr>
              <w:t>0.4</w:t>
            </w:r>
          </w:p>
        </w:tc>
        <w:tc>
          <w:tcPr>
            <w:tcW w:w="1460" w:type="dxa"/>
            <w:vAlign w:val="bottom"/>
          </w:tcPr>
          <w:p>
            <w:pPr>
              <w:jc w:val="right"/>
              <w:ind w:right="603"/>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4.2 %</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4.5 %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20" w:type="dxa"/>
            <w:vAlign w:val="bottom"/>
            <w:shd w:val="clear" w:color="auto" w:fill="DCE2EF"/>
          </w:tcPr>
          <w:p>
            <w:pPr>
              <w:jc w:val="right"/>
              <w:ind w:right="286"/>
              <w:spacing w:after="0"/>
              <w:rPr>
                <w:sz w:val="20"/>
                <w:szCs w:val="20"/>
                <w:color w:val="auto"/>
              </w:rPr>
            </w:pPr>
            <w:r>
              <w:rPr>
                <w:rFonts w:ascii="Arial" w:cs="Arial" w:eastAsia="Arial" w:hAnsi="Arial"/>
                <w:sz w:val="14"/>
                <w:szCs w:val="14"/>
                <w:i w:val="1"/>
                <w:iCs w:val="1"/>
                <w:color w:val="auto"/>
              </w:rPr>
              <w:t>(31) bps</w:t>
            </w:r>
          </w:p>
        </w:tc>
        <w:tc>
          <w:tcPr>
            <w:tcW w:w="14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Aviation revenues increased by $27.6 million, or 10.2%, to $297.7 million during the three months ended January 31, 2026, as compared to the prior year period. The increase was primarily attributable to new business wins in the second half of 2025 and scope expansions with existing clients both domestically and internationally. Management reimbursement revenues for this segment totaled $15.6 million and $10.6 million for the three months ended January 31, 2026 and 2025, respectively.</w:t>
      </w:r>
    </w:p>
    <w:p>
      <w:pPr>
        <w:spacing w:after="0" w:line="11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Operating profit increased by $0.4 million, or 2.7%, to $ 12.6 million for the three months ended January 31, 2026, as compared to the prior year period. Operating profit margin decreased by 31 bps to 4.2% in the three months ended January 31, 2026. The operating profit margin decreased primarily due to weather-related disruptions at airport locations.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Education</w:t>
            </w:r>
          </w:p>
        </w:tc>
        <w:tc>
          <w:tcPr>
            <w:tcW w:w="400" w:type="dxa"/>
            <w:vAlign w:val="bottom"/>
          </w:tcPr>
          <w:p>
            <w:pPr>
              <w:spacing w:after="0"/>
              <w:rPr>
                <w:sz w:val="18"/>
                <w:szCs w:val="18"/>
                <w:color w:val="auto"/>
              </w:rPr>
            </w:pPr>
          </w:p>
        </w:tc>
        <w:tc>
          <w:tcPr>
            <w:tcW w:w="3500" w:type="dxa"/>
            <w:vAlign w:val="bottom"/>
            <w:gridSpan w:val="5"/>
            <w:vMerge w:val="restart"/>
          </w:tcPr>
          <w:p>
            <w:pPr>
              <w:ind w:left="280"/>
              <w:spacing w:after="0"/>
              <w:rPr>
                <w:sz w:val="20"/>
                <w:szCs w:val="20"/>
                <w:color w:val="auto"/>
              </w:rPr>
            </w:pPr>
            <w:r>
              <w:rPr>
                <w:rFonts w:ascii="Arial" w:cs="Arial" w:eastAsia="Arial" w:hAnsi="Arial"/>
                <w:sz w:val="15"/>
                <w:szCs w:val="15"/>
                <w:b w:val="1"/>
                <w:bCs w:val="1"/>
                <w:color w:val="auto"/>
              </w:rPr>
              <w:t>Three Months Ended January 31,</w:t>
            </w: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5"/>
              <w:spacing w:after="0" w:line="135" w:lineRule="exact"/>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ind w:left="800"/>
              <w:spacing w:after="0" w:line="128"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228.7</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225.3</w:t>
            </w:r>
          </w:p>
        </w:tc>
        <w:tc>
          <w:tcPr>
            <w:tcW w:w="120" w:type="dxa"/>
            <w:vAlign w:val="bottom"/>
            <w:shd w:val="clear" w:color="auto" w:fill="DCE2EF"/>
          </w:tcPr>
          <w:p>
            <w:pPr>
              <w:spacing w:after="0"/>
              <w:rPr>
                <w:sz w:val="17"/>
                <w:szCs w:val="17"/>
                <w:color w:val="auto"/>
              </w:rPr>
            </w:pPr>
          </w:p>
        </w:tc>
        <w:tc>
          <w:tcPr>
            <w:tcW w:w="640" w:type="dxa"/>
            <w:vAlign w:val="bottom"/>
            <w:shd w:val="clear" w:color="auto" w:fill="DCE2EF"/>
          </w:tcPr>
          <w:p>
            <w:pPr>
              <w:jc w:val="right"/>
              <w:ind w:right="46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CE2EF"/>
          </w:tcPr>
          <w:p>
            <w:pPr>
              <w:ind w:left="780"/>
              <w:spacing w:after="0"/>
              <w:rPr>
                <w:sz w:val="20"/>
                <w:szCs w:val="20"/>
                <w:color w:val="auto"/>
              </w:rPr>
            </w:pPr>
            <w:r>
              <w:rPr>
                <w:rFonts w:ascii="Arial" w:cs="Arial" w:eastAsia="Arial" w:hAnsi="Arial"/>
                <w:sz w:val="15"/>
                <w:szCs w:val="15"/>
                <w:color w:val="auto"/>
              </w:rPr>
              <w:t>3.4</w:t>
            </w:r>
          </w:p>
        </w:tc>
        <w:tc>
          <w:tcPr>
            <w:tcW w:w="126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40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105"/>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ind w:left="780"/>
              <w:spacing w:after="0"/>
              <w:rPr>
                <w:sz w:val="20"/>
                <w:szCs w:val="20"/>
                <w:color w:val="auto"/>
              </w:rPr>
            </w:pPr>
            <w:r>
              <w:rPr>
                <w:rFonts w:ascii="Arial" w:cs="Arial" w:eastAsia="Arial" w:hAnsi="Arial"/>
                <w:sz w:val="15"/>
                <w:szCs w:val="15"/>
                <w:color w:val="auto"/>
              </w:rPr>
              <w:t>7.6</w:t>
            </w:r>
          </w:p>
        </w:tc>
        <w:tc>
          <w:tcPr>
            <w:tcW w:w="1260" w:type="dxa"/>
            <w:vAlign w:val="bottom"/>
          </w:tcPr>
          <w:p>
            <w:pPr>
              <w:jc w:val="right"/>
              <w:ind w:right="563"/>
              <w:spacing w:after="0"/>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9.4%</w:t>
            </w:r>
          </w:p>
        </w:tc>
        <w:tc>
          <w:tcPr>
            <w:tcW w:w="10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6.2 %</w:t>
            </w:r>
          </w:p>
        </w:tc>
        <w:tc>
          <w:tcPr>
            <w:tcW w:w="120" w:type="dxa"/>
            <w:vAlign w:val="bottom"/>
            <w:shd w:val="clear" w:color="auto" w:fill="DCE2EF"/>
          </w:tcPr>
          <w:p>
            <w:pPr>
              <w:spacing w:after="0"/>
              <w:rPr>
                <w:sz w:val="16"/>
                <w:szCs w:val="16"/>
                <w:color w:val="auto"/>
              </w:rPr>
            </w:pPr>
          </w:p>
        </w:tc>
        <w:tc>
          <w:tcPr>
            <w:tcW w:w="640" w:type="dxa"/>
            <w:vAlign w:val="bottom"/>
            <w:shd w:val="clear" w:color="auto" w:fill="DCE2EF"/>
          </w:tcPr>
          <w:p>
            <w:pPr>
              <w:spacing w:after="0"/>
              <w:rPr>
                <w:sz w:val="16"/>
                <w:szCs w:val="16"/>
                <w:color w:val="auto"/>
              </w:rPr>
            </w:pPr>
          </w:p>
        </w:tc>
        <w:tc>
          <w:tcPr>
            <w:tcW w:w="1620" w:type="dxa"/>
            <w:vAlign w:val="bottom"/>
            <w:shd w:val="clear" w:color="auto" w:fill="DCE2EF"/>
          </w:tcPr>
          <w:p>
            <w:pPr>
              <w:ind w:left="560"/>
              <w:spacing w:after="0"/>
              <w:rPr>
                <w:sz w:val="20"/>
                <w:szCs w:val="20"/>
                <w:color w:val="auto"/>
              </w:rPr>
            </w:pPr>
            <w:r>
              <w:rPr>
                <w:rFonts w:ascii="Arial" w:cs="Arial" w:eastAsia="Arial" w:hAnsi="Arial"/>
                <w:sz w:val="14"/>
                <w:szCs w:val="14"/>
                <w:i w:val="1"/>
                <w:iCs w:val="1"/>
                <w:color w:val="auto"/>
              </w:rPr>
              <w:t>322 bps</w:t>
            </w:r>
          </w:p>
        </w:tc>
        <w:tc>
          <w:tcPr>
            <w:tcW w:w="126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Education revenues increased by $3.4 million, or 1.5%, to $228.7 million during the three months ended January 31, 2026, as compared to the prior year period. The increase was primarily attributable to new business wins.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increased by $7.6 million, or 54.2%, to $21.6 million for the three months ended January 31, 2026, as compared to the prior year period. Operating profit margin increased by 322 bps to 9.4% in the three months ended January 31, 2026, from 6.2% in the prior year period. The increase in operating profit margin was primarily attributable to operational efficiencies, partially aided by the impact of weather-related school closures on operating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2"/>
        </w:trPr>
        <w:tc>
          <w:tcPr>
            <w:tcW w:w="382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Technical Solutions</w:t>
            </w:r>
          </w:p>
        </w:tc>
        <w:tc>
          <w:tcPr>
            <w:tcW w:w="380" w:type="dxa"/>
            <w:vAlign w:val="bottom"/>
          </w:tcPr>
          <w:p>
            <w:pPr>
              <w:spacing w:after="0"/>
              <w:rPr>
                <w:sz w:val="18"/>
                <w:szCs w:val="18"/>
                <w:color w:val="auto"/>
              </w:rPr>
            </w:pPr>
          </w:p>
        </w:tc>
        <w:tc>
          <w:tcPr>
            <w:tcW w:w="3500" w:type="dxa"/>
            <w:vAlign w:val="bottom"/>
            <w:gridSpan w:val="5"/>
            <w:vMerge w:val="restart"/>
          </w:tcPr>
          <w:p>
            <w:pPr>
              <w:ind w:left="300"/>
              <w:spacing w:after="0"/>
              <w:rPr>
                <w:sz w:val="20"/>
                <w:szCs w:val="20"/>
                <w:color w:val="auto"/>
              </w:rPr>
            </w:pPr>
            <w:r>
              <w:rPr>
                <w:rFonts w:ascii="Arial" w:cs="Arial" w:eastAsia="Arial" w:hAnsi="Arial"/>
                <w:sz w:val="15"/>
                <w:szCs w:val="15"/>
                <w:b w:val="1"/>
                <w:bCs w:val="1"/>
                <w:color w:val="auto"/>
              </w:rPr>
              <w:t>Three Months Ended January 31,</w:t>
            </w: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64"/>
              <w:spacing w:after="0" w:line="135" w:lineRule="exact"/>
              <w:rPr>
                <w:sz w:val="20"/>
                <w:szCs w:val="20"/>
                <w:color w:val="auto"/>
              </w:rPr>
            </w:pPr>
            <w:r>
              <w:rPr>
                <w:rFonts w:ascii="Arial" w:cs="Arial" w:eastAsia="Arial" w:hAnsi="Arial"/>
                <w:sz w:val="15"/>
                <w:szCs w:val="15"/>
                <w:b w:val="1"/>
                <w:bCs w:val="1"/>
                <w:color w:val="auto"/>
              </w:rPr>
              <w:t>2026</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85"/>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gridSpan w:val="2"/>
          </w:tcPr>
          <w:p>
            <w:pPr>
              <w:jc w:val="right"/>
              <w:ind w:right="923"/>
              <w:spacing w:after="0" w:line="128" w:lineRule="exact"/>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DCE2EF"/>
          </w:tcPr>
          <w:p>
            <w:pPr>
              <w:jc w:val="right"/>
              <w:ind w:right="2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CE2EF"/>
          </w:tcPr>
          <w:p>
            <w:pPr>
              <w:jc w:val="right"/>
              <w:ind w:right="104"/>
              <w:spacing w:after="0"/>
              <w:rPr>
                <w:sz w:val="20"/>
                <w:szCs w:val="20"/>
                <w:color w:val="auto"/>
              </w:rPr>
            </w:pPr>
            <w:r>
              <w:rPr>
                <w:rFonts w:ascii="Arial" w:cs="Arial" w:eastAsia="Arial" w:hAnsi="Arial"/>
                <w:sz w:val="15"/>
                <w:szCs w:val="15"/>
                <w:color w:val="auto"/>
              </w:rPr>
              <w:t>229.7</w:t>
            </w:r>
          </w:p>
        </w:tc>
        <w:tc>
          <w:tcPr>
            <w:tcW w:w="12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CE2EF"/>
          </w:tcPr>
          <w:p>
            <w:pPr>
              <w:jc w:val="right"/>
              <w:ind w:right="105"/>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DCE2EF"/>
          </w:tcPr>
          <w:p>
            <w:pPr>
              <w:spacing w:after="0"/>
              <w:rPr>
                <w:sz w:val="17"/>
                <w:szCs w:val="17"/>
                <w:color w:val="auto"/>
              </w:rPr>
            </w:pPr>
          </w:p>
        </w:tc>
        <w:tc>
          <w:tcPr>
            <w:tcW w:w="560" w:type="dxa"/>
            <w:vAlign w:val="bottom"/>
            <w:shd w:val="clear" w:color="auto" w:fill="DCE2EF"/>
          </w:tcPr>
          <w:p>
            <w:pPr>
              <w:jc w:val="right"/>
              <w:ind w:right="3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CE2EF"/>
          </w:tcPr>
          <w:p>
            <w:pPr>
              <w:jc w:val="right"/>
              <w:ind w:right="326"/>
              <w:spacing w:after="0"/>
              <w:rPr>
                <w:sz w:val="20"/>
                <w:szCs w:val="20"/>
                <w:color w:val="auto"/>
              </w:rPr>
            </w:pPr>
            <w:r>
              <w:rPr>
                <w:rFonts w:ascii="Arial" w:cs="Arial" w:eastAsia="Arial" w:hAnsi="Arial"/>
                <w:sz w:val="15"/>
                <w:szCs w:val="15"/>
                <w:color w:val="auto"/>
              </w:rPr>
              <w:t>27.4</w:t>
            </w:r>
          </w:p>
        </w:tc>
        <w:tc>
          <w:tcPr>
            <w:tcW w:w="1480" w:type="dxa"/>
            <w:vAlign w:val="bottom"/>
            <w:shd w:val="clear" w:color="auto" w:fill="DCE2EF"/>
          </w:tcPr>
          <w:p>
            <w:pPr>
              <w:jc w:val="right"/>
              <w:ind w:right="563"/>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5"/>
        </w:trPr>
        <w:tc>
          <w:tcPr>
            <w:tcW w:w="3820" w:type="dxa"/>
            <w:vAlign w:val="bottom"/>
            <w:gridSpan w:val="3"/>
          </w:tcPr>
          <w:p>
            <w:pPr>
              <w:ind w:left="20"/>
              <w:spacing w:after="0"/>
              <w:rPr>
                <w:sz w:val="20"/>
                <w:szCs w:val="20"/>
                <w:color w:val="auto"/>
              </w:rPr>
            </w:pPr>
            <w:r>
              <w:rPr>
                <w:rFonts w:ascii="Arial" w:cs="Arial" w:eastAsia="Arial" w:hAnsi="Arial"/>
                <w:sz w:val="15"/>
                <w:szCs w:val="15"/>
                <w:color w:val="auto"/>
              </w:rPr>
              <w:t>Operating profit</w:t>
            </w:r>
          </w:p>
        </w:tc>
        <w:tc>
          <w:tcPr>
            <w:tcW w:w="380" w:type="dxa"/>
            <w:vAlign w:val="bottom"/>
          </w:tcPr>
          <w:p>
            <w:pPr>
              <w:spacing w:after="0"/>
              <w:rPr>
                <w:sz w:val="17"/>
                <w:szCs w:val="17"/>
                <w:color w:val="auto"/>
              </w:rPr>
            </w:pP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jc w:val="right"/>
              <w:ind w:right="286"/>
              <w:spacing w:after="0"/>
              <w:rPr>
                <w:sz w:val="20"/>
                <w:szCs w:val="20"/>
                <w:color w:val="auto"/>
              </w:rPr>
            </w:pPr>
            <w:r>
              <w:rPr>
                <w:rFonts w:ascii="Arial" w:cs="Arial" w:eastAsia="Arial" w:hAnsi="Arial"/>
                <w:sz w:val="15"/>
                <w:szCs w:val="15"/>
                <w:color w:val="auto"/>
              </w:rPr>
              <w:t>(8.2)</w:t>
            </w:r>
          </w:p>
        </w:tc>
        <w:tc>
          <w:tcPr>
            <w:tcW w:w="1480" w:type="dxa"/>
            <w:vAlign w:val="bottom"/>
          </w:tcPr>
          <w:p>
            <w:pPr>
              <w:jc w:val="right"/>
              <w:ind w:right="503"/>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94"/>
        </w:trPr>
        <w:tc>
          <w:tcPr>
            <w:tcW w:w="20" w:type="dxa"/>
            <w:vAlign w:val="bottom"/>
            <w:shd w:val="clear" w:color="auto" w:fill="DCE2EF"/>
          </w:tcPr>
          <w:p>
            <w:pPr>
              <w:spacing w:after="0"/>
              <w:rPr>
                <w:sz w:val="16"/>
                <w:szCs w:val="16"/>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shd w:val="clear" w:color="auto" w:fill="DCE2EF"/>
          </w:tcPr>
          <w:p>
            <w:pPr>
              <w:spacing w:after="0"/>
              <w:rPr>
                <w:sz w:val="16"/>
                <w:szCs w:val="16"/>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shd w:val="clear" w:color="auto" w:fill="DCE2EF"/>
          </w:tcPr>
          <w:p>
            <w:pPr>
              <w:spacing w:after="0"/>
              <w:rPr>
                <w:sz w:val="16"/>
                <w:szCs w:val="16"/>
                <w:color w:val="auto"/>
              </w:rPr>
            </w:pPr>
          </w:p>
        </w:tc>
        <w:tc>
          <w:tcPr>
            <w:tcW w:w="420" w:type="dxa"/>
            <w:vAlign w:val="bottom"/>
            <w:shd w:val="clear" w:color="auto" w:fill="DCE2EF"/>
          </w:tcPr>
          <w:p>
            <w:pPr>
              <w:spacing w:after="0"/>
              <w:rPr>
                <w:sz w:val="16"/>
                <w:szCs w:val="16"/>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8.2 %</w:t>
            </w:r>
          </w:p>
        </w:tc>
        <w:tc>
          <w:tcPr>
            <w:tcW w:w="100" w:type="dxa"/>
            <w:vAlign w:val="bottom"/>
            <w:shd w:val="clear" w:color="auto" w:fill="DCE2EF"/>
          </w:tcPr>
          <w:p>
            <w:pPr>
              <w:spacing w:after="0"/>
              <w:rPr>
                <w:sz w:val="16"/>
                <w:szCs w:val="16"/>
                <w:color w:val="auto"/>
              </w:rPr>
            </w:pPr>
          </w:p>
        </w:tc>
        <w:tc>
          <w:tcPr>
            <w:tcW w:w="560" w:type="dxa"/>
            <w:vAlign w:val="bottom"/>
            <w:shd w:val="clear" w:color="auto" w:fill="DCE2EF"/>
          </w:tcPr>
          <w:p>
            <w:pPr>
              <w:spacing w:after="0"/>
              <w:rPr>
                <w:sz w:val="16"/>
                <w:szCs w:val="16"/>
                <w:color w:val="auto"/>
              </w:rPr>
            </w:pPr>
          </w:p>
        </w:tc>
        <w:tc>
          <w:tcPr>
            <w:tcW w:w="1500" w:type="dxa"/>
            <w:vAlign w:val="bottom"/>
            <w:shd w:val="clear" w:color="auto" w:fill="DCE2EF"/>
          </w:tcPr>
          <w:p>
            <w:pPr>
              <w:jc w:val="right"/>
              <w:ind w:right="266"/>
              <w:spacing w:after="0"/>
              <w:rPr>
                <w:sz w:val="20"/>
                <w:szCs w:val="20"/>
                <w:color w:val="auto"/>
              </w:rPr>
            </w:pPr>
            <w:r>
              <w:rPr>
                <w:rFonts w:ascii="Arial" w:cs="Arial" w:eastAsia="Arial" w:hAnsi="Arial"/>
                <w:sz w:val="14"/>
                <w:szCs w:val="14"/>
                <w:i w:val="1"/>
                <w:iCs w:val="1"/>
                <w:color w:val="auto"/>
              </w:rPr>
              <w:t>(452) bps</w:t>
            </w: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Technical Solutions revenues increased by $27.4 million, or 13.6%, to $229.7 million during the three months ended January 31, 2026, as compared to the prior year period. Revenue growth was comprised of organic growth of 7.1% and acquisition growth of 6.4%. The organic revenue growth was primarily driven by our Mission Critical business, reflecting higher project and recurring services revenues associated with mission-critical infrastructure and data center solutions. Acquisition growth was driven by a $13.0 million revenue increase from the LMC Acquisition.</w:t>
      </w:r>
    </w:p>
    <w:p>
      <w:pPr>
        <w:spacing w:after="0" w:line="11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Operating profit decreased by $8.2 million, or 49.0%, to $8.4 million during the three months ended January 31, 2026, as compared to the prior year period. Operating profit margin decreased by 452 bps to 3.7% in the three months ended January 31, 2026, from 8.2% in the prior year period. The decrease in operating profit margin was primarily attributable to service mix, as well as temporary weather-related delays in the completion of certain projects.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0046AD"/>
              </w:rPr>
              <w:t>Corporate</w:t>
            </w:r>
          </w:p>
        </w:tc>
        <w:tc>
          <w:tcPr>
            <w:tcW w:w="3080" w:type="dxa"/>
            <w:vAlign w:val="bottom"/>
            <w:gridSpan w:val="4"/>
            <w:vMerge w:val="restart"/>
          </w:tcPr>
          <w:p>
            <w:pPr>
              <w:jc w:val="right"/>
              <w:ind w:right="3"/>
              <w:spacing w:after="0"/>
              <w:rPr>
                <w:sz w:val="20"/>
                <w:szCs w:val="20"/>
                <w:color w:val="auto"/>
              </w:rPr>
            </w:pPr>
            <w:r>
              <w:rPr>
                <w:rFonts w:ascii="Arial" w:cs="Arial" w:eastAsia="Arial" w:hAnsi="Arial"/>
                <w:sz w:val="15"/>
                <w:szCs w:val="15"/>
                <w:b w:val="1"/>
                <w:bCs w:val="1"/>
                <w:color w:val="auto"/>
              </w:rPr>
              <w:t>Three Months Ended January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80" w:type="dxa"/>
            <w:vAlign w:val="bottom"/>
            <w:tcBorders>
              <w:bottom w:val="single" w:sz="8" w:color="auto"/>
            </w:tcBorders>
            <w:gridSpan w:val="4"/>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63"/>
              <w:spacing w:after="0" w:line="135" w:lineRule="exact"/>
              <w:rPr>
                <w:sz w:val="20"/>
                <w:szCs w:val="20"/>
                <w:color w:val="auto"/>
              </w:rPr>
            </w:pPr>
            <w:r>
              <w:rPr>
                <w:rFonts w:ascii="Arial" w:cs="Arial" w:eastAsia="Arial" w:hAnsi="Arial"/>
                <w:sz w:val="15"/>
                <w:szCs w:val="15"/>
                <w:b w:val="1"/>
                <w:bCs w:val="1"/>
                <w:color w:val="auto"/>
              </w:rPr>
              <w:t>2026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123"/>
              <w:spacing w:after="0" w:line="135" w:lineRule="exact"/>
              <w:rPr>
                <w:sz w:val="20"/>
                <w:szCs w:val="20"/>
                <w:color w:val="auto"/>
              </w:rPr>
            </w:pPr>
            <w:r>
              <w:rPr>
                <w:rFonts w:ascii="Arial" w:cs="Arial" w:eastAsia="Arial" w:hAnsi="Arial"/>
                <w:sz w:val="15"/>
                <w:szCs w:val="15"/>
                <w:b w:val="1"/>
                <w:bCs w:val="1"/>
                <w:color w:val="auto"/>
              </w:rPr>
              <w:t>2025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60" w:type="dxa"/>
            <w:vAlign w:val="bottom"/>
          </w:tcPr>
          <w:p>
            <w:pPr>
              <w:jc w:val="right"/>
              <w:ind w:right="465"/>
              <w:spacing w:after="0" w:line="128" w:lineRule="exact"/>
              <w:rPr>
                <w:sz w:val="20"/>
                <w:szCs w:val="20"/>
                <w:color w:val="auto"/>
              </w:rPr>
            </w:pPr>
            <w:r>
              <w:rPr>
                <w:rFonts w:ascii="Arial" w:cs="Arial" w:eastAsia="Arial" w:hAnsi="Arial"/>
                <w:sz w:val="14"/>
                <w:szCs w:val="14"/>
                <w:b w:val="1"/>
                <w:bCs w:val="1"/>
                <w:color w:val="auto"/>
              </w:rPr>
              <w:t>Decrease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DCE2EF"/>
            </w:tcBorders>
          </w:tcPr>
          <w:p>
            <w:pPr>
              <w:spacing w:after="0"/>
              <w:rPr>
                <w:sz w:val="2"/>
                <w:szCs w:val="2"/>
                <w:color w:val="auto"/>
              </w:rPr>
            </w:pPr>
          </w:p>
        </w:tc>
        <w:tc>
          <w:tcPr>
            <w:tcW w:w="780" w:type="dxa"/>
            <w:vAlign w:val="bottom"/>
            <w:tcBorders>
              <w:top w:val="single" w:sz="8" w:color="auto"/>
              <w:bottom w:val="single" w:sz="8" w:color="DCE2EF"/>
            </w:tcBorders>
          </w:tcPr>
          <w:p>
            <w:pPr>
              <w:spacing w:after="0"/>
              <w:rPr>
                <w:sz w:val="2"/>
                <w:szCs w:val="2"/>
                <w:color w:val="auto"/>
              </w:rPr>
            </w:pPr>
          </w:p>
        </w:tc>
        <w:tc>
          <w:tcPr>
            <w:tcW w:w="306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86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Corporate expenses</w:t>
            </w:r>
          </w:p>
        </w:tc>
        <w:tc>
          <w:tcPr>
            <w:tcW w:w="1180" w:type="dxa"/>
            <w:vAlign w:val="bottom"/>
            <w:shd w:val="clear" w:color="auto" w:fill="DCE2EF"/>
          </w:tcPr>
          <w:p>
            <w:pPr>
              <w:jc w:val="right"/>
              <w:ind w:right="10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DCE2EF"/>
          </w:tcPr>
          <w:p>
            <w:pPr>
              <w:spacing w:after="0"/>
              <w:rPr>
                <w:sz w:val="17"/>
                <w:szCs w:val="17"/>
                <w:color w:val="auto"/>
              </w:rPr>
            </w:pPr>
          </w:p>
        </w:tc>
        <w:tc>
          <w:tcPr>
            <w:tcW w:w="1240" w:type="dxa"/>
            <w:vAlign w:val="bottom"/>
            <w:shd w:val="clear" w:color="auto" w:fill="DCE2EF"/>
          </w:tcPr>
          <w:p>
            <w:pPr>
              <w:jc w:val="right"/>
              <w:ind w:right="106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(83.2)</w:t>
            </w:r>
          </w:p>
        </w:tc>
        <w:tc>
          <w:tcPr>
            <w:tcW w:w="100" w:type="dxa"/>
            <w:vAlign w:val="bottom"/>
            <w:shd w:val="clear" w:color="auto" w:fill="DCE2EF"/>
          </w:tcPr>
          <w:p>
            <w:pPr>
              <w:spacing w:after="0"/>
              <w:rPr>
                <w:sz w:val="17"/>
                <w:szCs w:val="17"/>
                <w:color w:val="auto"/>
              </w:rPr>
            </w:pPr>
          </w:p>
        </w:tc>
        <w:tc>
          <w:tcPr>
            <w:tcW w:w="780" w:type="dxa"/>
            <w:vAlign w:val="bottom"/>
            <w:shd w:val="clear" w:color="auto" w:fill="DCE2EF"/>
          </w:tcPr>
          <w:p>
            <w:pPr>
              <w:jc w:val="right"/>
              <w:ind w:right="60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ind w:right="985"/>
              <w:spacing w:after="0"/>
              <w:rPr>
                <w:sz w:val="20"/>
                <w:szCs w:val="20"/>
                <w:color w:val="auto"/>
              </w:rPr>
            </w:pPr>
            <w:r>
              <w:rPr>
                <w:rFonts w:ascii="Arial" w:cs="Arial" w:eastAsia="Arial" w:hAnsi="Arial"/>
                <w:sz w:val="15"/>
                <w:szCs w:val="15"/>
                <w:color w:val="auto"/>
              </w:rPr>
              <w:t>1.3</w:t>
            </w:r>
          </w:p>
        </w:tc>
        <w:tc>
          <w:tcPr>
            <w:tcW w:w="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Corporate expenses decreased by $1.3 million, or 1.6%, to $81.9 million during the three months ended January 31, 2026, as compared to the prior year period. The decrease in corporate expenses was primarily attributable to:</w:t>
      </w:r>
    </w:p>
    <w:p>
      <w:pPr>
        <w:spacing w:after="0" w:line="95" w:lineRule="exact"/>
        <w:rPr>
          <w:sz w:val="20"/>
          <w:szCs w:val="20"/>
          <w:color w:val="auto"/>
        </w:rPr>
      </w:pPr>
    </w:p>
    <w:p>
      <w:pPr>
        <w:ind w:left="620" w:right="5660" w:hanging="307"/>
        <w:spacing w:after="0" w:line="44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$4.8 million decrease in accruals for potential legal settlements. The decrease was partially offset by:</w:t>
      </w: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$3.7 million increase in restructuring charges under our Restructuring Program.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contingent consideration payments from acquisitions, and systems and technology transformation initiatives under our </w:t>
      </w:r>
      <w:r>
        <w:rPr>
          <w:rFonts w:ascii="Arial" w:cs="Arial" w:eastAsia="Arial" w:hAnsi="Arial"/>
          <w:sz w:val="17"/>
          <w:szCs w:val="17"/>
          <w:b w:val="1"/>
          <w:bCs w:val="1"/>
          <w:color w:val="E98300"/>
        </w:rPr>
        <w:t>ELEVATE</w:t>
      </w:r>
      <w:r>
        <w:rPr>
          <w:rFonts w:ascii="Arial" w:cs="Arial" w:eastAsia="Arial" w:hAnsi="Arial"/>
          <w:sz w:val="17"/>
          <w:szCs w:val="17"/>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11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0046AD"/>
        </w:rPr>
        <w:t>Credit Facility</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On September 1, 2017, we refinanced and replaced our then-existing $800.0 million credit facility with a new senior, secured five-year syndicated credit facility, consisting of a $900.0 million revolver and an $800.0 million amortizing term loan. In accordance with terms of the Credit Facility, the revolver was reduced to $800.0 million on September 1, 2018. On February 26, 2025, we amended and restated the Credit Facility (the “Amended Credit Facility”), extending the maturity date to February 26, 2030, and increasing the capacity of the revolving credit facility from $1.3 billion to $1.6 billion and the then-remaining term loan outstanding from $528.1 million to $600.0 million. The Amended Credit Facility provides for the issuance of up to $250.0 million for standby letters of credit and the issuance of up to $100.0 million in swingline advances.</w:t>
      </w:r>
    </w:p>
    <w:p>
      <w:pPr>
        <w:spacing w:after="0" w:line="122"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2026, we were in compliance with these covenants.</w:t>
      </w:r>
    </w:p>
    <w:p>
      <w:pPr>
        <w:spacing w:after="0" w:line="12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three months ended January 31, 2026, we made principal payments under the term loan of $7.5 million. At January 31, 2026, the total outstanding borrowings under our Amended Credit Facility in the form of cash borrowings and standby letters of credit were $1.6 billion and $23.5 million, respectively, and our weighted average interest rate on all outstanding borrowings, excluding letters of credit, was 5.44%. At January 31, 2026, we had up to $507.7 million of borrowing capacity.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Reinvestment of Foreign Earnings</w:t>
      </w:r>
    </w:p>
    <w:p>
      <w:pPr>
        <w:spacing w:after="0" w:line="16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We plan to reinvest our foreign earnings to fund future non-U.S. growth and expansion, and we do not anticipate remitting such earnings to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IFM Insurance Company</w:t>
      </w:r>
    </w:p>
    <w:p>
      <w:pPr>
        <w:spacing w:after="0" w:line="16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Share Repurchases</w:t>
      </w:r>
    </w:p>
    <w:p>
      <w:pPr>
        <w:spacing w:after="0" w:line="165"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color w:val="auto"/>
        </w:rPr>
        <w:t>We repurchased shares under the share repurchase program during the three months ended January 31, 2026, as summarized below.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 any time without prior notice. At January 31, 2026, authorization for $92.0 million of repurchases remained under our share repurchase program.</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millions, except per share amounts)</w:t>
            </w:r>
          </w:p>
        </w:tc>
        <w:tc>
          <w:tcPr>
            <w:tcW w:w="220" w:type="dxa"/>
            <w:vAlign w:val="bottom"/>
          </w:tcPr>
          <w:p>
            <w:pPr>
              <w:spacing w:after="0"/>
              <w:rPr>
                <w:sz w:val="15"/>
                <w:szCs w:val="15"/>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5"/>
                <w:szCs w:val="15"/>
                <w:color w:val="auto"/>
              </w:rPr>
            </w:pPr>
          </w:p>
        </w:tc>
        <w:tc>
          <w:tcPr>
            <w:tcW w:w="1960" w:type="dxa"/>
            <w:vAlign w:val="bottom"/>
          </w:tcPr>
          <w:p>
            <w:pPr>
              <w:jc w:val="right"/>
              <w:ind w:right="243"/>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January 31, 2026</w:t>
            </w:r>
          </w:p>
        </w:tc>
        <w:tc>
          <w:tcPr>
            <w:tcW w:w="220" w:type="dxa"/>
            <w:vAlign w:val="bottom"/>
          </w:tcPr>
          <w:p>
            <w:pPr>
              <w:spacing w:after="0"/>
              <w:rPr>
                <w:sz w:val="17"/>
                <w:szCs w:val="17"/>
                <w:color w:val="auto"/>
              </w:rPr>
            </w:pPr>
          </w:p>
        </w:tc>
        <w:tc>
          <w:tcPr>
            <w:tcW w:w="1960" w:type="dxa"/>
            <w:vAlign w:val="bottom"/>
          </w:tcPr>
          <w:p>
            <w:pPr>
              <w:jc w:val="right"/>
              <w:ind w:right="403"/>
              <w:spacing w:after="0"/>
              <w:rPr>
                <w:sz w:val="20"/>
                <w:szCs w:val="20"/>
                <w:color w:val="auto"/>
              </w:rPr>
            </w:pPr>
            <w:r>
              <w:rPr>
                <w:rFonts w:ascii="Arial" w:cs="Arial" w:eastAsia="Arial" w:hAnsi="Arial"/>
                <w:sz w:val="15"/>
                <w:szCs w:val="15"/>
                <w:b w:val="1"/>
                <w:bCs w:val="1"/>
                <w:color w:val="auto"/>
              </w:rPr>
              <w:t>January 31, 2025</w:t>
            </w:r>
          </w:p>
        </w:tc>
        <w:tc>
          <w:tcPr>
            <w:tcW w:w="0" w:type="dxa"/>
            <w:vAlign w:val="bottom"/>
          </w:tcPr>
          <w:p>
            <w:pPr>
              <w:spacing w:after="0"/>
              <w:rPr>
                <w:sz w:val="1"/>
                <w:szCs w:val="1"/>
                <w:color w:val="auto"/>
              </w:rPr>
            </w:pPr>
          </w:p>
        </w:tc>
      </w:tr>
      <w:tr>
        <w:trPr>
          <w:trHeight w:val="199"/>
        </w:trPr>
        <w:tc>
          <w:tcPr>
            <w:tcW w:w="6760" w:type="dxa"/>
            <w:vAlign w:val="bottom"/>
            <w:tcBorders>
              <w:top w:val="single" w:sz="8" w:color="DCE2EF"/>
            </w:tcBorders>
            <w:shd w:val="clear" w:color="auto" w:fill="DCE2EF"/>
          </w:tcPr>
          <w:p>
            <w:pPr>
              <w:ind w:left="20"/>
              <w:spacing w:after="0"/>
              <w:rPr>
                <w:sz w:val="20"/>
                <w:szCs w:val="20"/>
                <w:color w:val="auto"/>
              </w:rPr>
            </w:pPr>
            <w:r>
              <w:rPr>
                <w:rFonts w:ascii="Arial" w:cs="Arial" w:eastAsia="Arial" w:hAnsi="Arial"/>
                <w:sz w:val="15"/>
                <w:szCs w:val="15"/>
                <w:color w:val="auto"/>
              </w:rPr>
              <w:t>Total number of shares purchased</w:t>
            </w:r>
          </w:p>
        </w:tc>
        <w:tc>
          <w:tcPr>
            <w:tcW w:w="220" w:type="dxa"/>
            <w:vAlign w:val="bottom"/>
            <w:tcBorders>
              <w:top w:val="single" w:sz="8" w:color="auto"/>
            </w:tcBorders>
            <w:shd w:val="clear" w:color="auto" w:fill="DCE2EF"/>
          </w:tcPr>
          <w:p>
            <w:pPr>
              <w:spacing w:after="0"/>
              <w:rPr>
                <w:sz w:val="17"/>
                <w:szCs w:val="17"/>
                <w:color w:val="auto"/>
              </w:rPr>
            </w:pPr>
          </w:p>
        </w:tc>
        <w:tc>
          <w:tcPr>
            <w:tcW w:w="19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top w:val="single" w:sz="8" w:color="DCE2EF"/>
            </w:tcBorders>
            <w:shd w:val="clear" w:color="auto" w:fill="DCE2EF"/>
          </w:tcPr>
          <w:p>
            <w:pPr>
              <w:spacing w:after="0"/>
              <w:rPr>
                <w:sz w:val="17"/>
                <w:szCs w:val="17"/>
                <w:color w:val="auto"/>
              </w:rPr>
            </w:pPr>
          </w:p>
        </w:tc>
        <w:tc>
          <w:tcPr>
            <w:tcW w:w="220" w:type="dxa"/>
            <w:vAlign w:val="bottom"/>
            <w:tcBorders>
              <w:top w:val="single" w:sz="8" w:color="auto"/>
            </w:tcBorders>
            <w:shd w:val="clear" w:color="auto" w:fill="DCE2EF"/>
          </w:tcPr>
          <w:p>
            <w:pPr>
              <w:spacing w:after="0"/>
              <w:rPr>
                <w:sz w:val="17"/>
                <w:szCs w:val="17"/>
                <w:color w:val="auto"/>
              </w:rPr>
            </w:pPr>
          </w:p>
        </w:tc>
        <w:tc>
          <w:tcPr>
            <w:tcW w:w="19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06"/>
        </w:trPr>
        <w:tc>
          <w:tcPr>
            <w:tcW w:w="6760" w:type="dxa"/>
            <w:vAlign w:val="bottom"/>
          </w:tcPr>
          <w:p>
            <w:pPr>
              <w:ind w:left="20"/>
              <w:spacing w:after="0" w:line="207" w:lineRule="exact"/>
              <w:rPr>
                <w:sz w:val="20"/>
                <w:szCs w:val="20"/>
                <w:color w:val="auto"/>
              </w:rPr>
            </w:pPr>
            <w:r>
              <w:rPr>
                <w:rFonts w:ascii="Arial" w:cs="Arial" w:eastAsia="Arial" w:hAnsi="Arial"/>
                <w:sz w:val="15"/>
                <w:szCs w:val="15"/>
                <w:color w:val="auto"/>
              </w:rPr>
              <w:t>Average price paid per share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51.23</w:t>
            </w:r>
          </w:p>
        </w:tc>
        <w:tc>
          <w:tcPr>
            <w:tcW w:w="0" w:type="dxa"/>
            <w:vAlign w:val="bottom"/>
          </w:tcPr>
          <w:p>
            <w:pPr>
              <w:spacing w:after="0"/>
              <w:rPr>
                <w:sz w:val="1"/>
                <w:szCs w:val="1"/>
                <w:color w:val="auto"/>
              </w:rPr>
            </w:pPr>
          </w:p>
        </w:tc>
      </w:tr>
      <w:tr>
        <w:trPr>
          <w:trHeight w:val="206"/>
        </w:trPr>
        <w:tc>
          <w:tcPr>
            <w:tcW w:w="6760" w:type="dxa"/>
            <w:vAlign w:val="bottom"/>
            <w:shd w:val="clear" w:color="auto" w:fill="DCE2EF"/>
          </w:tcPr>
          <w:p>
            <w:pPr>
              <w:ind w:left="20"/>
              <w:spacing w:after="0" w:line="207" w:lineRule="exact"/>
              <w:rPr>
                <w:sz w:val="20"/>
                <w:szCs w:val="20"/>
                <w:color w:val="auto"/>
              </w:rPr>
            </w:pPr>
            <w:r>
              <w:rPr>
                <w:rFonts w:ascii="Arial" w:cs="Arial" w:eastAsia="Arial" w:hAnsi="Arial"/>
                <w:sz w:val="15"/>
                <w:szCs w:val="15"/>
                <w:color w:val="auto"/>
              </w:rPr>
              <w:t>Total cash paid for share repurchases</w:t>
            </w:r>
            <w:r>
              <w:rPr>
                <w:rFonts w:ascii="Arial" w:cs="Arial" w:eastAsia="Arial" w:hAnsi="Arial"/>
                <w:sz w:val="20"/>
                <w:szCs w:val="20"/>
                <w:color w:val="auto"/>
                <w:vertAlign w:val="superscript"/>
              </w:rPr>
              <w:t>(1)</w:t>
            </w: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CE2EF"/>
          </w:tcPr>
          <w:p>
            <w:pPr>
              <w:jc w:val="right"/>
              <w:ind w:right="3"/>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DCE2EF"/>
          </w:tcPr>
          <w:p>
            <w:pPr>
              <w:spacing w:after="0"/>
              <w:rPr>
                <w:sz w:val="17"/>
                <w:szCs w:val="17"/>
                <w:color w:val="auto"/>
              </w:rPr>
            </w:pPr>
          </w:p>
        </w:tc>
        <w:tc>
          <w:tcPr>
            <w:tcW w:w="22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3"/>
        <w:spacing w:after="0" w:line="216" w:lineRule="auto"/>
        <w:tabs>
          <w:tab w:leader="none" w:pos="185"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0046AD"/>
        </w:rPr>
        <w:t>Cash Flows</w:t>
      </w:r>
    </w:p>
    <w:p>
      <w:pPr>
        <w:spacing w:after="0" w:line="1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58" w:lineRule="exact"/>
        <w:rPr>
          <w:sz w:val="20"/>
          <w:szCs w:val="20"/>
          <w:color w:val="auto"/>
        </w:rPr>
      </w:pPr>
    </w:p>
    <w:p>
      <w:pPr>
        <w:ind w:left="8180"/>
        <w:spacing w:after="0"/>
        <w:rPr>
          <w:sz w:val="20"/>
          <w:szCs w:val="20"/>
          <w:color w:val="auto"/>
        </w:rPr>
      </w:pPr>
      <w:r>
        <w:rPr>
          <w:rFonts w:ascii="Arial" w:cs="Arial" w:eastAsia="Arial" w:hAnsi="Arial"/>
          <w:sz w:val="15"/>
          <w:szCs w:val="15"/>
          <w:b w:val="1"/>
          <w:bCs w:val="1"/>
          <w:color w:val="auto"/>
        </w:rPr>
        <w:t>Three Months Ended January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663"/>
              <w:spacing w:after="0" w:line="148" w:lineRule="exact"/>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643"/>
              <w:spacing w:after="0" w:line="148" w:lineRule="exact"/>
              <w:rPr>
                <w:sz w:val="20"/>
                <w:szCs w:val="20"/>
                <w:color w:val="auto"/>
              </w:rPr>
            </w:pPr>
            <w:r>
              <w:rPr>
                <w:rFonts w:ascii="Arial" w:cs="Arial" w:eastAsia="Arial" w:hAnsi="Arial"/>
                <w:sz w:val="15"/>
                <w:szCs w:val="15"/>
                <w:b w:val="1"/>
                <w:bCs w:val="1"/>
                <w:color w:val="auto"/>
              </w:rPr>
              <w:t>2025</w:t>
            </w:r>
          </w:p>
        </w:tc>
      </w:tr>
      <w:tr>
        <w:trPr>
          <w:trHeight w:val="32"/>
        </w:trPr>
        <w:tc>
          <w:tcPr>
            <w:tcW w:w="20" w:type="dxa"/>
            <w:vAlign w:val="bottom"/>
            <w:tcBorders>
              <w:bottom w:val="single" w:sz="8" w:color="DCE2EF"/>
            </w:tcBorders>
          </w:tcPr>
          <w:p>
            <w:pPr>
              <w:spacing w:after="0"/>
              <w:rPr>
                <w:sz w:val="2"/>
                <w:szCs w:val="2"/>
                <w:color w:val="auto"/>
              </w:rPr>
            </w:pPr>
          </w:p>
        </w:tc>
        <w:tc>
          <w:tcPr>
            <w:tcW w:w="680" w:type="dxa"/>
            <w:vAlign w:val="bottom"/>
            <w:tcBorders>
              <w:top w:val="single" w:sz="8" w:color="auto"/>
              <w:bottom w:val="single" w:sz="8" w:color="DCE2EF"/>
            </w:tcBorders>
          </w:tcPr>
          <w:p>
            <w:pPr>
              <w:spacing w:after="0"/>
              <w:rPr>
                <w:sz w:val="2"/>
                <w:szCs w:val="2"/>
                <w:color w:val="auto"/>
              </w:rPr>
            </w:pPr>
          </w:p>
        </w:tc>
        <w:tc>
          <w:tcPr>
            <w:tcW w:w="68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9"/>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400" w:type="dxa"/>
            <w:vAlign w:val="bottom"/>
            <w:shd w:val="clear" w:color="auto" w:fill="DCE2EF"/>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CE2EF"/>
          </w:tcPr>
          <w:p>
            <w:pPr>
              <w:jc w:val="center"/>
              <w:ind w:left="863"/>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(106.2)</w:t>
            </w:r>
          </w:p>
        </w:tc>
      </w:tr>
      <w:tr>
        <w:trPr>
          <w:trHeight w:val="205"/>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Pr>
          <w:p>
            <w:pPr>
              <w:spacing w:after="0"/>
              <w:rPr>
                <w:sz w:val="17"/>
                <w:szCs w:val="17"/>
                <w:color w:val="auto"/>
              </w:rPr>
            </w:pPr>
          </w:p>
        </w:tc>
        <w:tc>
          <w:tcPr>
            <w:tcW w:w="1400" w:type="dxa"/>
            <w:vAlign w:val="bottom"/>
          </w:tcPr>
          <w:p>
            <w:pPr>
              <w:jc w:val="center"/>
              <w:ind w:left="863"/>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07"/>
        </w:trPr>
        <w:tc>
          <w:tcPr>
            <w:tcW w:w="754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400" w:type="dxa"/>
            <w:vAlign w:val="bottom"/>
            <w:shd w:val="clear" w:color="auto" w:fill="DCE2EF"/>
          </w:tcPr>
          <w:p>
            <w:pPr>
              <w:spacing w:after="0"/>
              <w:rPr>
                <w:sz w:val="18"/>
                <w:szCs w:val="18"/>
                <w:color w:val="auto"/>
              </w:rPr>
            </w:pPr>
          </w:p>
        </w:tc>
        <w:tc>
          <w:tcPr>
            <w:tcW w:w="1400" w:type="dxa"/>
            <w:vAlign w:val="bottom"/>
            <w:shd w:val="clear" w:color="auto" w:fill="DCE2EF"/>
          </w:tcPr>
          <w:p>
            <w:pPr>
              <w:jc w:val="center"/>
              <w:ind w:left="863"/>
              <w:spacing w:after="0"/>
              <w:rPr>
                <w:sz w:val="20"/>
                <w:szCs w:val="20"/>
                <w:color w:val="auto"/>
              </w:rPr>
            </w:pPr>
            <w:r>
              <w:rPr>
                <w:rFonts w:ascii="Arial" w:cs="Arial" w:eastAsia="Arial" w:hAnsi="Arial"/>
                <w:sz w:val="15"/>
                <w:szCs w:val="15"/>
                <w:color w:val="auto"/>
              </w:rPr>
              <w:t>(55.2)</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116.9</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provided by operating activities was $62.0 million for the three months ended January 31, 2026, as compared to cash used in operating activities of $106.2 million for the three months ended January 31, 2025. The $168.2 million improvement was primarily driven by favorable changes in working capital, including improved cash collections and timing of payments.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Investing Activities</w:t>
      </w:r>
    </w:p>
    <w:p>
      <w:pPr>
        <w:spacing w:after="0" w:line="16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Net cash used in investing activities decreased by $1.8 million during the three months ended January 31, 2026, as compared to the prior year period. This decrease was primarily due to lower purchases of property, plant and equipment.</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Net cash used in financing activities was $55.2 million during the three months ended January 31, 2026, as compared to net cash provided by financing activities of $ 116.9 million during the three months ended January 31, 2025. This quarter’s activity was primarily related to an increase in share repurchases and lower net borrowings from our Amended Credit Facility.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For disclosures on contingencies, see Note 11,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138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2025.</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6AD"/>
        </w:rPr>
        <w:t>Recently Issued Accounting Pronouncements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Accounting</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Effective Date/</w:t>
            </w:r>
          </w:p>
        </w:tc>
        <w:tc>
          <w:tcPr>
            <w:tcW w:w="0" w:type="dxa"/>
            <w:vAlign w:val="bottom"/>
          </w:tcPr>
          <w:p>
            <w:pPr>
              <w:spacing w:after="0"/>
              <w:rPr>
                <w:sz w:val="1"/>
                <w:szCs w:val="1"/>
                <w:color w:val="auto"/>
              </w:rPr>
            </w:pPr>
          </w:p>
        </w:tc>
      </w:tr>
      <w:tr>
        <w:trPr>
          <w:trHeight w:val="155"/>
        </w:trPr>
        <w:tc>
          <w:tcPr>
            <w:tcW w:w="130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Topic</w:t>
            </w:r>
          </w:p>
        </w:tc>
        <w:tc>
          <w:tcPr>
            <w:tcW w:w="100" w:type="dxa"/>
            <w:vAlign w:val="bottom"/>
            <w:vMerge w:val="restart"/>
          </w:tcPr>
          <w:p>
            <w:pPr>
              <w:spacing w:after="0"/>
              <w:rPr>
                <w:sz w:val="13"/>
                <w:szCs w:val="13"/>
                <w:color w:val="auto"/>
              </w:rPr>
            </w:pPr>
          </w:p>
        </w:tc>
        <w:tc>
          <w:tcPr>
            <w:tcW w:w="5000" w:type="dxa"/>
            <w:vAlign w:val="bottom"/>
            <w:vMerge w:val="restart"/>
          </w:tcPr>
          <w:p>
            <w:pPr>
              <w:ind w:left="2160"/>
              <w:spacing w:after="0"/>
              <w:rPr>
                <w:sz w:val="20"/>
                <w:szCs w:val="20"/>
                <w:color w:val="auto"/>
              </w:rPr>
            </w:pPr>
            <w:r>
              <w:rPr>
                <w:rFonts w:ascii="Arial" w:cs="Arial" w:eastAsia="Arial" w:hAnsi="Arial"/>
                <w:sz w:val="15"/>
                <w:szCs w:val="15"/>
                <w:b w:val="1"/>
                <w:bCs w:val="1"/>
                <w:color w:val="auto"/>
              </w:rPr>
              <w:t>Summary</w:t>
            </w:r>
          </w:p>
        </w:tc>
        <w:tc>
          <w:tcPr>
            <w:tcW w:w="120" w:type="dxa"/>
            <w:vAlign w:val="bottom"/>
            <w:vMerge w:val="restart"/>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Updates</w:t>
            </w:r>
          </w:p>
        </w:tc>
        <w:tc>
          <w:tcPr>
            <w:tcW w:w="120" w:type="dxa"/>
            <w:vAlign w:val="bottom"/>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0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36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Method of Adoption</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2023-09</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w w:val="98"/>
              </w:rPr>
              <w:t>Income Taxes (Topic 740):</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December 2023, is intended to enhance the</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6" w:lineRule="exact"/>
              <w:rPr>
                <w:sz w:val="20"/>
                <w:szCs w:val="20"/>
                <w:color w:val="auto"/>
              </w:rPr>
            </w:pPr>
            <w:r>
              <w:rPr>
                <w:rFonts w:ascii="Arial" w:cs="Arial" w:eastAsia="Arial" w:hAnsi="Arial"/>
                <w:sz w:val="15"/>
                <w:szCs w:val="15"/>
                <w:color w:val="auto"/>
                <w:w w:val="99"/>
              </w:rPr>
              <w:t>Improvements to Income Tax</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transparency and decision usefulness of income tax disclosures. The</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amendments in this ASU address investor requests for enhanced income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2024, with early adoption</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tax information primarily through changes to the rate reconciliation and</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income taxes paid information. We are currently evaluating the impact of</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implementing this guidance on our financial statements.</w:t>
            </w: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2024-03</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5"/>
                <w:szCs w:val="15"/>
                <w:color w:val="auto"/>
              </w:rPr>
              <w:t>Income Statement Reporting</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November 2024, is intended to improve financial</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Comprehensive Income Expense</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reporting by requiring public entities to disclose additional information</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Disaggregation Disclosures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about specific expense categories in the notes to the financial statements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2026, and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5" w:lineRule="exact"/>
              <w:rPr>
                <w:sz w:val="20"/>
                <w:szCs w:val="20"/>
                <w:color w:val="auto"/>
              </w:rPr>
            </w:pPr>
            <w:r>
              <w:rPr>
                <w:rFonts w:ascii="Arial" w:cs="Arial" w:eastAsia="Arial" w:hAnsi="Arial"/>
                <w:sz w:val="15"/>
                <w:szCs w:val="15"/>
                <w:color w:val="auto"/>
              </w:rPr>
              <w:t>(Subtopic 220-40): Disaggregation</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at interim and annual reporting periods. We are currently evaluating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fiscal years beginning after</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20"/>
              <w:spacing w:after="0" w:line="151" w:lineRule="exact"/>
              <w:rPr>
                <w:sz w:val="20"/>
                <w:szCs w:val="20"/>
                <w:color w:val="auto"/>
              </w:rPr>
            </w:pPr>
            <w:r>
              <w:rPr>
                <w:rFonts w:ascii="Arial" w:cs="Arial" w:eastAsia="Arial" w:hAnsi="Arial"/>
                <w:sz w:val="15"/>
                <w:szCs w:val="15"/>
                <w:color w:val="auto"/>
              </w:rPr>
              <w:t>of Income Statement Expenses</w:t>
            </w: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impact of implementing this guidance on our financial statements.</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8" w:lineRule="exact"/>
              <w:rPr>
                <w:sz w:val="20"/>
                <w:szCs w:val="20"/>
                <w:color w:val="auto"/>
              </w:rPr>
            </w:pPr>
            <w:r>
              <w:rPr>
                <w:rFonts w:ascii="Arial" w:cs="Arial" w:eastAsia="Arial" w:hAnsi="Arial"/>
                <w:sz w:val="15"/>
                <w:szCs w:val="15"/>
                <w:color w:val="auto"/>
              </w:rPr>
              <w:t>2025-06</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8" w:lineRule="exact"/>
              <w:rPr>
                <w:sz w:val="20"/>
                <w:szCs w:val="20"/>
                <w:color w:val="auto"/>
              </w:rPr>
            </w:pPr>
            <w:r>
              <w:rPr>
                <w:rFonts w:ascii="Arial" w:cs="Arial" w:eastAsia="Arial" w:hAnsi="Arial"/>
                <w:sz w:val="15"/>
                <w:szCs w:val="15"/>
                <w:color w:val="auto"/>
              </w:rPr>
              <w:t>Intangibles — Goodwill and Other</w:t>
            </w:r>
          </w:p>
        </w:tc>
        <w:tc>
          <w:tcPr>
            <w:tcW w:w="5120" w:type="dxa"/>
            <w:vAlign w:val="bottom"/>
            <w:gridSpan w:val="2"/>
          </w:tcPr>
          <w:p>
            <w:pPr>
              <w:ind w:left="20"/>
              <w:spacing w:after="0" w:line="148" w:lineRule="exact"/>
              <w:rPr>
                <w:sz w:val="20"/>
                <w:szCs w:val="20"/>
                <w:color w:val="auto"/>
              </w:rPr>
            </w:pPr>
            <w:r>
              <w:rPr>
                <w:rFonts w:ascii="Arial" w:cs="Arial" w:eastAsia="Arial" w:hAnsi="Arial"/>
                <w:sz w:val="15"/>
                <w:szCs w:val="15"/>
                <w:color w:val="auto"/>
              </w:rPr>
              <w:t>This ASU, issued in September 2025, removes all references to</w:t>
            </w:r>
          </w:p>
        </w:tc>
        <w:tc>
          <w:tcPr>
            <w:tcW w:w="2360" w:type="dxa"/>
            <w:vAlign w:val="bottom"/>
          </w:tcPr>
          <w:p>
            <w:pPr>
              <w:spacing w:after="0" w:line="148" w:lineRule="exact"/>
              <w:rPr>
                <w:sz w:val="20"/>
                <w:szCs w:val="20"/>
                <w:color w:val="auto"/>
              </w:rPr>
            </w:pPr>
            <w:r>
              <w:rPr>
                <w:rFonts w:ascii="Arial" w:cs="Arial" w:eastAsia="Arial" w:hAnsi="Arial"/>
                <w:sz w:val="15"/>
                <w:szCs w:val="15"/>
                <w:color w:val="auto"/>
              </w:rPr>
              <w:t>This ASU is effective for fiscal</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 Internal-Use Software (Subtopic</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prescriptive and sequential software development stages (referred to as</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years beginning after December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350-40): Targeted Improvements</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“project stages”) throughout Subtopic 350-40 and requires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15, 2027, and for interim periods</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5" w:lineRule="exact"/>
              <w:rPr>
                <w:sz w:val="20"/>
                <w:szCs w:val="20"/>
                <w:color w:val="auto"/>
              </w:rPr>
            </w:pPr>
            <w:r>
              <w:rPr>
                <w:rFonts w:ascii="Arial" w:cs="Arial" w:eastAsia="Arial" w:hAnsi="Arial"/>
                <w:sz w:val="15"/>
                <w:szCs w:val="15"/>
                <w:color w:val="auto"/>
              </w:rPr>
              <w:t>to the Accounting for Internal-Use</w:t>
            </w: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capitalization of software costs to begin when 1) management has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within those annual reporting</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jc w:val="center"/>
              <w:ind w:right="100"/>
              <w:spacing w:after="0" w:line="151" w:lineRule="exact"/>
              <w:rPr>
                <w:sz w:val="20"/>
                <w:szCs w:val="20"/>
                <w:color w:val="auto"/>
              </w:rPr>
            </w:pPr>
            <w:r>
              <w:rPr>
                <w:rFonts w:ascii="Arial" w:cs="Arial" w:eastAsia="Arial" w:hAnsi="Arial"/>
                <w:sz w:val="15"/>
                <w:szCs w:val="15"/>
                <w:color w:val="auto"/>
              </w:rPr>
              <w:t>Software</w:t>
            </w: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authorized and committed to funding the software project, and 2) it is</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periods, with early adoption</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probable that the project will be completed and the software will be used</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permitted.</w:t>
            </w:r>
          </w:p>
        </w:tc>
        <w:tc>
          <w:tcPr>
            <w:tcW w:w="0" w:type="dxa"/>
            <w:vAlign w:val="bottom"/>
          </w:tcPr>
          <w:p>
            <w:pPr>
              <w:spacing w:after="0"/>
              <w:rPr>
                <w:sz w:val="1"/>
                <w:szCs w:val="1"/>
                <w:color w:val="auto"/>
              </w:rPr>
            </w:pPr>
          </w:p>
        </w:tc>
      </w:tr>
      <w:tr>
        <w:trPr>
          <w:trHeight w:val="201"/>
        </w:trPr>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 perform the function intended.</w:t>
            </w:r>
          </w:p>
        </w:tc>
        <w:tc>
          <w:tcPr>
            <w:tcW w:w="1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80" w:type="dxa"/>
            <w:vAlign w:val="bottom"/>
          </w:tcPr>
          <w:p>
            <w:pPr>
              <w:jc w:val="center"/>
              <w:spacing w:after="0" w:line="149" w:lineRule="exact"/>
              <w:rPr>
                <w:sz w:val="20"/>
                <w:szCs w:val="20"/>
                <w:color w:val="auto"/>
              </w:rPr>
            </w:pPr>
            <w:r>
              <w:rPr>
                <w:rFonts w:ascii="Arial" w:cs="Arial" w:eastAsia="Arial" w:hAnsi="Arial"/>
                <w:sz w:val="15"/>
                <w:szCs w:val="15"/>
                <w:color w:val="auto"/>
                <w:w w:val="98"/>
              </w:rPr>
              <w:t>2025-11</w:t>
            </w: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Interim Reporting (Topic 270):</w:t>
            </w:r>
          </w:p>
        </w:tc>
        <w:tc>
          <w:tcPr>
            <w:tcW w:w="512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This ASU, issued in December 2025, improves the guidance in Topic 270,</w:t>
            </w:r>
          </w:p>
        </w:tc>
        <w:tc>
          <w:tcPr>
            <w:tcW w:w="2360" w:type="dxa"/>
            <w:vAlign w:val="bottom"/>
          </w:tcPr>
          <w:p>
            <w:pPr>
              <w:spacing w:after="0" w:line="149" w:lineRule="exact"/>
              <w:rPr>
                <w:sz w:val="20"/>
                <w:szCs w:val="20"/>
                <w:color w:val="auto"/>
              </w:rPr>
            </w:pPr>
            <w:r>
              <w:rPr>
                <w:rFonts w:ascii="Arial" w:cs="Arial" w:eastAsia="Arial" w:hAnsi="Arial"/>
                <w:sz w:val="15"/>
                <w:szCs w:val="15"/>
                <w:color w:val="auto"/>
              </w:rPr>
              <w:t>This ASU is effective for interim</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tcPr>
          <w:p>
            <w:pPr>
              <w:jc w:val="center"/>
              <w:ind w:right="100"/>
              <w:spacing w:after="0" w:line="146" w:lineRule="exact"/>
              <w:rPr>
                <w:sz w:val="20"/>
                <w:szCs w:val="20"/>
                <w:color w:val="auto"/>
              </w:rPr>
            </w:pPr>
            <w:r>
              <w:rPr>
                <w:rFonts w:ascii="Arial" w:cs="Arial" w:eastAsia="Arial" w:hAnsi="Arial"/>
                <w:sz w:val="15"/>
                <w:szCs w:val="15"/>
                <w:color w:val="auto"/>
              </w:rPr>
              <w:t>Narrow-Scope Improvements</w:t>
            </w:r>
          </w:p>
        </w:tc>
        <w:tc>
          <w:tcPr>
            <w:tcW w:w="51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Interim Reporting, by improving the navigability of the required interim</w:t>
            </w:r>
          </w:p>
        </w:tc>
        <w:tc>
          <w:tcPr>
            <w:tcW w:w="2360" w:type="dxa"/>
            <w:vAlign w:val="bottom"/>
          </w:tcPr>
          <w:p>
            <w:pPr>
              <w:spacing w:after="0" w:line="146" w:lineRule="exact"/>
              <w:rPr>
                <w:sz w:val="20"/>
                <w:szCs w:val="20"/>
                <w:color w:val="auto"/>
              </w:rPr>
            </w:pPr>
            <w:r>
              <w:rPr>
                <w:rFonts w:ascii="Arial" w:cs="Arial" w:eastAsia="Arial" w:hAnsi="Arial"/>
                <w:sz w:val="15"/>
                <w:szCs w:val="15"/>
                <w:color w:val="auto"/>
              </w:rPr>
              <w:t>reporting periods within annual</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disclosures and clarifying when that guidance is applicable. The</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reporting periods beginning after</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5" w:lineRule="exact"/>
              <w:rPr>
                <w:sz w:val="20"/>
                <w:szCs w:val="20"/>
                <w:color w:val="auto"/>
              </w:rPr>
            </w:pPr>
            <w:r>
              <w:rPr>
                <w:rFonts w:ascii="Arial" w:cs="Arial" w:eastAsia="Arial" w:hAnsi="Arial"/>
                <w:sz w:val="15"/>
                <w:szCs w:val="15"/>
                <w:color w:val="auto"/>
              </w:rPr>
              <w:t>amendments also add a principle that requires entities to disclose events</w:t>
            </w:r>
          </w:p>
        </w:tc>
        <w:tc>
          <w:tcPr>
            <w:tcW w:w="2360" w:type="dxa"/>
            <w:vAlign w:val="bottom"/>
          </w:tcPr>
          <w:p>
            <w:pPr>
              <w:spacing w:after="0" w:line="155" w:lineRule="exact"/>
              <w:rPr>
                <w:sz w:val="20"/>
                <w:szCs w:val="20"/>
                <w:color w:val="auto"/>
              </w:rPr>
            </w:pPr>
            <w:r>
              <w:rPr>
                <w:rFonts w:ascii="Arial" w:cs="Arial" w:eastAsia="Arial" w:hAnsi="Arial"/>
                <w:sz w:val="15"/>
                <w:szCs w:val="15"/>
                <w:color w:val="auto"/>
              </w:rPr>
              <w:t>December 15, 2027, with early</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since the end of the last annual reporting period that have a material</w:t>
            </w:r>
          </w:p>
        </w:tc>
        <w:tc>
          <w:tcPr>
            <w:tcW w:w="2360" w:type="dxa"/>
            <w:vAlign w:val="bottom"/>
          </w:tcPr>
          <w:p>
            <w:pPr>
              <w:spacing w:after="0" w:line="151" w:lineRule="exact"/>
              <w:rPr>
                <w:sz w:val="20"/>
                <w:szCs w:val="20"/>
                <w:color w:val="auto"/>
              </w:rPr>
            </w:pPr>
            <w:r>
              <w:rPr>
                <w:rFonts w:ascii="Arial" w:cs="Arial" w:eastAsia="Arial" w:hAnsi="Arial"/>
                <w:sz w:val="15"/>
                <w:szCs w:val="15"/>
                <w:color w:val="auto"/>
              </w:rPr>
              <w:t>adoption permitted.</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2"/>
          </w:tcPr>
          <w:p>
            <w:pPr>
              <w:ind w:left="20"/>
              <w:spacing w:after="0" w:line="160" w:lineRule="exact"/>
              <w:rPr>
                <w:sz w:val="20"/>
                <w:szCs w:val="20"/>
                <w:color w:val="auto"/>
              </w:rPr>
            </w:pPr>
            <w:r>
              <w:rPr>
                <w:rFonts w:ascii="Arial" w:cs="Arial" w:eastAsia="Arial" w:hAnsi="Arial"/>
                <w:sz w:val="15"/>
                <w:szCs w:val="15"/>
                <w:color w:val="auto"/>
              </w:rPr>
              <w:t>impact on the entity. We are currently evaluating the impact of</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5"/>
          <w:szCs w:val="15"/>
          <w:color w:val="auto"/>
        </w:rPr>
        <w:t>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0046AD"/>
        </w:rPr>
        <w:t>ITEM 3. QUANTITATIVE AND QUALITATIVE DISCLOSURES ABOUT MARKET RISK.</w:t>
      </w:r>
    </w:p>
    <w:p>
      <w:pPr>
        <w:spacing w:after="0" w:line="16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There are no material changes related to market risk from the disclosures in our Annual Report on Form 10-K for the year ended October 31, 2025.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a. Disclosure Controls and Procedures.</w:t>
      </w:r>
    </w:p>
    <w:p>
      <w:pPr>
        <w:spacing w:after="0" w:line="16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b. Changes in Internal Control Over Financial Reporting.</w:t>
      </w:r>
    </w:p>
    <w:p>
      <w:pPr>
        <w:spacing w:after="0" w:line="16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third quarter of 2023 and first quarter of 2025, we had a change in our internal control over financial reporting as a result of our implementation of a new ERP and key boundary systems for the Education, Business &amp; Industry, and Manufacturing &amp; Distribution industry groups that has materially affected, or is reasonably likely to materially affect, our internal control over financial reporting. The new ERP system and key boundary systems for these industry groups is replacing our legacy system in which a significant portion of our business transactions originate, are processed, and recorded. The rest of our industry groups will transition to our new ERP system and key boundary systems over the next several years. Our new ERP system and key boundary systems are intended to provide us with enhanced transactional processing and management tools, as compared with our legacy system, and is intended to enhance internal control over financial reporting. We believe our new ERP system and key boundary systems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 over financial reporting and procedures.</w:t>
      </w:r>
    </w:p>
    <w:p>
      <w:pPr>
        <w:spacing w:after="0" w:line="1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7"/>
          <w:szCs w:val="17"/>
          <w:color w:val="auto"/>
        </w:rPr>
        <w:t>There were no other changes in our internal control over financial reporting during the first quarter of 2026 identified in connection with the evaluation required by Rules 13a-15(d) and 15d-15(d) of the Exchange Act that has materially affected, or is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 LEGAL PROCEEDINGS.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A discussion of material developments in our litigation matters occurring in the period covered by this report is found in Note 11, “Commitments and Contingencies,” to the unaudited Consolidated Financial Statements in this Form 10-Q.</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1A. RISK FACTORS.</w:t>
      </w:r>
    </w:p>
    <w:p>
      <w:pPr>
        <w:spacing w:after="0" w:line="155"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7"/>
          <w:szCs w:val="17"/>
          <w:color w:val="auto"/>
        </w:rPr>
        <w:t>There have been no material changes to the risk factors identified in our Annual Report on Form 10-K for the year ended October 31, 2025, in response to Item 1A., “Risk Factors,” of Part I of the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Common Stock Repurchases</w:t>
      </w:r>
    </w:p>
    <w:p>
      <w:pPr>
        <w:spacing w:after="0" w:line="16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7"/>
          <w:szCs w:val="17"/>
          <w:color w:val="auto"/>
        </w:rPr>
        <w:t>Effective September 3, 2025, our Board of Directors expanded our existing share repurchase program by an additional $150.0 million. Share repurchases may take place on the open market or otherwise, and all or part of</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8" w:name="page39"/>
    <w:bookmarkEnd w:id="38"/>
    <w:p>
      <w:pPr>
        <w:jc w:val="both"/>
        <w:ind w:right="100"/>
        <w:spacing w:after="0" w:line="265" w:lineRule="auto"/>
        <w:rPr>
          <w:sz w:val="20"/>
          <w:szCs w:val="20"/>
          <w:color w:val="auto"/>
        </w:rPr>
      </w:pPr>
      <w:r>
        <w:rPr>
          <w:rFonts w:ascii="Arial" w:cs="Arial" w:eastAsia="Arial" w:hAnsi="Arial"/>
          <w:sz w:val="17"/>
          <w:szCs w:val="17"/>
          <w:color w:val="auto"/>
        </w:rPr>
        <w:t>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repurchase program may be suspended or discontinued at any time without prior notice.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months indicated, our purchases of common stock in the first quarter of fiscal year 2026:</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Total Number of Shares</w:t>
            </w:r>
          </w:p>
        </w:tc>
        <w:tc>
          <w:tcPr>
            <w:tcW w:w="200" w:type="dxa"/>
            <w:vAlign w:val="bottom"/>
          </w:tcPr>
          <w:p>
            <w:pPr>
              <w:spacing w:after="0"/>
              <w:rPr>
                <w:sz w:val="14"/>
                <w:szCs w:val="14"/>
                <w:color w:val="auto"/>
              </w:rPr>
            </w:pPr>
          </w:p>
        </w:tc>
        <w:tc>
          <w:tcPr>
            <w:tcW w:w="188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rPr>
              <w:t>Average Price Paid per</w:t>
            </w:r>
          </w:p>
        </w:tc>
        <w:tc>
          <w:tcPr>
            <w:tcW w:w="1980" w:type="dxa"/>
            <w:vAlign w:val="bottom"/>
          </w:tcPr>
          <w:p>
            <w:pPr>
              <w:jc w:val="right"/>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Approximate Dolla</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Purchased as Part of</w:t>
            </w:r>
          </w:p>
        </w:tc>
        <w:tc>
          <w:tcPr>
            <w:tcW w:w="12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of Shares that May</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2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4"/>
                <w:szCs w:val="14"/>
                <w:i w:val="1"/>
                <w:iCs w:val="1"/>
                <w:color w:val="auto"/>
                <w:w w:val="96"/>
              </w:rPr>
              <w:t>(in millions, except per share amounts)</w:t>
            </w:r>
          </w:p>
        </w:tc>
        <w:tc>
          <w:tcPr>
            <w:tcW w:w="2100" w:type="dxa"/>
            <w:vAlign w:val="bottom"/>
            <w:gridSpan w:val="2"/>
          </w:tcPr>
          <w:p>
            <w:pPr>
              <w:jc w:val="right"/>
              <w:ind w:right="120"/>
              <w:spacing w:after="0" w:line="135" w:lineRule="exact"/>
              <w:rPr>
                <w:sz w:val="20"/>
                <w:szCs w:val="20"/>
                <w:color w:val="auto"/>
              </w:rPr>
            </w:pPr>
            <w:r>
              <w:rPr>
                <w:rFonts w:ascii="Arial" w:cs="Arial" w:eastAsia="Arial" w:hAnsi="Arial"/>
                <w:sz w:val="15"/>
                <w:szCs w:val="15"/>
                <w:b w:val="1"/>
                <w:bCs w:val="1"/>
                <w:color w:val="auto"/>
              </w:rPr>
              <w:t>Purchased</w:t>
            </w:r>
          </w:p>
        </w:tc>
        <w:tc>
          <w:tcPr>
            <w:tcW w:w="200" w:type="dxa"/>
            <w:vAlign w:val="bottom"/>
          </w:tcPr>
          <w:p>
            <w:pPr>
              <w:spacing w:after="0"/>
              <w:rPr>
                <w:sz w:val="13"/>
                <w:szCs w:val="13"/>
                <w:color w:val="auto"/>
              </w:rPr>
            </w:pPr>
          </w:p>
        </w:tc>
        <w:tc>
          <w:tcPr>
            <w:tcW w:w="188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auto"/>
              </w:rPr>
              <w:t xml:space="preserve">Share </w:t>
            </w:r>
            <w:r>
              <w:rPr>
                <w:rFonts w:ascii="Arial" w:cs="Arial" w:eastAsia="Arial" w:hAnsi="Arial"/>
                <w:sz w:val="15"/>
                <w:szCs w:val="15"/>
                <w:b w:val="1"/>
                <w:bCs w:val="1"/>
                <w:color w:val="auto"/>
                <w:vertAlign w:val="superscript"/>
              </w:rPr>
              <w:t>(1)</w:t>
            </w:r>
          </w:p>
        </w:tc>
        <w:tc>
          <w:tcPr>
            <w:tcW w:w="19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Publicly Announced Plan</w:t>
            </w:r>
          </w:p>
        </w:tc>
        <w:tc>
          <w:tcPr>
            <w:tcW w:w="120" w:type="dxa"/>
            <w:vAlign w:val="bottom"/>
          </w:tcPr>
          <w:p>
            <w:pPr>
              <w:spacing w:after="0"/>
              <w:rPr>
                <w:sz w:val="13"/>
                <w:szCs w:val="13"/>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Purchased Under t</w:t>
            </w:r>
          </w:p>
        </w:tc>
        <w:tc>
          <w:tcPr>
            <w:tcW w:w="0" w:type="dxa"/>
            <w:vAlign w:val="bottom"/>
          </w:tcPr>
          <w:p>
            <w:pPr>
              <w:spacing w:after="0"/>
              <w:rPr>
                <w:sz w:val="1"/>
                <w:szCs w:val="1"/>
                <w:color w:val="auto"/>
              </w:rPr>
            </w:pPr>
          </w:p>
        </w:tc>
      </w:tr>
      <w:tr>
        <w:trPr>
          <w:trHeight w:val="32"/>
        </w:trPr>
        <w:tc>
          <w:tcPr>
            <w:tcW w:w="700" w:type="dxa"/>
            <w:vAlign w:val="bottom"/>
            <w:tcBorders>
              <w:bottom w:val="single" w:sz="8" w:color="DCE2EF"/>
            </w:tcBorders>
          </w:tcPr>
          <w:p>
            <w:pPr>
              <w:spacing w:after="0"/>
              <w:rPr>
                <w:sz w:val="2"/>
                <w:szCs w:val="2"/>
                <w:color w:val="auto"/>
              </w:rPr>
            </w:pPr>
          </w:p>
        </w:tc>
        <w:tc>
          <w:tcPr>
            <w:tcW w:w="2140" w:type="dxa"/>
            <w:vAlign w:val="bottom"/>
            <w:tcBorders>
              <w:top w:val="single" w:sz="8" w:color="auto"/>
              <w:bottom w:val="single" w:sz="8" w:color="DCE2EF"/>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shd w:val="clear" w:color="auto" w:fill="DCE2EF"/>
          </w:tcPr>
          <w:p>
            <w:pPr>
              <w:spacing w:after="0"/>
              <w:rPr>
                <w:sz w:val="16"/>
                <w:szCs w:val="16"/>
                <w:color w:val="auto"/>
              </w:rPr>
            </w:pPr>
          </w:p>
        </w:tc>
        <w:tc>
          <w:tcPr>
            <w:tcW w:w="2260" w:type="dxa"/>
            <w:vAlign w:val="bottom"/>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Period</w:t>
            </w:r>
          </w:p>
        </w:tc>
        <w:tc>
          <w:tcPr>
            <w:tcW w:w="200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9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8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40" w:type="dxa"/>
            <w:vAlign w:val="bottom"/>
            <w:gridSpan w:val="2"/>
          </w:tcPr>
          <w:p>
            <w:pPr>
              <w:jc w:val="right"/>
              <w:spacing w:after="0"/>
              <w:rPr>
                <w:sz w:val="20"/>
                <w:szCs w:val="20"/>
                <w:color w:val="auto"/>
              </w:rPr>
            </w:pPr>
            <w:r>
              <w:rPr>
                <w:rFonts w:ascii="Arial" w:cs="Arial" w:eastAsia="Arial" w:hAnsi="Arial"/>
                <w:sz w:val="15"/>
                <w:szCs w:val="15"/>
                <w:color w:val="auto"/>
              </w:rPr>
              <w:t>11/01/2025- 11/30/2025</w:t>
            </w:r>
          </w:p>
        </w:tc>
        <w:tc>
          <w:tcPr>
            <w:tcW w:w="120" w:type="dxa"/>
            <w:vAlign w:val="bottom"/>
          </w:tcPr>
          <w:p>
            <w:pPr>
              <w:spacing w:after="0"/>
              <w:rPr>
                <w:sz w:val="17"/>
                <w:szCs w:val="17"/>
                <w:color w:val="auto"/>
              </w:rPr>
            </w:pPr>
          </w:p>
        </w:tc>
        <w:tc>
          <w:tcPr>
            <w:tcW w:w="2100" w:type="dxa"/>
            <w:vAlign w:val="bottom"/>
            <w:gridSpan w:val="2"/>
          </w:tcPr>
          <w:p>
            <w:pPr>
              <w:ind w:left="17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840" w:type="dxa"/>
            <w:vAlign w:val="bottom"/>
            <w:gridSpan w:val="2"/>
            <w:shd w:val="clear" w:color="auto" w:fill="DCE2EF"/>
          </w:tcPr>
          <w:p>
            <w:pPr>
              <w:jc w:val="right"/>
              <w:spacing w:after="0"/>
              <w:rPr>
                <w:sz w:val="20"/>
                <w:szCs w:val="20"/>
                <w:color w:val="auto"/>
              </w:rPr>
            </w:pPr>
            <w:r>
              <w:rPr>
                <w:rFonts w:ascii="Arial" w:cs="Arial" w:eastAsia="Arial" w:hAnsi="Arial"/>
                <w:sz w:val="15"/>
                <w:szCs w:val="15"/>
                <w:color w:val="auto"/>
              </w:rPr>
              <w:t>12/01/2025- 12/31/2025</w:t>
            </w:r>
          </w:p>
        </w:tc>
        <w:tc>
          <w:tcPr>
            <w:tcW w:w="120" w:type="dxa"/>
            <w:vAlign w:val="bottom"/>
            <w:shd w:val="clear" w:color="auto" w:fill="DCE2EF"/>
          </w:tcPr>
          <w:p>
            <w:pPr>
              <w:spacing w:after="0"/>
              <w:rPr>
                <w:sz w:val="18"/>
                <w:szCs w:val="18"/>
                <w:color w:val="auto"/>
              </w:rPr>
            </w:pPr>
          </w:p>
        </w:tc>
        <w:tc>
          <w:tcPr>
            <w:tcW w:w="20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0.32</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CE2EF"/>
          </w:tcPr>
          <w:p>
            <w:pPr>
              <w:jc w:val="right"/>
              <w:ind w:right="6"/>
              <w:spacing w:after="0"/>
              <w:rPr>
                <w:sz w:val="20"/>
                <w:szCs w:val="20"/>
                <w:color w:val="auto"/>
              </w:rPr>
            </w:pPr>
            <w:r>
              <w:rPr>
                <w:rFonts w:ascii="Arial" w:cs="Arial" w:eastAsia="Arial" w:hAnsi="Arial"/>
                <w:sz w:val="15"/>
                <w:szCs w:val="15"/>
                <w:color w:val="auto"/>
              </w:rPr>
              <w:t>42.68</w:t>
            </w:r>
          </w:p>
        </w:tc>
        <w:tc>
          <w:tcPr>
            <w:tcW w:w="8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0.32</w:t>
            </w:r>
          </w:p>
        </w:tc>
        <w:tc>
          <w:tcPr>
            <w:tcW w:w="1600" w:type="dxa"/>
            <w:vAlign w:val="bottom"/>
            <w:gridSpan w:val="2"/>
            <w:shd w:val="clear" w:color="auto" w:fill="DCE2EF"/>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2840" w:type="dxa"/>
            <w:vAlign w:val="bottom"/>
            <w:tcBorders>
              <w:bottom w:val="single" w:sz="8" w:color="DCE2EF"/>
            </w:tcBorders>
            <w:gridSpan w:val="2"/>
          </w:tcPr>
          <w:p>
            <w:pPr>
              <w:jc w:val="right"/>
              <w:spacing w:after="0"/>
              <w:rPr>
                <w:sz w:val="20"/>
                <w:szCs w:val="20"/>
                <w:color w:val="auto"/>
              </w:rPr>
            </w:pPr>
            <w:r>
              <w:rPr>
                <w:rFonts w:ascii="Arial" w:cs="Arial" w:eastAsia="Arial" w:hAnsi="Arial"/>
                <w:sz w:val="15"/>
                <w:szCs w:val="15"/>
                <w:color w:val="auto"/>
              </w:rPr>
              <w:t>01/01/2026- 01/31/2026</w:t>
            </w:r>
          </w:p>
        </w:tc>
        <w:tc>
          <w:tcPr>
            <w:tcW w:w="120" w:type="dxa"/>
            <w:vAlign w:val="bottom"/>
            <w:tcBorders>
              <w:bottom w:val="single" w:sz="8" w:color="DCE2EF"/>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44.39</w:t>
            </w:r>
          </w:p>
        </w:tc>
        <w:tc>
          <w:tcPr>
            <w:tcW w:w="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w:t>
            </w:r>
          </w:p>
        </w:tc>
        <w:tc>
          <w:tcPr>
            <w:tcW w:w="1600" w:type="dxa"/>
            <w:vAlign w:val="bottom"/>
            <w:tcBorders>
              <w:bottom w:val="single" w:sz="8" w:color="DCE2EF"/>
            </w:tcBorders>
            <w:gridSpan w:val="2"/>
          </w:tcPr>
          <w:p>
            <w:pPr>
              <w:jc w:val="right"/>
              <w:ind w:right="13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700" w:type="dxa"/>
            <w:vAlign w:val="bottom"/>
            <w:tcBorders>
              <w:bottom w:val="single" w:sz="8" w:color="DCE2EF"/>
            </w:tcBorders>
            <w:shd w:val="clear" w:color="auto" w:fill="DCE2EF"/>
          </w:tcPr>
          <w:p>
            <w:pPr>
              <w:spacing w:after="0"/>
              <w:rPr>
                <w:sz w:val="19"/>
                <w:szCs w:val="19"/>
                <w:color w:val="auto"/>
              </w:rPr>
            </w:pPr>
          </w:p>
        </w:tc>
        <w:tc>
          <w:tcPr>
            <w:tcW w:w="2260" w:type="dxa"/>
            <w:vAlign w:val="bottom"/>
            <w:tcBorders>
              <w:bottom w:val="single" w:sz="8" w:color="DCE2EF"/>
            </w:tcBorders>
            <w:gridSpan w:val="2"/>
            <w:shd w:val="clear" w:color="auto" w:fill="DCE2EF"/>
          </w:tcPr>
          <w:p>
            <w:pPr>
              <w:jc w:val="right"/>
              <w:ind w:right="120"/>
              <w:spacing w:after="0"/>
              <w:rPr>
                <w:sz w:val="20"/>
                <w:szCs w:val="20"/>
                <w:color w:val="auto"/>
              </w:rPr>
            </w:pPr>
            <w:r>
              <w:rPr>
                <w:rFonts w:ascii="Arial" w:cs="Arial" w:eastAsia="Arial" w:hAnsi="Arial"/>
                <w:sz w:val="15"/>
                <w:szCs w:val="15"/>
                <w:b w:val="1"/>
                <w:bCs w:val="1"/>
                <w:color w:val="auto"/>
              </w:rPr>
              <w:t>Total</w:t>
            </w:r>
          </w:p>
        </w:tc>
        <w:tc>
          <w:tcPr>
            <w:tcW w:w="20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auto"/>
            </w:tcBorders>
            <w:shd w:val="clear" w:color="auto" w:fill="DCE2EF"/>
          </w:tcPr>
          <w:p>
            <w:pPr>
              <w:spacing w:after="0"/>
              <w:rPr>
                <w:sz w:val="19"/>
                <w:szCs w:val="19"/>
                <w:color w:val="auto"/>
              </w:rPr>
            </w:pPr>
          </w:p>
        </w:tc>
        <w:tc>
          <w:tcPr>
            <w:tcW w:w="200" w:type="dxa"/>
            <w:vAlign w:val="bottom"/>
            <w:tcBorders>
              <w:bottom w:val="single" w:sz="8" w:color="auto"/>
            </w:tcBorders>
            <w:shd w:val="clear" w:color="auto" w:fill="DCE2E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CE2EF"/>
          </w:tcPr>
          <w:p>
            <w:pPr>
              <w:jc w:val="right"/>
              <w:ind w:right="6"/>
              <w:spacing w:after="0"/>
              <w:rPr>
                <w:sz w:val="20"/>
                <w:szCs w:val="20"/>
                <w:color w:val="auto"/>
              </w:rPr>
            </w:pPr>
            <w:r>
              <w:rPr>
                <w:rFonts w:ascii="Arial" w:cs="Arial" w:eastAsia="Arial" w:hAnsi="Arial"/>
                <w:sz w:val="15"/>
                <w:szCs w:val="15"/>
                <w:color w:val="auto"/>
              </w:rPr>
              <w:t>44.13</w:t>
            </w:r>
          </w:p>
        </w:tc>
        <w:tc>
          <w:tcPr>
            <w:tcW w:w="80" w:type="dxa"/>
            <w:vAlign w:val="bottom"/>
            <w:tcBorders>
              <w:bottom w:val="single" w:sz="8" w:color="auto"/>
            </w:tcBorders>
            <w:shd w:val="clear" w:color="auto" w:fill="DCE2EF"/>
          </w:tcPr>
          <w:p>
            <w:pPr>
              <w:spacing w:after="0"/>
              <w:rPr>
                <w:sz w:val="19"/>
                <w:szCs w:val="19"/>
                <w:color w:val="auto"/>
              </w:rPr>
            </w:pPr>
          </w:p>
        </w:tc>
        <w:tc>
          <w:tcPr>
            <w:tcW w:w="19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2.07</w:t>
            </w:r>
          </w:p>
        </w:tc>
        <w:tc>
          <w:tcPr>
            <w:tcW w:w="120" w:type="dxa"/>
            <w:vAlign w:val="bottom"/>
            <w:tcBorders>
              <w:bottom w:val="single" w:sz="8" w:color="DCE2EF"/>
            </w:tcBorders>
            <w:shd w:val="clear" w:color="auto" w:fill="DCE2EF"/>
          </w:tcPr>
          <w:p>
            <w:pPr>
              <w:spacing w:after="0"/>
              <w:rPr>
                <w:sz w:val="19"/>
                <w:szCs w:val="19"/>
                <w:color w:val="auto"/>
              </w:rPr>
            </w:pPr>
          </w:p>
        </w:tc>
        <w:tc>
          <w:tcPr>
            <w:tcW w:w="1480" w:type="dxa"/>
            <w:vAlign w:val="bottom"/>
            <w:tcBorders>
              <w:bottom w:val="single" w:sz="8" w:color="DCE2EF"/>
            </w:tcBorders>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DCE2EF"/>
            </w:tcBorders>
          </w:tcPr>
          <w:p>
            <w:pPr>
              <w:spacing w:after="0" w:line="20" w:lineRule="exact"/>
              <w:rPr>
                <w:sz w:val="1"/>
                <w:szCs w:val="1"/>
                <w:color w:val="auto"/>
              </w:rPr>
            </w:pPr>
          </w:p>
        </w:tc>
        <w:tc>
          <w:tcPr>
            <w:tcW w:w="214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bottom w:val="single" w:sz="8" w:color="auto"/>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8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bottom w:val="single" w:sz="8" w:color="auto"/>
            </w:tcBorders>
          </w:tcPr>
          <w:p>
            <w:pPr>
              <w:spacing w:after="0" w:line="20" w:lineRule="exact"/>
              <w:rPr>
                <w:sz w:val="1"/>
                <w:szCs w:val="1"/>
                <w:color w:val="auto"/>
              </w:rPr>
            </w:pPr>
          </w:p>
        </w:tc>
        <w:tc>
          <w:tcPr>
            <w:tcW w:w="198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4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60" w:right="100" w:hanging="2"/>
        <w:spacing w:after="0" w:line="216"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5"/>
          <w:szCs w:val="15"/>
          <w:color w:val="auto"/>
        </w:rPr>
        <w:t>Average price paid per share and total cash paid for share repurchases does not include any excise tax for share repurchases as part of the Inflation Reduction Act of 2022.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3. DEFAULTS UPON SENIOR SECURITIES.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4. MINE SAFETY DISCLOSURES.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ITEM 5.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046AD"/>
        </w:rPr>
        <w:t>Trading Arrangements</w:t>
      </w:r>
    </w:p>
    <w:p>
      <w:pPr>
        <w:spacing w:after="0" w:line="167" w:lineRule="exact"/>
        <w:rPr>
          <w:sz w:val="20"/>
          <w:szCs w:val="20"/>
          <w:color w:val="auto"/>
        </w:rPr>
      </w:pPr>
    </w:p>
    <w:p>
      <w:pPr>
        <w:jc w:val="both"/>
        <w:ind w:right="100" w:firstLine="619"/>
        <w:spacing w:after="0" w:line="271" w:lineRule="auto"/>
        <w:rPr>
          <w:sz w:val="20"/>
          <w:szCs w:val="20"/>
          <w:color w:val="auto"/>
        </w:rPr>
      </w:pPr>
      <w:r>
        <w:rPr>
          <w:rFonts w:ascii="Arial" w:cs="Arial" w:eastAsia="Arial" w:hAnsi="Arial"/>
          <w:sz w:val="17"/>
          <w:szCs w:val="17"/>
          <w:color w:val="auto"/>
        </w:rPr>
        <w:t>During the three months ended January 31, 2026,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46925" cy="1097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925" cy="1097280"/>
                    </a:xfrm>
                    <a:prstGeom prst="rect">
                      <a:avLst/>
                    </a:prstGeom>
                    <a:noFill/>
                  </pic:spPr>
                </pic:pic>
              </a:graphicData>
            </a:graphic>
          </wp:anchor>
        </w:drawing>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Trading Arrangements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Borders>
              <w:top w:val="single" w:sz="8" w:color="auto"/>
              <w:right w:val="single" w:sz="8" w:color="auto"/>
            </w:tcBorders>
          </w:tcPr>
          <w:p>
            <w:pPr>
              <w:jc w:val="right"/>
              <w:ind w:right="451"/>
              <w:spacing w:after="0"/>
              <w:rPr>
                <w:sz w:val="20"/>
                <w:szCs w:val="20"/>
                <w:color w:val="auto"/>
              </w:rPr>
            </w:pPr>
            <w:r>
              <w:rPr>
                <w:rFonts w:ascii="Arial" w:cs="Arial" w:eastAsia="Arial" w:hAnsi="Arial"/>
                <w:sz w:val="14"/>
                <w:szCs w:val="14"/>
                <w:color w:val="auto"/>
              </w:rPr>
              <w:t>Name and Title</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Action</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Date of Action</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Rule 10b5-1 Trading</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Aggregate Number</w:t>
            </w:r>
          </w:p>
        </w:tc>
        <w:tc>
          <w:tcPr>
            <w:tcW w:w="1900" w:type="dxa"/>
            <w:vAlign w:val="bottom"/>
            <w:tcBorders>
              <w:top w:val="single" w:sz="8" w:color="auto"/>
            </w:tcBorders>
          </w:tcPr>
          <w:p>
            <w:pPr>
              <w:ind w:left="680"/>
              <w:spacing w:after="0"/>
              <w:rPr>
                <w:sz w:val="20"/>
                <w:szCs w:val="20"/>
                <w:color w:val="auto"/>
              </w:rPr>
            </w:pPr>
            <w:r>
              <w:rPr>
                <w:rFonts w:ascii="Arial" w:cs="Arial" w:eastAsia="Arial" w:hAnsi="Arial"/>
                <w:sz w:val="14"/>
                <w:szCs w:val="14"/>
                <w:color w:val="auto"/>
              </w:rPr>
              <w:t>Duration</w:t>
            </w:r>
          </w:p>
        </w:tc>
      </w:tr>
      <w:tr>
        <w:trPr>
          <w:trHeight w:val="193"/>
        </w:trPr>
        <w:tc>
          <w:tcPr>
            <w:tcW w:w="1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4"/>
                <w:szCs w:val="14"/>
                <w:color w:val="auto"/>
                <w:w w:val="96"/>
              </w:rPr>
              <w:t>Arrangement</w:t>
            </w:r>
            <w:r>
              <w:rPr>
                <w:rFonts w:ascii="Arial" w:cs="Arial" w:eastAsia="Arial" w:hAnsi="Arial"/>
                <w:sz w:val="22"/>
                <w:szCs w:val="22"/>
                <w:color w:val="auto"/>
                <w:w w:val="96"/>
                <w:vertAlign w:val="superscript"/>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Trading</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 Securities to Be</w:t>
            </w:r>
          </w:p>
        </w:tc>
        <w:tc>
          <w:tcPr>
            <w:tcW w:w="1900" w:type="dxa"/>
            <w:vAlign w:val="bottom"/>
          </w:tcPr>
          <w:p>
            <w:pPr>
              <w:spacing w:after="0"/>
              <w:rPr>
                <w:sz w:val="16"/>
                <w:szCs w:val="16"/>
                <w:color w:val="auto"/>
              </w:rPr>
            </w:pP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Purchased</w:t>
            </w:r>
          </w:p>
        </w:tc>
        <w:tc>
          <w:tcPr>
            <w:tcW w:w="1900" w:type="dxa"/>
            <w:vAlign w:val="bottom"/>
            <w:tcBorders>
              <w:bottom w:val="single" w:sz="8" w:color="auto"/>
            </w:tcBorders>
          </w:tcPr>
          <w:p>
            <w:pPr>
              <w:spacing w:after="0"/>
              <w:rPr>
                <w:sz w:val="16"/>
                <w:szCs w:val="16"/>
                <w:color w:val="auto"/>
              </w:rPr>
            </w:pPr>
          </w:p>
        </w:tc>
      </w:tr>
      <w:tr>
        <w:trPr>
          <w:trHeight w:val="183"/>
        </w:trPr>
        <w:tc>
          <w:tcPr>
            <w:tcW w:w="194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w w:val="98"/>
              </w:rPr>
              <w:t>Scott Salmirs, President and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December 24,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50,000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0"/>
                <w:szCs w:val="20"/>
                <w:color w:val="auto"/>
              </w:rPr>
            </w:pPr>
            <w:r>
              <w:rPr>
                <w:rFonts w:ascii="Arial" w:cs="Arial" w:eastAsia="Arial" w:hAnsi="Arial"/>
                <w:sz w:val="14"/>
                <w:szCs w:val="14"/>
                <w:color w:val="auto"/>
              </w:rPr>
              <w:t>From March 26, 2026, until</w:t>
            </w:r>
          </w:p>
        </w:tc>
      </w:tr>
      <w:tr>
        <w:trPr>
          <w:trHeight w:val="168"/>
        </w:trPr>
        <w:tc>
          <w:tcPr>
            <w:tcW w:w="1940" w:type="dxa"/>
            <w:vAlign w:val="bottom"/>
            <w:tcBorders>
              <w:right w:val="single" w:sz="8" w:color="auto"/>
            </w:tcBorders>
          </w:tcPr>
          <w:p>
            <w:pPr>
              <w:jc w:val="right"/>
              <w:ind w:right="451"/>
              <w:spacing w:after="0"/>
              <w:rPr>
                <w:sz w:val="20"/>
                <w:szCs w:val="20"/>
                <w:color w:val="auto"/>
              </w:rPr>
            </w:pPr>
            <w:r>
              <w:rPr>
                <w:rFonts w:ascii="Arial" w:cs="Arial" w:eastAsia="Arial" w:hAnsi="Arial"/>
                <w:sz w:val="14"/>
                <w:szCs w:val="14"/>
                <w:color w:val="auto"/>
                <w:w w:val="98"/>
              </w:rPr>
              <w:t>Chief Executive Officer</w:t>
            </w: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2025</w:t>
            </w: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common stock</w:t>
            </w: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the earlier of (i) the date when</w:t>
            </w:r>
          </w:p>
        </w:tc>
      </w:tr>
      <w:tr>
        <w:trPr>
          <w:trHeight w:val="168"/>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all the shares under the plan</w:t>
            </w:r>
          </w:p>
        </w:tc>
      </w:tr>
      <w:tr>
        <w:trPr>
          <w:trHeight w:val="168"/>
        </w:trPr>
        <w:tc>
          <w:tcPr>
            <w:tcW w:w="19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w w:val="99"/>
              </w:rPr>
              <w:t>are sold and (ii) December 31,</w:t>
            </w:r>
          </w:p>
        </w:tc>
      </w:tr>
      <w:tr>
        <w:trPr>
          <w:trHeight w:val="184"/>
        </w:trPr>
        <w:tc>
          <w:tcPr>
            <w:tcW w:w="1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2026</w:t>
            </w:r>
          </w:p>
        </w:tc>
      </w:tr>
    </w:tbl>
    <w:p>
      <w:pPr>
        <w:spacing w:after="0" w:line="283" w:lineRule="exact"/>
        <w:rPr>
          <w:sz w:val="20"/>
          <w:szCs w:val="20"/>
          <w:color w:val="auto"/>
        </w:rPr>
      </w:pPr>
    </w:p>
    <w:p>
      <w:pPr>
        <w:ind w:left="160" w:hanging="157"/>
        <w:spacing w:after="0"/>
        <w:tabs>
          <w:tab w:leader="none" w:pos="16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Intended to satisfy the affirmative defense conditions of Rule 10b5-1(c).</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0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1240" w:type="dxa"/>
            <w:vAlign w:val="bottom"/>
            <w:gridSpan w:val="11"/>
          </w:tcPr>
          <w:p>
            <w:pPr>
              <w:spacing w:after="0"/>
              <w:rPr>
                <w:sz w:val="20"/>
                <w:szCs w:val="20"/>
                <w:color w:val="auto"/>
              </w:rPr>
            </w:pPr>
            <w:r>
              <w:rPr>
                <w:rFonts w:ascii="Arial" w:cs="Arial" w:eastAsia="Arial" w:hAnsi="Arial"/>
                <w:sz w:val="17"/>
                <w:szCs w:val="17"/>
                <w:b w:val="1"/>
                <w:bCs w:val="1"/>
                <w:color w:val="0046AD"/>
              </w:rPr>
              <w:t>ITEM 6. EXHIBITS.</w:t>
            </w:r>
          </w:p>
        </w:tc>
      </w:tr>
      <w:tr>
        <w:trPr>
          <w:trHeight w:val="351"/>
        </w:trPr>
        <w:tc>
          <w:tcPr>
            <w:tcW w:w="11240" w:type="dxa"/>
            <w:vAlign w:val="bottom"/>
            <w:gridSpan w:val="11"/>
          </w:tcPr>
          <w:p>
            <w:pPr>
              <w:ind w:left="620"/>
              <w:spacing w:after="0"/>
              <w:rPr>
                <w:sz w:val="20"/>
                <w:szCs w:val="20"/>
                <w:color w:val="auto"/>
              </w:rPr>
            </w:pPr>
            <w:r>
              <w:rPr>
                <w:rFonts w:ascii="Arial" w:cs="Arial" w:eastAsia="Arial" w:hAnsi="Arial"/>
                <w:sz w:val="17"/>
                <w:szCs w:val="17"/>
                <w:color w:val="auto"/>
              </w:rPr>
              <w:t>(a) Exhibits</w:t>
            </w:r>
          </w:p>
        </w:tc>
      </w:tr>
      <w:tr>
        <w:trPr>
          <w:trHeight w:val="178"/>
        </w:trPr>
        <w:tc>
          <w:tcPr>
            <w:tcW w:w="13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6"/>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b w:val="1"/>
                <w:bCs w:val="1"/>
                <w:color w:val="auto"/>
              </w:rPr>
              <w:t>Exhibit No.</w:t>
            </w:r>
          </w:p>
        </w:tc>
        <w:tc>
          <w:tcPr>
            <w:tcW w:w="9860" w:type="dxa"/>
            <w:vAlign w:val="bottom"/>
            <w:gridSpan w:val="10"/>
            <w:shd w:val="clear" w:color="auto" w:fill="DCE2EF"/>
          </w:tcPr>
          <w:p>
            <w:pPr>
              <w:ind w:left="4220"/>
              <w:spacing w:after="0"/>
              <w:rPr>
                <w:sz w:val="20"/>
                <w:szCs w:val="20"/>
                <w:color w:val="auto"/>
              </w:rPr>
            </w:pPr>
            <w:r>
              <w:rPr>
                <w:rFonts w:ascii="Arial" w:cs="Arial" w:eastAsia="Arial" w:hAnsi="Arial"/>
                <w:sz w:val="15"/>
                <w:szCs w:val="15"/>
                <w:b w:val="1"/>
                <w:bCs w:val="1"/>
                <w:color w:val="auto"/>
              </w:rPr>
              <w:t>Exhibit Description</w:t>
            </w: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10.1</w:t>
            </w:r>
          </w:p>
        </w:tc>
        <w:tc>
          <w:tcPr>
            <w:tcW w:w="9860" w:type="dxa"/>
            <w:vAlign w:val="bottom"/>
            <w:gridSpan w:val="10"/>
          </w:tcPr>
          <w:p>
            <w:pPr>
              <w:spacing w:after="0" w:line="168" w:lineRule="exact"/>
              <w:rPr>
                <w:rFonts w:ascii="Arial" w:cs="Arial" w:eastAsia="Arial" w:hAnsi="Arial"/>
                <w:sz w:val="15"/>
                <w:szCs w:val="15"/>
                <w:color w:val="0000FF"/>
              </w:rPr>
            </w:pPr>
            <w:hyperlink r:id="rId77">
              <w:r>
                <w:rPr>
                  <w:rFonts w:ascii="Arial" w:cs="Arial" w:eastAsia="Arial" w:hAnsi="Arial"/>
                  <w:sz w:val="15"/>
                  <w:szCs w:val="15"/>
                  <w:color w:val="0000FF"/>
                </w:rPr>
                <w:t>First Amendment, dated as of February 3, 2026, to Amended and Restated Credit Agreement, dated as of February 26, 2025, by and among</w:t>
              </w:r>
            </w:hyperlink>
          </w:p>
        </w:tc>
      </w:tr>
      <w:tr>
        <w:trPr>
          <w:trHeight w:val="20"/>
        </w:trPr>
        <w:tc>
          <w:tcPr>
            <w:tcW w:w="1380" w:type="dxa"/>
            <w:vAlign w:val="bottom"/>
          </w:tcPr>
          <w:p>
            <w:pPr>
              <w:spacing w:after="0" w:line="20" w:lineRule="exact"/>
              <w:rPr>
                <w:sz w:val="1"/>
                <w:szCs w:val="1"/>
                <w:color w:val="auto"/>
              </w:rPr>
            </w:pPr>
          </w:p>
        </w:tc>
        <w:tc>
          <w:tcPr>
            <w:tcW w:w="6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0"/>
        </w:trPr>
        <w:tc>
          <w:tcPr>
            <w:tcW w:w="1380" w:type="dxa"/>
            <w:vAlign w:val="bottom"/>
          </w:tcPr>
          <w:p>
            <w:pPr>
              <w:spacing w:after="0"/>
              <w:rPr>
                <w:sz w:val="13"/>
                <w:szCs w:val="13"/>
                <w:color w:val="auto"/>
              </w:rPr>
            </w:pPr>
          </w:p>
        </w:tc>
        <w:tc>
          <w:tcPr>
            <w:tcW w:w="9860" w:type="dxa"/>
            <w:vAlign w:val="bottom"/>
            <w:gridSpan w:val="10"/>
          </w:tcPr>
          <w:p>
            <w:pPr>
              <w:spacing w:after="0" w:line="161" w:lineRule="exact"/>
              <w:rPr>
                <w:rFonts w:ascii="Arial" w:cs="Arial" w:eastAsia="Arial" w:hAnsi="Arial"/>
                <w:sz w:val="15"/>
                <w:szCs w:val="15"/>
                <w:color w:val="0000FF"/>
              </w:rPr>
            </w:pPr>
            <w:hyperlink r:id="rId77">
              <w:r>
                <w:rPr>
                  <w:rFonts w:ascii="Arial" w:cs="Arial" w:eastAsia="Arial" w:hAnsi="Arial"/>
                  <w:sz w:val="15"/>
                  <w:szCs w:val="15"/>
                  <w:color w:val="0000FF"/>
                </w:rPr>
                <w:t>ABM Industries Incorporated, ABM Aviation UK Limited, each of the other subsidiaries of ABM Industries Incorporated from time to time party</w:t>
              </w:r>
            </w:hyperlink>
          </w:p>
        </w:tc>
      </w:tr>
      <w:tr>
        <w:trPr>
          <w:trHeight w:val="160"/>
        </w:trPr>
        <w:tc>
          <w:tcPr>
            <w:tcW w:w="138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61" w:lineRule="exact"/>
              <w:rPr>
                <w:rFonts w:ascii="Arial" w:cs="Arial" w:eastAsia="Arial" w:hAnsi="Arial"/>
                <w:sz w:val="15"/>
                <w:szCs w:val="15"/>
                <w:color w:val="0000FF"/>
              </w:rPr>
            </w:pPr>
            <w:hyperlink r:id="rId77">
              <w:r>
                <w:rPr>
                  <w:rFonts w:ascii="Arial" w:cs="Arial" w:eastAsia="Arial" w:hAnsi="Arial"/>
                  <w:sz w:val="15"/>
                  <w:szCs w:val="15"/>
                  <w:color w:val="0000FF"/>
                </w:rPr>
                <w:t>thereto, the financial institutions listed on the signature pages thereof as lenders and Bank of America, N.A. as administrative agent</w:t>
              </w:r>
            </w:hyperlink>
          </w:p>
        </w:tc>
        <w:tc>
          <w:tcPr>
            <w:tcW w:w="240" w:type="dxa"/>
            <w:vAlign w:val="bottom"/>
          </w:tcPr>
          <w:p>
            <w:pPr>
              <w:spacing w:after="0"/>
              <w:rPr>
                <w:sz w:val="13"/>
                <w:szCs w:val="13"/>
                <w:color w:val="auto"/>
              </w:rPr>
            </w:pPr>
          </w:p>
        </w:tc>
      </w:tr>
      <w:tr>
        <w:trPr>
          <w:trHeight w:val="148"/>
        </w:trPr>
        <w:tc>
          <w:tcPr>
            <w:tcW w:w="1380" w:type="dxa"/>
            <w:vAlign w:val="bottom"/>
          </w:tcPr>
          <w:p>
            <w:pPr>
              <w:spacing w:after="0"/>
              <w:rPr>
                <w:sz w:val="12"/>
                <w:szCs w:val="12"/>
                <w:color w:val="auto"/>
              </w:rPr>
            </w:pPr>
          </w:p>
        </w:tc>
        <w:tc>
          <w:tcPr>
            <w:tcW w:w="8960" w:type="dxa"/>
            <w:vAlign w:val="bottom"/>
            <w:tcBorders>
              <w:top w:val="single" w:sz="8" w:color="0000FF"/>
            </w:tcBorders>
            <w:gridSpan w:val="6"/>
          </w:tcPr>
          <w:p>
            <w:pPr>
              <w:spacing w:after="0" w:line="148" w:lineRule="exact"/>
              <w:rPr>
                <w:rFonts w:ascii="Arial" w:cs="Arial" w:eastAsia="Arial" w:hAnsi="Arial"/>
                <w:sz w:val="15"/>
                <w:szCs w:val="15"/>
                <w:color w:val="0000FF"/>
              </w:rPr>
            </w:pPr>
            <w:hyperlink r:id="rId77">
              <w:r>
                <w:rPr>
                  <w:rFonts w:ascii="Arial" w:cs="Arial" w:eastAsia="Arial" w:hAnsi="Arial"/>
                  <w:sz w:val="15"/>
                  <w:szCs w:val="15"/>
                  <w:color w:val="0000FF"/>
                </w:rPr>
                <w:t>(incorporated by reference to Exhibit 10.1 to the Company's Current Report on Form 8-K, filed on February 5, 2026)</w:t>
              </w:r>
            </w:hyperlink>
          </w:p>
        </w:tc>
        <w:tc>
          <w:tcPr>
            <w:tcW w:w="60" w:type="dxa"/>
            <w:vAlign w:val="bottom"/>
          </w:tcPr>
          <w:p>
            <w:pPr>
              <w:spacing w:after="0"/>
              <w:rPr>
                <w:sz w:val="12"/>
                <w:szCs w:val="12"/>
                <w:color w:val="auto"/>
              </w:rPr>
            </w:pPr>
          </w:p>
        </w:tc>
        <w:tc>
          <w:tcPr>
            <w:tcW w:w="840" w:type="dxa"/>
            <w:vAlign w:val="bottom"/>
            <w:gridSpan w:val="3"/>
          </w:tcPr>
          <w:p>
            <w:pPr>
              <w:spacing w:after="0"/>
              <w:rPr>
                <w:sz w:val="12"/>
                <w:szCs w:val="12"/>
                <w:color w:val="auto"/>
              </w:rPr>
            </w:pPr>
          </w:p>
        </w:tc>
      </w:tr>
      <w:tr>
        <w:trPr>
          <w:trHeight w:val="44"/>
        </w:trPr>
        <w:tc>
          <w:tcPr>
            <w:tcW w:w="1380" w:type="dxa"/>
            <w:vAlign w:val="bottom"/>
          </w:tcPr>
          <w:p>
            <w:pPr>
              <w:spacing w:after="0"/>
              <w:rPr>
                <w:sz w:val="3"/>
                <w:szCs w:val="3"/>
                <w:color w:val="auto"/>
              </w:rPr>
            </w:pPr>
          </w:p>
        </w:tc>
        <w:tc>
          <w:tcPr>
            <w:tcW w:w="68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12"/>
        </w:trPr>
        <w:tc>
          <w:tcPr>
            <w:tcW w:w="1380" w:type="dxa"/>
            <w:vAlign w:val="bottom"/>
            <w:shd w:val="clear" w:color="auto" w:fill="DCE2EF"/>
          </w:tcPr>
          <w:p>
            <w:pPr>
              <w:ind w:left="20"/>
              <w:spacing w:after="0" w:line="168" w:lineRule="exact"/>
              <w:rPr>
                <w:sz w:val="20"/>
                <w:szCs w:val="20"/>
                <w:color w:val="auto"/>
              </w:rPr>
            </w:pPr>
            <w:r>
              <w:rPr>
                <w:rFonts w:ascii="Arial" w:cs="Arial" w:eastAsia="Arial" w:hAnsi="Arial"/>
                <w:sz w:val="15"/>
                <w:szCs w:val="15"/>
                <w:color w:val="auto"/>
              </w:rPr>
              <w:t>10.2*†</w:t>
            </w:r>
          </w:p>
        </w:tc>
        <w:tc>
          <w:tcPr>
            <w:tcW w:w="9860" w:type="dxa"/>
            <w:vAlign w:val="bottom"/>
            <w:gridSpan w:val="10"/>
            <w:shd w:val="clear" w:color="auto" w:fill="DCE2EF"/>
          </w:tcPr>
          <w:p>
            <w:pPr>
              <w:spacing w:after="0" w:line="168" w:lineRule="exact"/>
              <w:rPr>
                <w:sz w:val="20"/>
                <w:szCs w:val="20"/>
                <w:color w:val="auto"/>
              </w:rPr>
            </w:pPr>
            <w:r>
              <w:rPr>
                <w:rFonts w:ascii="Arial" w:cs="Arial" w:eastAsia="Arial" w:hAnsi="Arial"/>
                <w:sz w:val="15"/>
                <w:szCs w:val="15"/>
                <w:color w:val="0000FF"/>
              </w:rPr>
              <w:t>Executive Employment Agreement, dated as of October 31, 2020, by and between ABM Industries Incorporated and Sean Mahoney</w:t>
            </w:r>
          </w:p>
        </w:tc>
      </w:tr>
      <w:tr>
        <w:trPr>
          <w:trHeight w:val="168"/>
        </w:trPr>
        <w:tc>
          <w:tcPr>
            <w:tcW w:w="1380" w:type="dxa"/>
            <w:vAlign w:val="bottom"/>
            <w:tcBorders>
              <w:top w:val="single" w:sz="8" w:color="DCE2EF"/>
            </w:tcBorders>
          </w:tcPr>
          <w:p>
            <w:pPr>
              <w:ind w:left="20"/>
              <w:spacing w:after="0" w:line="168" w:lineRule="exact"/>
              <w:rPr>
                <w:sz w:val="20"/>
                <w:szCs w:val="20"/>
                <w:color w:val="auto"/>
              </w:rPr>
            </w:pPr>
            <w:r>
              <w:rPr>
                <w:rFonts w:ascii="Arial" w:cs="Arial" w:eastAsia="Arial" w:hAnsi="Arial"/>
                <w:sz w:val="15"/>
                <w:szCs w:val="15"/>
                <w:color w:val="auto"/>
              </w:rPr>
              <w:t>10.3*†</w:t>
            </w:r>
          </w:p>
        </w:tc>
        <w:tc>
          <w:tcPr>
            <w:tcW w:w="9020" w:type="dxa"/>
            <w:vAlign w:val="bottom"/>
            <w:tcBorders>
              <w:top w:val="single" w:sz="8" w:color="0000FF"/>
            </w:tcBorders>
            <w:gridSpan w:val="7"/>
          </w:tcPr>
          <w:p>
            <w:pPr>
              <w:spacing w:after="0" w:line="168" w:lineRule="exact"/>
              <w:rPr>
                <w:sz w:val="20"/>
                <w:szCs w:val="20"/>
                <w:color w:val="auto"/>
              </w:rPr>
            </w:pPr>
            <w:r>
              <w:rPr>
                <w:rFonts w:ascii="Arial" w:cs="Arial" w:eastAsia="Arial" w:hAnsi="Arial"/>
                <w:sz w:val="15"/>
                <w:szCs w:val="15"/>
                <w:color w:val="0000FF"/>
              </w:rPr>
              <w:t>Change in Control Agreement, dated as of October 31, 2020, by and between ABM Industries Incorporated and Sean Mahoney</w:t>
            </w:r>
          </w:p>
        </w:tc>
        <w:tc>
          <w:tcPr>
            <w:tcW w:w="840" w:type="dxa"/>
            <w:vAlign w:val="bottom"/>
            <w:tcBorders>
              <w:top w:val="single" w:sz="8" w:color="DCE2EF"/>
            </w:tcBorders>
            <w:gridSpan w:val="3"/>
          </w:tcPr>
          <w:p>
            <w:pPr>
              <w:spacing w:after="0"/>
              <w:rPr>
                <w:sz w:val="14"/>
                <w:szCs w:val="14"/>
                <w:color w:val="auto"/>
              </w:rPr>
            </w:pPr>
          </w:p>
        </w:tc>
      </w:tr>
      <w:tr>
        <w:trPr>
          <w:trHeight w:val="44"/>
        </w:trPr>
        <w:tc>
          <w:tcPr>
            <w:tcW w:w="1380" w:type="dxa"/>
            <w:vAlign w:val="bottom"/>
          </w:tcPr>
          <w:p>
            <w:pPr>
              <w:spacing w:after="0"/>
              <w:rPr>
                <w:sz w:val="3"/>
                <w:szCs w:val="3"/>
                <w:color w:val="auto"/>
              </w:rPr>
            </w:pPr>
          </w:p>
        </w:tc>
        <w:tc>
          <w:tcPr>
            <w:tcW w:w="68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12"/>
        </w:trPr>
        <w:tc>
          <w:tcPr>
            <w:tcW w:w="1380" w:type="dxa"/>
            <w:vAlign w:val="bottom"/>
            <w:tcBorders>
              <w:bottom w:val="single" w:sz="8" w:color="DCE2EF"/>
            </w:tcBorders>
            <w:shd w:val="clear" w:color="auto" w:fill="DCE2EF"/>
          </w:tcPr>
          <w:p>
            <w:pPr>
              <w:ind w:left="20"/>
              <w:spacing w:after="0" w:line="168" w:lineRule="exact"/>
              <w:rPr>
                <w:sz w:val="20"/>
                <w:szCs w:val="20"/>
                <w:color w:val="auto"/>
              </w:rPr>
            </w:pPr>
            <w:r>
              <w:rPr>
                <w:rFonts w:ascii="Arial" w:cs="Arial" w:eastAsia="Arial" w:hAnsi="Arial"/>
                <w:sz w:val="15"/>
                <w:szCs w:val="15"/>
                <w:color w:val="auto"/>
              </w:rPr>
              <w:t>31.1†</w:t>
            </w:r>
          </w:p>
        </w:tc>
        <w:tc>
          <w:tcPr>
            <w:tcW w:w="6920" w:type="dxa"/>
            <w:vAlign w:val="bottom"/>
            <w:tcBorders>
              <w:bottom w:val="single" w:sz="8" w:color="0000FF"/>
            </w:tcBorders>
            <w:gridSpan w:val="2"/>
            <w:shd w:val="clear" w:color="auto" w:fill="DCE2EF"/>
          </w:tcPr>
          <w:p>
            <w:pPr>
              <w:spacing w:after="0" w:line="168" w:lineRule="exact"/>
              <w:rPr>
                <w:sz w:val="20"/>
                <w:szCs w:val="20"/>
                <w:color w:val="auto"/>
              </w:rPr>
            </w:pPr>
            <w:r>
              <w:rPr>
                <w:rFonts w:ascii="Arial" w:cs="Arial" w:eastAsia="Arial" w:hAnsi="Arial"/>
                <w:sz w:val="15"/>
                <w:szCs w:val="15"/>
                <w:color w:val="0000FF"/>
              </w:rPr>
              <w:t>Certification of Principal Executive Officer pursuant to Section 302 of the Sarbanes-Oxley Act of 2002</w:t>
            </w:r>
          </w:p>
        </w:tc>
        <w:tc>
          <w:tcPr>
            <w:tcW w:w="2940" w:type="dxa"/>
            <w:vAlign w:val="bottom"/>
            <w:tcBorders>
              <w:bottom w:val="single" w:sz="8" w:color="DCE2EF"/>
            </w:tcBorders>
            <w:gridSpan w:val="8"/>
            <w:shd w:val="clear" w:color="auto" w:fill="DCE2EF"/>
          </w:tcPr>
          <w:p>
            <w:pPr>
              <w:spacing w:after="0"/>
              <w:rPr>
                <w:sz w:val="18"/>
                <w:szCs w:val="18"/>
                <w:color w:val="auto"/>
              </w:rPr>
            </w:pP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5"/>
                <w:szCs w:val="15"/>
                <w:color w:val="auto"/>
              </w:rPr>
              <w:t>31.2†</w:t>
            </w:r>
          </w:p>
        </w:tc>
        <w:tc>
          <w:tcPr>
            <w:tcW w:w="9860" w:type="dxa"/>
            <w:vAlign w:val="bottom"/>
            <w:gridSpan w:val="10"/>
          </w:tcPr>
          <w:p>
            <w:pPr>
              <w:spacing w:after="0" w:line="168" w:lineRule="exact"/>
              <w:rPr>
                <w:sz w:val="20"/>
                <w:szCs w:val="20"/>
                <w:color w:val="auto"/>
              </w:rPr>
            </w:pPr>
            <w:r>
              <w:rPr>
                <w:rFonts w:ascii="Arial" w:cs="Arial" w:eastAsia="Arial" w:hAnsi="Arial"/>
                <w:sz w:val="15"/>
                <w:szCs w:val="15"/>
                <w:color w:val="0000FF"/>
              </w:rPr>
              <w:t>Certification of Principal Financial Officer pursuant to Section 302 of the Sarbanes-Oxley Act of 2002</w:t>
            </w:r>
          </w:p>
        </w:tc>
      </w:tr>
      <w:tr>
        <w:trPr>
          <w:trHeight w:val="29"/>
        </w:trPr>
        <w:tc>
          <w:tcPr>
            <w:tcW w:w="1380" w:type="dxa"/>
            <w:vAlign w:val="bottom"/>
          </w:tcPr>
          <w:p>
            <w:pPr>
              <w:spacing w:after="0"/>
              <w:rPr>
                <w:sz w:val="2"/>
                <w:szCs w:val="2"/>
                <w:color w:val="auto"/>
              </w:rPr>
            </w:pPr>
          </w:p>
        </w:tc>
        <w:tc>
          <w:tcPr>
            <w:tcW w:w="68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7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32‡</w:t>
            </w:r>
          </w:p>
        </w:tc>
        <w:tc>
          <w:tcPr>
            <w:tcW w:w="9860" w:type="dxa"/>
            <w:vAlign w:val="bottom"/>
            <w:gridSpan w:val="10"/>
            <w:shd w:val="clear" w:color="auto" w:fill="DCE2EF"/>
          </w:tcPr>
          <w:p>
            <w:pPr>
              <w:spacing w:after="0"/>
              <w:rPr>
                <w:sz w:val="20"/>
                <w:szCs w:val="20"/>
                <w:color w:val="auto"/>
              </w:rPr>
            </w:pPr>
            <w:r>
              <w:rPr>
                <w:rFonts w:ascii="Arial" w:cs="Arial" w:eastAsia="Arial" w:hAnsi="Arial"/>
                <w:sz w:val="15"/>
                <w:szCs w:val="15"/>
                <w:color w:val="0000FF"/>
              </w:rPr>
              <w:t>Certification pursuant to 18 U.S.C. Section 1350, as adopted pursuant to Section 906 of the Sarbanes-Oxley Act of 2002</w:t>
            </w:r>
          </w:p>
        </w:tc>
      </w:tr>
      <w:tr>
        <w:trPr>
          <w:trHeight w:val="39"/>
        </w:trPr>
        <w:tc>
          <w:tcPr>
            <w:tcW w:w="1380" w:type="dxa"/>
            <w:vAlign w:val="bottom"/>
            <w:shd w:val="clear" w:color="auto" w:fill="DCE2EF"/>
          </w:tcPr>
          <w:p>
            <w:pPr>
              <w:spacing w:after="0"/>
              <w:rPr>
                <w:sz w:val="3"/>
                <w:szCs w:val="3"/>
                <w:color w:val="auto"/>
              </w:rPr>
            </w:pPr>
          </w:p>
        </w:tc>
        <w:tc>
          <w:tcPr>
            <w:tcW w:w="68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80" w:type="dxa"/>
            <w:vAlign w:val="bottom"/>
            <w:shd w:val="clear" w:color="auto" w:fill="DCE2EF"/>
          </w:tcPr>
          <w:p>
            <w:pPr>
              <w:spacing w:after="0"/>
              <w:rPr>
                <w:sz w:val="3"/>
                <w:szCs w:val="3"/>
                <w:color w:val="auto"/>
              </w:rPr>
            </w:pPr>
          </w:p>
        </w:tc>
        <w:tc>
          <w:tcPr>
            <w:tcW w:w="260" w:type="dxa"/>
            <w:vAlign w:val="bottom"/>
            <w:shd w:val="clear" w:color="auto" w:fill="DCE2EF"/>
          </w:tcPr>
          <w:p>
            <w:pPr>
              <w:spacing w:after="0"/>
              <w:rPr>
                <w:sz w:val="3"/>
                <w:szCs w:val="3"/>
                <w:color w:val="auto"/>
              </w:rPr>
            </w:pPr>
          </w:p>
        </w:tc>
        <w:tc>
          <w:tcPr>
            <w:tcW w:w="60" w:type="dxa"/>
            <w:vAlign w:val="bottom"/>
            <w:shd w:val="clear" w:color="auto" w:fill="DCE2EF"/>
          </w:tcPr>
          <w:p>
            <w:pPr>
              <w:spacing w:after="0"/>
              <w:rPr>
                <w:sz w:val="3"/>
                <w:szCs w:val="3"/>
                <w:color w:val="auto"/>
              </w:rPr>
            </w:pPr>
          </w:p>
        </w:tc>
        <w:tc>
          <w:tcPr>
            <w:tcW w:w="580" w:type="dxa"/>
            <w:vAlign w:val="bottom"/>
            <w:shd w:val="clear" w:color="auto" w:fill="DCE2EF"/>
          </w:tcPr>
          <w:p>
            <w:pPr>
              <w:spacing w:after="0"/>
              <w:rPr>
                <w:sz w:val="3"/>
                <w:szCs w:val="3"/>
                <w:color w:val="auto"/>
              </w:rPr>
            </w:pPr>
          </w:p>
        </w:tc>
        <w:tc>
          <w:tcPr>
            <w:tcW w:w="20" w:type="dxa"/>
            <w:vAlign w:val="bottom"/>
            <w:shd w:val="clear" w:color="auto" w:fill="DCE2EF"/>
          </w:tcPr>
          <w:p>
            <w:pPr>
              <w:spacing w:after="0"/>
              <w:rPr>
                <w:sz w:val="3"/>
                <w:szCs w:val="3"/>
                <w:color w:val="auto"/>
              </w:rPr>
            </w:pPr>
          </w:p>
        </w:tc>
        <w:tc>
          <w:tcPr>
            <w:tcW w:w="240" w:type="dxa"/>
            <w:vAlign w:val="bottom"/>
            <w:shd w:val="clear" w:color="auto" w:fill="DCE2EF"/>
          </w:tcPr>
          <w:p>
            <w:pPr>
              <w:spacing w:after="0"/>
              <w:rPr>
                <w:sz w:val="3"/>
                <w:szCs w:val="3"/>
                <w:color w:val="auto"/>
              </w:rPr>
            </w:pPr>
          </w:p>
        </w:tc>
      </w:tr>
      <w:tr>
        <w:trPr>
          <w:trHeight w:val="155"/>
        </w:trPr>
        <w:tc>
          <w:tcPr>
            <w:tcW w:w="1380" w:type="dxa"/>
            <w:vAlign w:val="bottom"/>
          </w:tcPr>
          <w:p>
            <w:pPr>
              <w:ind w:left="20"/>
              <w:spacing w:after="0" w:line="156" w:lineRule="exact"/>
              <w:rPr>
                <w:sz w:val="20"/>
                <w:szCs w:val="20"/>
                <w:color w:val="auto"/>
              </w:rPr>
            </w:pPr>
            <w:r>
              <w:rPr>
                <w:rFonts w:ascii="Arial" w:cs="Arial" w:eastAsia="Arial" w:hAnsi="Arial"/>
                <w:sz w:val="15"/>
                <w:szCs w:val="15"/>
                <w:color w:val="auto"/>
              </w:rPr>
              <w:t>101.INS†</w:t>
            </w:r>
          </w:p>
        </w:tc>
        <w:tc>
          <w:tcPr>
            <w:tcW w:w="9860" w:type="dxa"/>
            <w:vAlign w:val="bottom"/>
            <w:gridSpan w:val="10"/>
          </w:tcPr>
          <w:p>
            <w:pPr>
              <w:spacing w:after="0" w:line="156" w:lineRule="exact"/>
              <w:rPr>
                <w:sz w:val="20"/>
                <w:szCs w:val="20"/>
                <w:color w:val="auto"/>
              </w:rPr>
            </w:pPr>
            <w:r>
              <w:rPr>
                <w:rFonts w:ascii="Arial" w:cs="Arial" w:eastAsia="Arial" w:hAnsi="Arial"/>
                <w:sz w:val="15"/>
                <w:szCs w:val="15"/>
                <w:color w:val="auto"/>
              </w:rPr>
              <w:t>Inline XBRL Instance Document (the instance document does not appear in the Interactive Data File because its XBRL tags are embedded</w:t>
            </w:r>
          </w:p>
        </w:tc>
      </w:tr>
      <w:tr>
        <w:trPr>
          <w:trHeight w:val="205"/>
        </w:trPr>
        <w:tc>
          <w:tcPr>
            <w:tcW w:w="1380" w:type="dxa"/>
            <w:vAlign w:val="bottom"/>
          </w:tcPr>
          <w:p>
            <w:pPr>
              <w:spacing w:after="0"/>
              <w:rPr>
                <w:sz w:val="17"/>
                <w:szCs w:val="17"/>
                <w:color w:val="auto"/>
              </w:rPr>
            </w:pPr>
          </w:p>
        </w:tc>
        <w:tc>
          <w:tcPr>
            <w:tcW w:w="986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101.SCH†</w:t>
            </w:r>
          </w:p>
        </w:tc>
        <w:tc>
          <w:tcPr>
            <w:tcW w:w="9860" w:type="dxa"/>
            <w:vAlign w:val="bottom"/>
            <w:gridSpan w:val="10"/>
            <w:shd w:val="clear" w:color="auto" w:fill="DCE2EF"/>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101.CAL†</w:t>
            </w:r>
          </w:p>
        </w:tc>
        <w:tc>
          <w:tcPr>
            <w:tcW w:w="9860" w:type="dxa"/>
            <w:vAlign w:val="bottom"/>
            <w:gridSpan w:val="10"/>
          </w:tcPr>
          <w:p>
            <w:pPr>
              <w:spacing w:after="0"/>
              <w:rPr>
                <w:sz w:val="20"/>
                <w:szCs w:val="20"/>
                <w:color w:val="auto"/>
              </w:rPr>
            </w:pPr>
            <w:r>
              <w:rPr>
                <w:rFonts w:ascii="Arial" w:cs="Arial" w:eastAsia="Arial" w:hAnsi="Arial"/>
                <w:sz w:val="15"/>
                <w:szCs w:val="15"/>
                <w:color w:val="auto"/>
              </w:rPr>
              <w:t>Inline XBRL Taxonomy Calculation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101.DEF†</w:t>
            </w:r>
          </w:p>
        </w:tc>
        <w:tc>
          <w:tcPr>
            <w:tcW w:w="9860" w:type="dxa"/>
            <w:vAlign w:val="bottom"/>
            <w:gridSpan w:val="10"/>
            <w:shd w:val="clear" w:color="auto" w:fill="DCE2EF"/>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101.LAB†</w:t>
            </w:r>
          </w:p>
        </w:tc>
        <w:tc>
          <w:tcPr>
            <w:tcW w:w="9860" w:type="dxa"/>
            <w:vAlign w:val="bottom"/>
            <w:gridSpan w:val="10"/>
          </w:tcPr>
          <w:p>
            <w:pPr>
              <w:spacing w:after="0"/>
              <w:rPr>
                <w:sz w:val="20"/>
                <w:szCs w:val="20"/>
                <w:color w:val="auto"/>
              </w:rPr>
            </w:pPr>
            <w:r>
              <w:rPr>
                <w:rFonts w:ascii="Arial" w:cs="Arial" w:eastAsia="Arial" w:hAnsi="Arial"/>
                <w:sz w:val="15"/>
                <w:szCs w:val="15"/>
                <w:color w:val="auto"/>
              </w:rPr>
              <w:t>Inline XBRL Taxonomy Label Linkbase Document</w:t>
            </w:r>
          </w:p>
        </w:tc>
      </w:tr>
      <w:tr>
        <w:trPr>
          <w:trHeight w:val="207"/>
        </w:trPr>
        <w:tc>
          <w:tcPr>
            <w:tcW w:w="1380" w:type="dxa"/>
            <w:vAlign w:val="bottom"/>
            <w:shd w:val="clear" w:color="auto" w:fill="DCE2EF"/>
          </w:tcPr>
          <w:p>
            <w:pPr>
              <w:ind w:left="20"/>
              <w:spacing w:after="0"/>
              <w:rPr>
                <w:sz w:val="20"/>
                <w:szCs w:val="20"/>
                <w:color w:val="auto"/>
              </w:rPr>
            </w:pPr>
            <w:r>
              <w:rPr>
                <w:rFonts w:ascii="Arial" w:cs="Arial" w:eastAsia="Arial" w:hAnsi="Arial"/>
                <w:sz w:val="15"/>
                <w:szCs w:val="15"/>
                <w:color w:val="auto"/>
              </w:rPr>
              <w:t>101.PRE†</w:t>
            </w:r>
          </w:p>
        </w:tc>
        <w:tc>
          <w:tcPr>
            <w:tcW w:w="9860" w:type="dxa"/>
            <w:vAlign w:val="bottom"/>
            <w:gridSpan w:val="10"/>
            <w:shd w:val="clear" w:color="auto" w:fill="DCE2EF"/>
          </w:tcPr>
          <w:p>
            <w:pPr>
              <w:spacing w:after="0"/>
              <w:rPr>
                <w:sz w:val="20"/>
                <w:szCs w:val="20"/>
                <w:color w:val="auto"/>
              </w:rPr>
            </w:pPr>
            <w:r>
              <w:rPr>
                <w:rFonts w:ascii="Arial" w:cs="Arial" w:eastAsia="Arial" w:hAnsi="Arial"/>
                <w:sz w:val="15"/>
                <w:szCs w:val="15"/>
                <w:color w:val="auto"/>
              </w:rPr>
              <w:t>Inline XBRL Presentation Linkbase Document</w:t>
            </w: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104†</w:t>
            </w:r>
          </w:p>
        </w:tc>
        <w:tc>
          <w:tcPr>
            <w:tcW w:w="9860" w:type="dxa"/>
            <w:vAlign w:val="bottom"/>
            <w:gridSpan w:val="10"/>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r>
    </w:tbl>
    <w:p>
      <w:pPr>
        <w:spacing w:after="0" w:line="273" w:lineRule="exact"/>
        <w:rPr>
          <w:sz w:val="20"/>
          <w:szCs w:val="20"/>
          <w:color w:val="auto"/>
        </w:rPr>
      </w:pPr>
    </w:p>
    <w:p>
      <w:pPr>
        <w:ind w:left="720" w:hanging="648"/>
        <w:spacing w:after="0"/>
        <w:tabs>
          <w:tab w:leader="none" w:pos="7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contract, or arrangement.</w:t>
      </w:r>
    </w:p>
    <w:p>
      <w:pPr>
        <w:spacing w:after="0" w:line="47" w:lineRule="exact"/>
        <w:rPr>
          <w:sz w:val="20"/>
          <w:szCs w:val="20"/>
          <w:color w:val="auto"/>
        </w:rPr>
      </w:pPr>
    </w:p>
    <w:p>
      <w:pPr>
        <w:ind w:left="720" w:hanging="648"/>
        <w:spacing w:after="0"/>
        <w:tabs>
          <w:tab w:leader="none" w:pos="7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Indicates filed herewith.</w:t>
      </w:r>
    </w:p>
    <w:p>
      <w:pPr>
        <w:spacing w:after="0" w:line="34" w:lineRule="exact"/>
        <w:rPr>
          <w:sz w:val="20"/>
          <w:szCs w:val="20"/>
          <w:color w:val="auto"/>
        </w:rPr>
      </w:pPr>
    </w:p>
    <w:p>
      <w:pPr>
        <w:ind w:left="720" w:hanging="648"/>
        <w:spacing w:after="0"/>
        <w:tabs>
          <w:tab w:leader="none" w:pos="7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25"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ABM Industries Incorporated</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highlight w:val="yellow"/>
        </w:rPr>
        <w:t>March 10, 2026</w:t>
      </w:r>
      <w:r>
        <w:rPr>
          <w:sz w:val="20"/>
          <w:szCs w:val="20"/>
          <w:color w:val="auto"/>
        </w:rPr>
        <w:tab/>
      </w:r>
      <w:r>
        <w:rPr>
          <w:rFonts w:ascii="Arial" w:cs="Arial" w:eastAsia="Arial" w:hAnsi="Arial"/>
          <w:sz w:val="15"/>
          <w:szCs w:val="15"/>
          <w:u w:val="single" w:color="auto"/>
          <w:color w:val="auto"/>
        </w:rPr>
        <w:t>/s/ David M. Orr</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David M. Orr</w:t>
      </w:r>
    </w:p>
    <w:p>
      <w:pPr>
        <w:ind w:left="6440"/>
        <w:spacing w:after="0" w:line="215" w:lineRule="auto"/>
        <w:rPr>
          <w:sz w:val="20"/>
          <w:szCs w:val="20"/>
          <w:color w:val="auto"/>
        </w:rPr>
      </w:pPr>
      <w:r>
        <w:rPr>
          <w:rFonts w:ascii="Arial" w:cs="Arial" w:eastAsia="Arial" w:hAnsi="Arial"/>
          <w:sz w:val="15"/>
          <w:szCs w:val="15"/>
          <w:color w:val="auto"/>
        </w:rPr>
        <w:t>Executive Vice President and Chief Financial Officer</w:t>
      </w:r>
    </w:p>
    <w:p>
      <w:pPr>
        <w:ind w:left="644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5"/>
          <w:szCs w:val="15"/>
          <w:u w:val="single" w:color="auto"/>
          <w:color w:val="auto"/>
          <w:highlight w:val="yellow"/>
        </w:rPr>
        <w:t>March 10, 2026</w:t>
      </w:r>
      <w:r>
        <w:rPr>
          <w:sz w:val="20"/>
          <w:szCs w:val="20"/>
          <w:color w:val="auto"/>
        </w:rPr>
        <w:tab/>
      </w:r>
      <w:r>
        <w:rPr>
          <w:rFonts w:ascii="Arial" w:cs="Arial" w:eastAsia="Arial" w:hAnsi="Arial"/>
          <w:sz w:val="15"/>
          <w:szCs w:val="15"/>
          <w:u w:val="single" w:color="auto"/>
          <w:color w:val="auto"/>
        </w:rPr>
        <w:t>/s/ Dean A. Chin</w:t>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5"/>
          <w:szCs w:val="15"/>
          <w:color w:val="auto"/>
        </w:rPr>
        <w:t>Dean A. Chin</w:t>
      </w:r>
    </w:p>
    <w:p>
      <w:pPr>
        <w:ind w:left="6440"/>
        <w:spacing w:after="0" w:line="215" w:lineRule="auto"/>
        <w:rPr>
          <w:sz w:val="20"/>
          <w:szCs w:val="20"/>
          <w:color w:val="auto"/>
        </w:rPr>
      </w:pPr>
      <w:r>
        <w:rPr>
          <w:rFonts w:ascii="Arial" w:cs="Arial" w:eastAsia="Arial" w:hAnsi="Arial"/>
          <w:sz w:val="15"/>
          <w:szCs w:val="15"/>
          <w:color w:val="auto"/>
        </w:rPr>
        <w:t>Senior Vice President, Chief Accounting Officer, Corporate Controller</w:t>
      </w:r>
    </w:p>
    <w:p>
      <w:pPr>
        <w:ind w:left="6440"/>
        <w:spacing w:after="0" w:line="215" w:lineRule="auto"/>
        <w:rPr>
          <w:sz w:val="20"/>
          <w:szCs w:val="20"/>
          <w:color w:val="auto"/>
        </w:rPr>
      </w:pPr>
      <w:r>
        <w:rPr>
          <w:rFonts w:ascii="Arial" w:cs="Arial" w:eastAsia="Arial" w:hAnsi="Arial"/>
          <w:sz w:val="15"/>
          <w:szCs w:val="15"/>
          <w:color w:val="auto"/>
        </w:rPr>
        <w:t>and Treasurer</w:t>
      </w:r>
    </w:p>
    <w:p>
      <w:pPr>
        <w:ind w:left="6440"/>
        <w:spacing w:after="0"/>
        <w:rPr>
          <w:sz w:val="20"/>
          <w:szCs w:val="20"/>
          <w:color w:val="auto"/>
        </w:rPr>
      </w:pPr>
      <w:r>
        <w:rPr>
          <w:rFonts w:ascii="Arial" w:cs="Arial" w:eastAsia="Arial" w:hAnsi="Arial"/>
          <w:sz w:val="15"/>
          <w:szCs w:val="15"/>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2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1"/>
          <w:szCs w:val="21"/>
          <w:b w:val="1"/>
          <w:bCs w:val="1"/>
          <w:color w:val="auto"/>
        </w:rPr>
        <w:t>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THIS EXECUTIVE EMPLOYMENT AGREEMENT </w:t>
      </w:r>
      <w:r>
        <w:rPr>
          <w:rFonts w:ascii="Times New Roman" w:cs="Times New Roman" w:eastAsia="Times New Roman" w:hAnsi="Times New Roman"/>
          <w:sz w:val="21"/>
          <w:szCs w:val="21"/>
          <w:color w:val="auto"/>
        </w:rPr>
        <w:t>(“Agreement”) is effective October 31, 2020 (“Effective Date”)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Sean Mahoney (“Executive”) and ABM Industries Incorporated, a Delaware corporation (“Company” or “ABM”).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consideration of the terms and commitments contained in this Agreement, the parties agree to and acknowledge the following:</w:t>
      </w:r>
    </w:p>
    <w:p>
      <w:pPr>
        <w:spacing w:after="0" w:line="206" w:lineRule="exact"/>
        <w:rPr>
          <w:sz w:val="20"/>
          <w:szCs w:val="20"/>
          <w:color w:val="auto"/>
        </w:rPr>
      </w:pPr>
    </w:p>
    <w:p>
      <w:pPr>
        <w:ind w:left="620" w:hanging="617"/>
        <w:spacing w:after="0" w:line="217" w:lineRule="auto"/>
        <w:tabs>
          <w:tab w:leader="none" w:pos="62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EMPLOYMENT. </w:t>
      </w:r>
      <w:r>
        <w:rPr>
          <w:rFonts w:ascii="Times New Roman" w:cs="Times New Roman" w:eastAsia="Times New Roman" w:hAnsi="Times New Roman"/>
          <w:sz w:val="21"/>
          <w:szCs w:val="21"/>
          <w:color w:val="auto"/>
        </w:rPr>
        <w:t>The Company agrees to employ Executive, and Executive hereby accepts such employment, on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set forth in this Agreement.</w:t>
      </w:r>
    </w:p>
    <w:p>
      <w:pPr>
        <w:spacing w:after="0" w:line="1" w:lineRule="exact"/>
        <w:rPr>
          <w:rFonts w:ascii="Times New Roman" w:cs="Times New Roman" w:eastAsia="Times New Roman" w:hAnsi="Times New Roman"/>
          <w:sz w:val="21"/>
          <w:szCs w:val="21"/>
          <w:b w:val="1"/>
          <w:bCs w:val="1"/>
          <w:color w:val="auto"/>
        </w:rPr>
      </w:pPr>
    </w:p>
    <w:p>
      <w:pPr>
        <w:jc w:val="both"/>
        <w:ind w:left="620" w:hanging="617"/>
        <w:spacing w:after="0" w:line="205" w:lineRule="auto"/>
        <w:tabs>
          <w:tab w:leader="none" w:pos="62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DUTIES, RESPONSIBILITIES AND TITLE. </w:t>
      </w:r>
      <w:r>
        <w:rPr>
          <w:rFonts w:ascii="Times New Roman" w:cs="Times New Roman" w:eastAsia="Times New Roman" w:hAnsi="Times New Roman"/>
          <w:sz w:val="21"/>
          <w:szCs w:val="21"/>
          <w:color w:val="auto"/>
        </w:rPr>
        <w:t>Executive’s title shall be Executive Vice President and President, Sales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Marketing of the Company and such other titles as may be assigned from time to time by the Company. Executive shall have and perform such duties, functions and responsibilities relating to Executive's employment with Company as may be assigned from time to time by the Company, consistent with such position. Executive shall report directly to the Chief Executive Officer of the Company and shall provide the services hereunder at the Company’s office located in Atlanta, Georgia.</w:t>
      </w:r>
    </w:p>
    <w:p>
      <w:pPr>
        <w:ind w:left="620" w:hanging="617"/>
        <w:spacing w:after="0" w:line="224" w:lineRule="auto"/>
        <w:tabs>
          <w:tab w:leader="none" w:pos="62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COMPENSATION. </w:t>
      </w:r>
      <w:r>
        <w:rPr>
          <w:rFonts w:ascii="Times New Roman" w:cs="Times New Roman" w:eastAsia="Times New Roman" w:hAnsi="Times New Roman"/>
          <w:sz w:val="21"/>
          <w:szCs w:val="21"/>
          <w:color w:val="auto"/>
        </w:rPr>
        <w:t>During Executive’s employment hereunder, Company agrees to compensate Executive, and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to accept as compensation in full, as follows:</w:t>
      </w:r>
    </w:p>
    <w:p>
      <w:pPr>
        <w:spacing w:after="0" w:line="146" w:lineRule="exact"/>
        <w:rPr>
          <w:rFonts w:ascii="Times New Roman" w:cs="Times New Roman" w:eastAsia="Times New Roman" w:hAnsi="Times New Roman"/>
          <w:sz w:val="21"/>
          <w:szCs w:val="21"/>
          <w:b w:val="1"/>
          <w:bCs w:val="1"/>
          <w:color w:val="auto"/>
        </w:rPr>
      </w:pPr>
    </w:p>
    <w:p>
      <w:pPr>
        <w:ind w:left="1240" w:hanging="619"/>
        <w:spacing w:after="0" w:line="22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3.1 BASE SALARY. The Company shall pay to Executive an annual base salary (the “Base Salary”) in an amount to be determined by the Board of Directors or its applicable committee (as applicable, the “Committee”) in its sole discretion. The Base Salary shall be subject to applicable state and federal withholdings and shall be paid according to the Company’s standard payroll practices.</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1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3.2 BONUS. Executive will be eligible for annual incentive awards pursuant to the terms of the Cash Incentive Program or any applicable successor program (“Cash Bonus”), in an amount to be determined by the Board of Directors or the Committee in its sole discretion. The target amount for Executive’s Cash Bonus shall initially be sixty percent (60%) of Base Salary (“Target Cash Bonus”). Executive’s actual Cash Bonus may range from 0% to an amount greater than Target Cash Bonus. The Cash Bonus, if any, earned for a fiscal year will be paid no later than the March 15 following the completion of the performance year.</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3.3 EQUITY. Executive will be eligible to receive annual awards under the 2006 Equity Incentive Plan, as amended and restated, or any applicable successor plan (“Equity Plan”), subject to the terms and conditions of the applicable plan and as determined by the Committee in its discretion.</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3.4 REIMBURSEMENTS. The Company shall reimburse Executive for all reasonable and necessary out-of-pocket expenses incurred by Executive in connection with the performance of Executive’s duties hereunder, in accordance with the Company’s expense reimbursement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42" w:name="page43"/>
    <w:bookmarkEnd w:id="42"/>
    <w:p>
      <w:pPr>
        <w:spacing w:after="0" w:line="106" w:lineRule="exact"/>
        <w:rPr>
          <w:sz w:val="20"/>
          <w:szCs w:val="20"/>
          <w:color w:val="auto"/>
        </w:rPr>
      </w:pPr>
    </w:p>
    <w:p>
      <w:pPr>
        <w:ind w:left="1240" w:hanging="618"/>
        <w:spacing w:after="0" w:line="235" w:lineRule="auto"/>
        <w:tabs>
          <w:tab w:leader="none" w:pos="122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color w:val="auto"/>
        </w:rPr>
        <w:t>BENEFITS. Executive will be eligible to participate in the Company’s health, welfare and retirement benefit plans generally available for executive officers from time to time.</w:t>
      </w:r>
    </w:p>
    <w:p>
      <w:pPr>
        <w:spacing w:after="0" w:line="146" w:lineRule="exact"/>
        <w:rPr>
          <w:sz w:val="20"/>
          <w:szCs w:val="20"/>
          <w:color w:val="auto"/>
        </w:rPr>
      </w:pPr>
    </w:p>
    <w:p>
      <w:pPr>
        <w:jc w:val="both"/>
        <w:ind w:left="620" w:hanging="617"/>
        <w:spacing w:after="0" w:line="211" w:lineRule="auto"/>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LAWS AND POLICIES; EMPLOYEE PROTECTIONS. Executive shall dedicate Executive’s full business time and attention to the performance of duties hereunder, perform Executive’s duties in good faith and to a professional standard, and fully comply with all laws and regulations pertaining to the performance of Executive’s responsibilities, all ethical rules, ABM’s Code of Business Conduct and Ethics, ABM’s Recoupment Policy as well as any and all of policies, procedures and instructions of ABM, in each case as in effect from time to time; provided, it shall not be a violation of the foregoing for Executive to manage Executive’s personal, financial and legal affairs to the extent that they do not interfere with Executive’s ability to perform Executive’s duties to the Company. Prior to joining or agreeing to serve on corporate, civil or charitable boards or committees, Executive shall obtain approval of the Chief Executive Officer or otherwise as required by ABM’s Corporate Governance Guidelines as in effect from time to time.</w:t>
      </w:r>
    </w:p>
    <w:p>
      <w:pPr>
        <w:spacing w:after="0" w:line="173" w:lineRule="exact"/>
        <w:rPr>
          <w:rFonts w:ascii="Times New Roman" w:cs="Times New Roman" w:eastAsia="Times New Roman" w:hAnsi="Times New Roman"/>
          <w:sz w:val="21"/>
          <w:szCs w:val="21"/>
          <w:color w:val="auto"/>
        </w:rPr>
      </w:pPr>
    </w:p>
    <w:p>
      <w:pPr>
        <w:jc w:val="both"/>
        <w:ind w:left="62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5. </w:t>
      </w:r>
      <w:r>
        <w:rPr>
          <w:rFonts w:ascii="Times New Roman" w:cs="Times New Roman" w:eastAsia="Times New Roman" w:hAnsi="Times New Roman"/>
          <w:sz w:val="21"/>
          <w:szCs w:val="21"/>
          <w:color w:val="auto"/>
        </w:rPr>
        <w:t>Nothing in this Agreement or otherwise limits Executive’s ability to communicate directly with and provide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1" w:lineRule="exact"/>
        <w:rPr>
          <w:sz w:val="20"/>
          <w:szCs w:val="20"/>
          <w:color w:val="auto"/>
        </w:rPr>
      </w:pPr>
    </w:p>
    <w:p>
      <w:pPr>
        <w:jc w:val="both"/>
        <w:ind w:left="620" w:firstLine="2"/>
        <w:spacing w:after="0" w:line="249" w:lineRule="auto"/>
        <w:tabs>
          <w:tab w:leader="none" w:pos="1239" w:val="left"/>
        </w:tabs>
        <w:numPr>
          <w:ilvl w:val="1"/>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Pursuant to Section 7 of the Defend Trade Secrets Act of 2016 (which added 18 U.S.C. § 1833(b)), the Company and Executive acknowledge and agree that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 Nothing in this Agreement or otherwise is intended to conflict with 18 U.S.C. § 1833(b) or create liability for disclosures of trade secrets that are expressly allowed by such Section.</w:t>
      </w:r>
    </w:p>
    <w:p>
      <w:pPr>
        <w:spacing w:after="0" w:line="146" w:lineRule="exact"/>
        <w:rPr>
          <w:rFonts w:ascii="Times New Roman" w:cs="Times New Roman" w:eastAsia="Times New Roman" w:hAnsi="Times New Roman"/>
          <w:sz w:val="21"/>
          <w:szCs w:val="21"/>
          <w:b w:val="1"/>
          <w:bCs w:val="1"/>
          <w:color w:val="auto"/>
        </w:rPr>
      </w:pPr>
    </w:p>
    <w:p>
      <w:pPr>
        <w:jc w:val="both"/>
        <w:ind w:left="620" w:hanging="617"/>
        <w:spacing w:after="0" w:line="219" w:lineRule="auto"/>
        <w:tabs>
          <w:tab w:leader="none" w:pos="6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RESTRICTIVE COVENANTS. </w:t>
      </w:r>
      <w:r>
        <w:rPr>
          <w:rFonts w:ascii="Times New Roman" w:cs="Times New Roman" w:eastAsia="Times New Roman" w:hAnsi="Times New Roman"/>
          <w:sz w:val="20"/>
          <w:szCs w:val="20"/>
          <w:color w:val="auto"/>
        </w:rPr>
        <w:t>In consideration of the compensation, contract term, potential Severance Benefits, continued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provided by 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 except that if Executive’s employment is terminated under circumstances qualifying Executive for payments under the Change-in-Control Agreement (as defined below), the applicable restrictive covenants set forth in such Change-in-Control Agreement shall supersede Sections 5.3,</w:t>
      </w:r>
    </w:p>
    <w:p>
      <w:pPr>
        <w:spacing w:after="0" w:line="4" w:lineRule="exact"/>
        <w:rPr>
          <w:rFonts w:ascii="Times New Roman" w:cs="Times New Roman" w:eastAsia="Times New Roman" w:hAnsi="Times New Roman"/>
          <w:sz w:val="20"/>
          <w:szCs w:val="20"/>
          <w:b w:val="1"/>
          <w:bCs w:val="1"/>
          <w:color w:val="auto"/>
        </w:rPr>
      </w:pPr>
    </w:p>
    <w:p>
      <w:pPr>
        <w:ind w:left="6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5.4, 5.5 and 5.6 below:</w:t>
      </w:r>
    </w:p>
    <w:p>
      <w:pPr>
        <w:spacing w:after="0" w:line="149" w:lineRule="exact"/>
        <w:rPr>
          <w:rFonts w:ascii="Times New Roman" w:cs="Times New Roman" w:eastAsia="Times New Roman" w:hAnsi="Times New Roman"/>
          <w:sz w:val="20"/>
          <w:szCs w:val="20"/>
          <w:b w:val="1"/>
          <w:bCs w:val="1"/>
          <w:color w:val="auto"/>
        </w:rPr>
      </w:pPr>
    </w:p>
    <w:p>
      <w:pPr>
        <w:jc w:val="right"/>
        <w:ind w:left="1240" w:hanging="619"/>
        <w:spacing w:after="0" w:line="21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7.1    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w:t>
      </w:r>
    </w:p>
    <w:p>
      <w:pPr>
        <w:jc w:val="both"/>
        <w:ind w:left="1240" w:firstLine="1"/>
        <w:spacing w:after="0" w:line="207" w:lineRule="auto"/>
        <w:tabs>
          <w:tab w:leader="none" w:pos="1565"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plans for business development, marketing, business plans and strategies, budgets and financial statements of any kind, costs and suppliers, including methods, policies, procedures, practices, devices and other means used by the Company and its subsidiaries in the operation of its business, pricing plans and strategies, as well as information about the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the Company and its subsidiaries; customer leads or referrals; customer preferences, needs, and requirements (including customer likes and dislikes, as well as supply and staffing requirements) and the manner in which they have been met by the Company or its subsidiaries; customer billing procedures, credit limits and payment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06" w:lineRule="exact"/>
        <w:rPr>
          <w:sz w:val="20"/>
          <w:szCs w:val="20"/>
          <w:color w:val="auto"/>
        </w:rPr>
      </w:pPr>
    </w:p>
    <w:p>
      <w:pPr>
        <w:jc w:val="both"/>
        <w:ind w:left="120"/>
        <w:spacing w:after="0" w:line="211" w:lineRule="auto"/>
        <w:rPr>
          <w:sz w:val="20"/>
          <w:szCs w:val="20"/>
          <w:color w:val="auto"/>
        </w:rPr>
      </w:pPr>
      <w:r>
        <w:rPr>
          <w:rFonts w:ascii="Times New Roman" w:cs="Times New Roman" w:eastAsia="Times New Roman" w:hAnsi="Times New Roman"/>
          <w:sz w:val="21"/>
          <w:szCs w:val="21"/>
          <w:color w:val="auto"/>
        </w:rPr>
        <w:t>and customer information with respect to contract and relationship terms and conditions, pricing, costs, profits, sales, markets, plans for future business and other development; purchasing techniques; supplier lists; (v) information contained in the Company’s LCMS database, JDE , LMS or similar systems; (vi) any and all information related to past, current or future acquisitions between the Company or Company-affiliated entities including information used or relied upon for said acquisition (“Confidential Information”). Notwithstanding the generality of the foregoing, Confidential Information shall not include: (x) information known to Executive prior to Executive’s discussions with the Company regarding Executive’s employment with the Company; (y) contact information contained on Executive’s rolodex (other than for officers, directors, employees, and/or independent contractors of the Company and Company-affiliated entities); or (z) information that is or becomes generally known in the industry or part of the public domain.</w:t>
      </w:r>
    </w:p>
    <w:p>
      <w:pPr>
        <w:spacing w:after="0" w:line="152" w:lineRule="exact"/>
        <w:rPr>
          <w:sz w:val="20"/>
          <w:szCs w:val="20"/>
          <w:color w:val="auto"/>
        </w:rPr>
      </w:pPr>
    </w:p>
    <w:p>
      <w:pPr>
        <w:jc w:val="both"/>
        <w:ind w:left="120" w:hanging="618"/>
        <w:spacing w:after="0" w:line="208" w:lineRule="auto"/>
        <w:tabs>
          <w:tab w:leader="none" w:pos="10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color w:val="auto"/>
        </w:rPr>
        <w:t>NON-DISCLOSURE. The Company and Executive acknowledge and agree that the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the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the Company was assured that all such Confidential Information will be held in trust and confidence in accordance with this Agreement and applicable law. Executive hereby acknowledges and agrees to use this Confidential Information solely for the benefit of the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155" w:lineRule="exact"/>
        <w:rPr>
          <w:sz w:val="20"/>
          <w:szCs w:val="20"/>
          <w:color w:val="auto"/>
        </w:rPr>
      </w:pPr>
    </w:p>
    <w:p>
      <w:pPr>
        <w:jc w:val="both"/>
        <w:ind w:left="120" w:hanging="618"/>
        <w:spacing w:after="0" w:line="211" w:lineRule="auto"/>
        <w:tabs>
          <w:tab w:leader="none" w:pos="100" w:val="left"/>
        </w:tabs>
        <w:rPr>
          <w:sz w:val="20"/>
          <w:szCs w:val="20"/>
          <w:color w:val="auto"/>
        </w:rPr>
      </w:pPr>
      <w:r>
        <w:rPr>
          <w:rFonts w:ascii="Times New Roman" w:cs="Times New Roman" w:eastAsia="Times New Roman" w:hAnsi="Times New Roman"/>
          <w:sz w:val="21"/>
          <w:szCs w:val="21"/>
          <w:color w:val="auto"/>
        </w:rPr>
        <w:t>7.3</w:t>
      </w:r>
      <w:r>
        <w:rPr>
          <w:sz w:val="20"/>
          <w:szCs w:val="20"/>
          <w:color w:val="auto"/>
        </w:rPr>
        <w:tab/>
      </w:r>
      <w:r>
        <w:rPr>
          <w:rFonts w:ascii="Times New Roman" w:cs="Times New Roman" w:eastAsia="Times New Roman" w:hAnsi="Times New Roman"/>
          <w:sz w:val="21"/>
          <w:szCs w:val="21"/>
          <w:color w:val="auto"/>
        </w:rPr>
        <w:t>NON-SOLICITATION OF EMPLOYEES. Executive acknowledges and agrees that the Company has developed its work force as the result of its investment of substantial time, effort, and expense. During the course and solely as a result of Executive’s employment with the Company, Executive will come into contact with officers, directors, employees, and/or independent contractors of the Company and Company-affiliated 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the Company and for a period of twelve (12) months following the termination of Executive’s employment (whether termination is voluntary or involuntary),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120"/>
          </w:cols>
          <w:pgMar w:left="1440" w:top="1440" w:right="339" w:bottom="1440" w:gutter="0" w:footer="0" w:header="0"/>
        </w:sectPr>
      </w:pPr>
    </w:p>
    <w:bookmarkStart w:id="45" w:name="page46"/>
    <w:bookmarkEnd w:id="45"/>
    <w:p>
      <w:pPr>
        <w:spacing w:after="0" w:line="106" w:lineRule="exact"/>
        <w:rPr>
          <w:sz w:val="20"/>
          <w:szCs w:val="20"/>
          <w:color w:val="auto"/>
        </w:rPr>
      </w:pPr>
    </w:p>
    <w:p>
      <w:pPr>
        <w:jc w:val="both"/>
        <w:ind w:left="120"/>
        <w:spacing w:after="0" w:line="220" w:lineRule="auto"/>
        <w:rPr>
          <w:sz w:val="20"/>
          <w:szCs w:val="20"/>
          <w:color w:val="auto"/>
        </w:rPr>
      </w:pPr>
      <w:r>
        <w:rPr>
          <w:rFonts w:ascii="Times New Roman" w:cs="Times New Roman" w:eastAsia="Times New Roman" w:hAnsi="Times New Roman"/>
          <w:sz w:val="20"/>
          <w:szCs w:val="20"/>
          <w:color w:val="auto"/>
        </w:rPr>
        <w:t>Executive will not directly or indirectly solicit, hire, recruit or otherwise encourage, assist in or arrange for any officer, director, employee, and/or independent contractor to terminate his/her business relationship with the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the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 provided, nothing in this Section 5.3 shall prevent Executive from serving as a reference in response to a bona fide inquiry regarding an employee or former employee of the Company.</w:t>
      </w:r>
    </w:p>
    <w:p>
      <w:pPr>
        <w:spacing w:after="0" w:line="152" w:lineRule="exact"/>
        <w:rPr>
          <w:sz w:val="20"/>
          <w:szCs w:val="20"/>
          <w:color w:val="auto"/>
        </w:rPr>
      </w:pPr>
    </w:p>
    <w:p>
      <w:pPr>
        <w:jc w:val="both"/>
        <w:ind w:left="120" w:hanging="618"/>
        <w:spacing w:after="0" w:line="217" w:lineRule="auto"/>
        <w:tabs>
          <w:tab w:leader="none" w:pos="100" w:val="left"/>
        </w:tabs>
        <w:rPr>
          <w:sz w:val="20"/>
          <w:szCs w:val="20"/>
          <w:color w:val="auto"/>
        </w:rPr>
      </w:pPr>
      <w:r>
        <w:rPr>
          <w:rFonts w:ascii="Times New Roman" w:cs="Times New Roman" w:eastAsia="Times New Roman" w:hAnsi="Times New Roman"/>
          <w:sz w:val="21"/>
          <w:szCs w:val="21"/>
          <w:color w:val="auto"/>
        </w:rPr>
        <w:t>7.4</w:t>
      </w:r>
      <w:r>
        <w:rPr>
          <w:sz w:val="20"/>
          <w:szCs w:val="20"/>
          <w:color w:val="auto"/>
        </w:rPr>
        <w:tab/>
      </w:r>
      <w:r>
        <w:rPr>
          <w:rFonts w:ascii="Times New Roman" w:cs="Times New Roman" w:eastAsia="Times New Roman" w:hAnsi="Times New Roman"/>
          <w:sz w:val="20"/>
          <w:szCs w:val="20"/>
          <w:color w:val="auto"/>
        </w:rPr>
        <w:t>NON-SOLICITATION OF CUSTOMERS. Executive acknowledges and agrees that the Company and its subsidiaries have identified, solicited, and developed their customers and developed customer relationships as the result of their investment of significant time, effort, and expense and that the Company has a legitimate business interest in protecting these relationships. Executive further acknowledges that Executive would not have been privy to these relationships were it not for Executive’s employment by the Company. Executive further acknowledges and agrees that the loss of such customers and clients would damage the Company and potentially cause the Company great and irreparable harm. Consequently, Executive covenants and agrees that during and for twelve (12) months following the termination of Executive’s employment with the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w:t>
      </w:r>
    </w:p>
    <w:p>
      <w:pPr>
        <w:jc w:val="both"/>
        <w:ind w:left="120" w:firstLine="1"/>
        <w:spacing w:after="0" w:line="214" w:lineRule="auto"/>
        <w:tabs>
          <w:tab w:leader="none" w:pos="57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preceding the effective date of Executive’s termination of employment; and/or (b) where the Company has business operations and Executive was provided Confidential Information regarding the Company’s business activities in those territories within the twelve (12) month period preceding the effective date of Executive’s termination of employment.</w:t>
      </w:r>
    </w:p>
    <w:p>
      <w:pPr>
        <w:spacing w:after="0" w:line="148" w:lineRule="exact"/>
        <w:rPr>
          <w:sz w:val="20"/>
          <w:szCs w:val="20"/>
          <w:color w:val="auto"/>
        </w:rPr>
      </w:pPr>
    </w:p>
    <w:p>
      <w:pPr>
        <w:jc w:val="both"/>
        <w:ind w:left="120" w:hanging="618"/>
        <w:spacing w:after="0" w:line="215" w:lineRule="auto"/>
        <w:tabs>
          <w:tab w:leader="none" w:pos="100" w:val="left"/>
        </w:tabs>
        <w:rPr>
          <w:sz w:val="20"/>
          <w:szCs w:val="20"/>
          <w:color w:val="auto"/>
        </w:rPr>
      </w:pPr>
      <w:r>
        <w:rPr>
          <w:rFonts w:ascii="Times New Roman" w:cs="Times New Roman" w:eastAsia="Times New Roman" w:hAnsi="Times New Roman"/>
          <w:sz w:val="21"/>
          <w:szCs w:val="21"/>
          <w:color w:val="auto"/>
        </w:rPr>
        <w:t>7.5</w:t>
      </w:r>
      <w:r>
        <w:rPr>
          <w:sz w:val="20"/>
          <w:szCs w:val="20"/>
          <w:color w:val="auto"/>
        </w:rPr>
        <w:tab/>
      </w:r>
      <w:r>
        <w:rPr>
          <w:rFonts w:ascii="Times New Roman" w:cs="Times New Roman" w:eastAsia="Times New Roman" w:hAnsi="Times New Roman"/>
          <w:sz w:val="21"/>
          <w:szCs w:val="21"/>
          <w:color w:val="auto"/>
        </w:rPr>
        <w:t>POST EMPLOYMENT COMPETITION. Executive agrees that, while employed by the Company and for a period of twelve (12)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120"/>
          </w:cols>
          <w:pgMar w:left="1440" w:top="1440" w:right="339" w:bottom="1440" w:gutter="0" w:footer="0" w:header="0"/>
        </w:sectPr>
      </w:pPr>
    </w:p>
    <w:bookmarkStart w:id="46" w:name="page47"/>
    <w:bookmarkEnd w:id="46"/>
    <w:p>
      <w:pPr>
        <w:spacing w:after="0" w:line="106" w:lineRule="exact"/>
        <w:rPr>
          <w:sz w:val="20"/>
          <w:szCs w:val="20"/>
          <w:color w:val="auto"/>
        </w:rPr>
      </w:pPr>
    </w:p>
    <w:p>
      <w:pPr>
        <w:jc w:val="both"/>
        <w:ind w:left="120"/>
        <w:spacing w:after="0" w:line="209" w:lineRule="auto"/>
        <w:rPr>
          <w:sz w:val="20"/>
          <w:szCs w:val="20"/>
          <w:color w:val="auto"/>
        </w:rPr>
      </w:pPr>
      <w:r>
        <w:rPr>
          <w:rFonts w:ascii="Times New Roman" w:cs="Times New Roman" w:eastAsia="Times New Roman" w:hAnsi="Times New Roman"/>
          <w:sz w:val="21"/>
          <w:szCs w:val="21"/>
          <w:color w:val="auto"/>
        </w:rPr>
        <w:t>Company, or any Company-affiliated entity of which Executive had Confidential Information, in the twelve (12)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 (12) month period preceding the effective date of Executive’s termination of employment; and/or (ii) where the Company has business operations and Executive was provided Confidential Information regarding the Company’s business activities in those territories within the twelve (12) month period preceding the effective date of Executive’s termination of employment. The restrictions in Section 5.5 shall only apply if, within the twelve (12)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w:t>
      </w:r>
    </w:p>
    <w:p>
      <w:pPr>
        <w:spacing w:after="0" w:line="154" w:lineRule="exact"/>
        <w:rPr>
          <w:sz w:val="20"/>
          <w:szCs w:val="20"/>
          <w:color w:val="auto"/>
        </w:rPr>
      </w:pPr>
    </w:p>
    <w:p>
      <w:pPr>
        <w:jc w:val="both"/>
        <w:ind w:left="120" w:hanging="618"/>
        <w:spacing w:after="0" w:line="217" w:lineRule="auto"/>
        <w:tabs>
          <w:tab w:leader="none" w:pos="100" w:val="left"/>
        </w:tabs>
        <w:rPr>
          <w:sz w:val="20"/>
          <w:szCs w:val="20"/>
          <w:color w:val="auto"/>
        </w:rPr>
      </w:pPr>
      <w:r>
        <w:rPr>
          <w:rFonts w:ascii="Times New Roman" w:cs="Times New Roman" w:eastAsia="Times New Roman" w:hAnsi="Times New Roman"/>
          <w:sz w:val="21"/>
          <w:szCs w:val="21"/>
          <w:color w:val="auto"/>
        </w:rPr>
        <w:t>7.6</w:t>
      </w:r>
      <w:r>
        <w:rPr>
          <w:sz w:val="20"/>
          <w:szCs w:val="20"/>
          <w:color w:val="auto"/>
        </w:rPr>
        <w:tab/>
      </w:r>
      <w:r>
        <w:rPr>
          <w:rFonts w:ascii="Times New Roman" w:cs="Times New Roman" w:eastAsia="Times New Roman" w:hAnsi="Times New Roman"/>
          <w:sz w:val="21"/>
          <w:szCs w:val="21"/>
          <w:color w:val="auto"/>
        </w:rPr>
        <w:t>NON-DISPARAGEMENT. Following the termination of Executive’s employment for any reason, Executive agrees not to make any statement or take any action which disparages, defames, or places in a negative light the Company, Company-affiliated entities, or its or their reputation, goodwill, commercial interests or past and present officers, directors, employees, consultants, and/or agents, and the Company shall instruct its directors and executive officers to not make any statement or take any action which disparages, defames, or places in a negative light Executive.</w:t>
      </w:r>
    </w:p>
    <w:p>
      <w:pPr>
        <w:spacing w:after="0" w:line="146" w:lineRule="exact"/>
        <w:rPr>
          <w:sz w:val="20"/>
          <w:szCs w:val="20"/>
          <w:color w:val="auto"/>
        </w:rPr>
      </w:pPr>
    </w:p>
    <w:p>
      <w:pPr>
        <w:jc w:val="both"/>
        <w:ind w:left="120" w:hanging="618"/>
        <w:spacing w:after="0" w:line="235" w:lineRule="auto"/>
        <w:tabs>
          <w:tab w:leader="none" w:pos="100" w:val="left"/>
        </w:tabs>
        <w:rPr>
          <w:sz w:val="20"/>
          <w:szCs w:val="20"/>
          <w:color w:val="auto"/>
        </w:rPr>
      </w:pPr>
      <w:r>
        <w:rPr>
          <w:rFonts w:ascii="Times New Roman" w:cs="Times New Roman" w:eastAsia="Times New Roman" w:hAnsi="Times New Roman"/>
          <w:sz w:val="21"/>
          <w:szCs w:val="21"/>
          <w:color w:val="auto"/>
        </w:rPr>
        <w:t>7.7</w:t>
      </w:r>
      <w:r>
        <w:rPr>
          <w:sz w:val="20"/>
          <w:szCs w:val="20"/>
          <w:color w:val="auto"/>
        </w:rPr>
        <w:tab/>
      </w:r>
      <w:r>
        <w:rPr>
          <w:rFonts w:ascii="Times New Roman" w:cs="Times New Roman" w:eastAsia="Times New Roman" w:hAnsi="Times New Roman"/>
          <w:sz w:val="21"/>
          <w:szCs w:val="21"/>
          <w:color w:val="auto"/>
        </w:rPr>
        <w:t>CREATIONS. The terms and conditions set forth in Appendix A attached hereto are hereby incorporated by reference as though fully set forth herein.</w:t>
      </w:r>
    </w:p>
    <w:p>
      <w:pPr>
        <w:spacing w:after="0" w:line="142" w:lineRule="exact"/>
        <w:rPr>
          <w:sz w:val="20"/>
          <w:szCs w:val="20"/>
          <w:color w:val="auto"/>
        </w:rPr>
      </w:pPr>
    </w:p>
    <w:p>
      <w:pPr>
        <w:jc w:val="both"/>
        <w:ind w:left="120" w:hanging="618"/>
        <w:spacing w:after="0" w:line="221" w:lineRule="auto"/>
        <w:tabs>
          <w:tab w:leader="none" w:pos="100" w:val="left"/>
        </w:tabs>
        <w:rPr>
          <w:sz w:val="20"/>
          <w:szCs w:val="20"/>
          <w:color w:val="auto"/>
        </w:rPr>
      </w:pPr>
      <w:r>
        <w:rPr>
          <w:rFonts w:ascii="Times New Roman" w:cs="Times New Roman" w:eastAsia="Times New Roman" w:hAnsi="Times New Roman"/>
          <w:sz w:val="21"/>
          <w:szCs w:val="21"/>
          <w:color w:val="auto"/>
        </w:rPr>
        <w:t>7.8</w:t>
      </w:r>
      <w:r>
        <w:rPr>
          <w:sz w:val="20"/>
          <w:szCs w:val="20"/>
          <w:color w:val="auto"/>
        </w:rPr>
        <w:tab/>
      </w:r>
      <w:r>
        <w:rPr>
          <w:rFonts w:ascii="Times New Roman" w:cs="Times New Roman" w:eastAsia="Times New Roman" w:hAnsi="Times New Roman"/>
          <w:sz w:val="20"/>
          <w:szCs w:val="20"/>
          <w:color w:val="auto"/>
        </w:rPr>
        <w:t>CONFIDENTIAL INFORMATION OF OTHERS; NO CONFLICTS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Chief Human Resources Officer. Executive has not entered into, and Executive agrees Executive will not enter into, any oral or written agreement in conflict with this Agreement.</w:t>
      </w:r>
    </w:p>
    <w:p>
      <w:pPr>
        <w:spacing w:after="0" w:line="150" w:lineRule="exact"/>
        <w:rPr>
          <w:sz w:val="20"/>
          <w:szCs w:val="20"/>
          <w:color w:val="auto"/>
        </w:rPr>
      </w:pPr>
    </w:p>
    <w:p>
      <w:pPr>
        <w:jc w:val="both"/>
        <w:ind w:left="120" w:hanging="618"/>
        <w:spacing w:after="0" w:line="225" w:lineRule="auto"/>
        <w:tabs>
          <w:tab w:leader="none" w:pos="100" w:val="left"/>
        </w:tabs>
        <w:rPr>
          <w:sz w:val="20"/>
          <w:szCs w:val="20"/>
          <w:color w:val="auto"/>
        </w:rPr>
      </w:pPr>
      <w:r>
        <w:rPr>
          <w:rFonts w:ascii="Times New Roman" w:cs="Times New Roman" w:eastAsia="Times New Roman" w:hAnsi="Times New Roman"/>
          <w:sz w:val="21"/>
          <w:szCs w:val="21"/>
          <w:color w:val="auto"/>
        </w:rPr>
        <w:t>7.9</w:t>
      </w:r>
      <w:r>
        <w:rPr>
          <w:sz w:val="20"/>
          <w:szCs w:val="20"/>
          <w:color w:val="auto"/>
        </w:rPr>
        <w:tab/>
      </w:r>
      <w:r>
        <w:rPr>
          <w:rFonts w:ascii="Times New Roman" w:cs="Times New Roman" w:eastAsia="Times New Roman" w:hAnsi="Times New Roman"/>
          <w:sz w:val="21"/>
          <w:szCs w:val="21"/>
          <w:color w:val="auto"/>
        </w:rPr>
        <w:t>COOPERATION WITH LEGAL MATTERS. During Executive’s employment with Company and thereafter, Executive shall reasonably cooperate with Company and any Company-affiliated entity in its or their investigation, defense or prosecution of any potential, current or future legal matter in any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20"/>
          </w:cols>
          <w:pgMar w:left="1440" w:top="1440" w:right="339" w:bottom="1440" w:gutter="0" w:footer="0" w:header="0"/>
        </w:sectPr>
      </w:pPr>
    </w:p>
    <w:bookmarkStart w:id="47" w:name="page48"/>
    <w:bookmarkEnd w:id="47"/>
    <w:p>
      <w:pPr>
        <w:spacing w:after="0" w:line="106" w:lineRule="exact"/>
        <w:rPr>
          <w:sz w:val="20"/>
          <w:szCs w:val="20"/>
          <w:color w:val="auto"/>
        </w:rPr>
      </w:pPr>
    </w:p>
    <w:p>
      <w:pPr>
        <w:jc w:val="both"/>
        <w:ind w:left="120"/>
        <w:spacing w:after="0" w:line="219" w:lineRule="auto"/>
        <w:rPr>
          <w:sz w:val="20"/>
          <w:szCs w:val="20"/>
          <w:color w:val="auto"/>
        </w:rPr>
      </w:pPr>
      <w:r>
        <w:rPr>
          <w:rFonts w:ascii="Times New Roman" w:cs="Times New Roman" w:eastAsia="Times New Roman" w:hAnsi="Times New Roman"/>
          <w:sz w:val="20"/>
          <w:szCs w:val="20"/>
          <w:color w:val="auto"/>
        </w:rPr>
        <w:t>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claims,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Executive shall be compensated for Executive’s time at an hourly rate of $250 per hour. However, during any period in which Executive is an employee of the Company, Executive shall not be so compensated.</w:t>
      </w:r>
    </w:p>
    <w:p>
      <w:pPr>
        <w:spacing w:after="0" w:line="149" w:lineRule="exact"/>
        <w:rPr>
          <w:sz w:val="20"/>
          <w:szCs w:val="20"/>
          <w:color w:val="auto"/>
        </w:rPr>
      </w:pPr>
    </w:p>
    <w:p>
      <w:pPr>
        <w:jc w:val="both"/>
        <w:ind w:left="120" w:hanging="618"/>
        <w:spacing w:after="0" w:line="211" w:lineRule="auto"/>
        <w:tabs>
          <w:tab w:leader="none" w:pos="100" w:val="left"/>
        </w:tabs>
        <w:rPr>
          <w:sz w:val="20"/>
          <w:szCs w:val="20"/>
          <w:color w:val="auto"/>
        </w:rPr>
      </w:pPr>
      <w:r>
        <w:rPr>
          <w:rFonts w:ascii="Times New Roman" w:cs="Times New Roman" w:eastAsia="Times New Roman" w:hAnsi="Times New Roman"/>
          <w:sz w:val="21"/>
          <w:szCs w:val="21"/>
          <w:color w:val="auto"/>
        </w:rPr>
        <w:t>7.10</w:t>
        <w:tab/>
        <w:t>REMEDIES AND DAMAGES. The parties agree that compliance with Sections 5.1 – 5.7 of the Agreement and Appendix A is necessary to protect the business, reputation and goodwill of the Company and, in the case of Section 5.5 of the Agreement, the reputation and goodwill of Executive, that the restrictions contained herein are reasonable, and that any breach of Section 5 may result in irreparable and continuing harm to the Company or to Executive, for which monetary damages will not provide adequate relief. Accordingly, in the event of any actual or threatened breach of any covenant or promise made by either party in Section 5, Company and Executive agree that both parties shall be entitled to all appropriate remedies, including temporary restraining orders and injunctions enjoining or restraining such actual or threatened breach. Each of the Company and Executive hereby consents to the issuance thereof forthwith by any court of competent jurisdiction.</w:t>
      </w:r>
    </w:p>
    <w:p>
      <w:pPr>
        <w:spacing w:after="0" w:line="152" w:lineRule="exact"/>
        <w:rPr>
          <w:sz w:val="20"/>
          <w:szCs w:val="20"/>
          <w:color w:val="auto"/>
        </w:rPr>
      </w:pPr>
    </w:p>
    <w:p>
      <w:pPr>
        <w:jc w:val="both"/>
        <w:ind w:left="120" w:hanging="618"/>
        <w:spacing w:after="0" w:line="217" w:lineRule="auto"/>
        <w:tabs>
          <w:tab w:leader="none" w:pos="100" w:val="left"/>
        </w:tabs>
        <w:rPr>
          <w:sz w:val="20"/>
          <w:szCs w:val="20"/>
          <w:color w:val="auto"/>
        </w:rPr>
      </w:pPr>
      <w:r>
        <w:rPr>
          <w:rFonts w:ascii="Times New Roman" w:cs="Times New Roman" w:eastAsia="Times New Roman" w:hAnsi="Times New Roman"/>
          <w:sz w:val="21"/>
          <w:szCs w:val="21"/>
          <w:color w:val="auto"/>
        </w:rPr>
        <w:t>7.11</w:t>
        <w:tab/>
        <w:t>LIMITATIONS. Nothing in this Agreement shall be binding upon the parties to the extent it is void or unenforceable for any reason in the State of New York,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20"/>
          </w:cols>
          <w:pgMar w:left="1440" w:top="1440" w:right="339" w:bottom="1440" w:gutter="0" w:footer="0" w:header="0"/>
        </w:sectPr>
      </w:pPr>
    </w:p>
    <w:bookmarkStart w:id="48" w:name="page49"/>
    <w:bookmarkEnd w:id="48"/>
    <w:p>
      <w:pPr>
        <w:spacing w:after="0" w:line="102" w:lineRule="exact"/>
        <w:rPr>
          <w:sz w:val="20"/>
          <w:szCs w:val="20"/>
          <w:color w:val="auto"/>
        </w:rPr>
      </w:pPr>
    </w:p>
    <w:p>
      <w:pPr>
        <w:jc w:val="both"/>
        <w:ind w:left="620" w:hanging="617"/>
        <w:spacing w:after="0" w:line="213" w:lineRule="auto"/>
        <w:tabs>
          <w:tab w:leader="none" w:pos="6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AT-WILL EMPLOYMENT</w:t>
      </w:r>
      <w:r>
        <w:rPr>
          <w:rFonts w:ascii="Times New Roman" w:cs="Times New Roman" w:eastAsia="Times New Roman" w:hAnsi="Times New Roman"/>
          <w:sz w:val="21"/>
          <w:szCs w:val="21"/>
          <w:color w:val="auto"/>
        </w:rPr>
        <w:t>. The employment of Executive shall be “at-will” at all times. The Company or Executive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 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for any reason, the Company shall pay to Executive all compensation to which Executive is entitled up through the date of termination, including accrued but unpaid Base Salary, any accrued and unused paid time off and any incurred but unpaid reimbursements (together “Accrued Obligations”). Thereafter, all obligations of the Company under this Agreement shall cease other than those set forth in Section 7.</w:t>
      </w:r>
    </w:p>
    <w:p>
      <w:pPr>
        <w:spacing w:after="0" w:line="14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w:t>
      </w:r>
    </w:p>
    <w:p>
      <w:pPr>
        <w:spacing w:after="0" w:line="175" w:lineRule="exact"/>
        <w:rPr>
          <w:rFonts w:ascii="Times New Roman" w:cs="Times New Roman" w:eastAsia="Times New Roman" w:hAnsi="Times New Roman"/>
          <w:sz w:val="21"/>
          <w:szCs w:val="21"/>
          <w:b w:val="1"/>
          <w:bCs w:val="1"/>
          <w:color w:val="auto"/>
        </w:rPr>
      </w:pPr>
    </w:p>
    <w:p>
      <w:pPr>
        <w:ind w:left="1240" w:hanging="619"/>
        <w:spacing w:after="0" w:line="2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9.1 TERMINATION BY COMPANY FOR CAUSE. Where the Company terminates Executive’s employment for Cause, all obligations of the Company under this Agreement shall cease; provided the Company shall pay Executive the Accrued Obligations within thirty (30) days of the termination of Executive’s employment. For purposes of this Agreement, “Cause” shall mean the occurrence of one of the following: (i) Executive’s willful misconduct, dishonesty, or insubordination; (ii) Executive’s conviction (or entry of a plea bargain admitting criminal guilt) of any felony or a misdemeanor involving moral turpitude; (iii) drug or alcohol abuse that has a material effect on the performance of Executive’s duties and responsibilities under this Agreement; (iv) Executive’s willful and repeated failure to substantially perform Executive’s duties and responsibilities under this Agreement for reasons other than death or Disability, as defined below; (v) Executive’s willful and repeated inattention to duty for reasons other than death or Disability; (vi) Executive’s material and willful violation of the Company’s Code of Business Conduct; and (vii) any other material and willful breach of this Agreement by Executive.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149" w:lineRule="exact"/>
        <w:rPr>
          <w:rFonts w:ascii="Times New Roman" w:cs="Times New Roman" w:eastAsia="Times New Roman" w:hAnsi="Times New Roman"/>
          <w:sz w:val="21"/>
          <w:szCs w:val="21"/>
          <w:b w:val="1"/>
          <w:bCs w:val="1"/>
          <w:color w:val="auto"/>
        </w:rPr>
      </w:pPr>
    </w:p>
    <w:p>
      <w:pPr>
        <w:ind w:left="1240" w:hanging="619"/>
        <w:spacing w:after="0" w:line="20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9.2 TERMINATION BY THE COMPANY WITHOUT CAUSE OR TERMINATION BY THE EXECUTIVE FOR GOOD REASON. Where the Company terminates Executive’s employment without Cause, or Executive terminates Executive’s employment for Good Reason (as defined below), Executive shall be entitled to: (i) a payment equal in the aggregate to 2 times the sum of (A) Executive’s Base Salary and (B) Executive’s Target Cash Bonus, which payment shall be paid in equal installments (no less frequently than monthly) over the 24-month period following Executive’s separation from service, provided that any amounts otherwise payable prior to the effective date of the release referenced below shall be paid in a lump sum within 7 days following the effective date of such release; (ii) eighteen (18) months’ medical benefits coverage, which may be provided through COBRA reimbursement; (iii) Executive’s prorated Cash Bonus for the year of termination based on the Committee’s determination of actual performance following the end of the performance period; and (iv) any earned but unpaid Cash Bonus in respect of any completed fiscal year that has ended prior to the date of such termination (the amounts set forth in clauses (i) through (iv) collectively, the “Severance Benefits”); provided that Executive’s eligibility to receive the Severance Benefits is conditioned on: (A) Executive having first signed a release agreement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06" w:lineRule="exact"/>
        <w:rPr>
          <w:sz w:val="20"/>
          <w:szCs w:val="20"/>
          <w:color w:val="auto"/>
        </w:rPr>
      </w:pPr>
    </w:p>
    <w:p>
      <w:pPr>
        <w:jc w:val="both"/>
        <w:ind w:left="700"/>
        <w:spacing w:after="0" w:line="219" w:lineRule="auto"/>
        <w:rPr>
          <w:sz w:val="20"/>
          <w:szCs w:val="20"/>
          <w:color w:val="auto"/>
        </w:rPr>
      </w:pPr>
      <w:r>
        <w:rPr>
          <w:rFonts w:ascii="Times New Roman" w:cs="Times New Roman" w:eastAsia="Times New Roman" w:hAnsi="Times New Roman"/>
          <w:sz w:val="20"/>
          <w:szCs w:val="20"/>
          <w:color w:val="auto"/>
        </w:rPr>
        <w:t>form provided by the Company and reasonably acceptable to Executive, but containing no further post-employment restrictions or covenants other than those to which Executive is already subject hereunder, and the release becoming irrevocable by its terms within sixty (60) calendar days following the date of Executive’s termination of employment; and (B) Executive’s continued compliance with all continuing obligations under this Agreement, including but not limited to those set forth in Section 5. Executive shall not have any other rights or claims under this Agreement. For purposes of this Agreement, “Good Reason” shall mean the occurrence of one or more of the following events without Executive's prior written consent: (x) a material reduction in the Executive's Base Salary, (y) a material reduction in the Target Cash Bonus, or (z) the Company requires the Executive to change Executive’s principal location of work by more than 50 miles. No Good Reason shall exist unless Executive has provided notice of such circumstances giving rise to Good Reason in reasonable detail to the Company within 30 days following the occurrence of such circumstances and, to the extent such circumstances are susceptible to remedy, the Company has failed to remedy such circumstances within thirty (30) days of receiving such notice, and Executive shall have resigned within 30 days following expiration of such cure period. For the avoidance of doubt, in the event Executive becomes entitled to receive Severance Benefits, any such Severance Benefits that remain unpaid upon Executive’s death shall be paid to Executive’s estate.</w:t>
      </w:r>
    </w:p>
    <w:p>
      <w:pPr>
        <w:spacing w:after="0" w:line="182" w:lineRule="exact"/>
        <w:rPr>
          <w:sz w:val="20"/>
          <w:szCs w:val="20"/>
          <w:color w:val="auto"/>
        </w:rPr>
      </w:pPr>
    </w:p>
    <w:p>
      <w:pPr>
        <w:jc w:val="both"/>
        <w:ind w:left="700" w:hanging="695"/>
        <w:spacing w:after="0" w:line="264" w:lineRule="auto"/>
        <w:tabs>
          <w:tab w:leader="none" w:pos="680" w:val="left"/>
        </w:tabs>
        <w:rPr>
          <w:sz w:val="20"/>
          <w:szCs w:val="20"/>
          <w:color w:val="auto"/>
        </w:rPr>
      </w:pPr>
      <w:r>
        <w:rPr>
          <w:rFonts w:ascii="Times New Roman" w:cs="Times New Roman" w:eastAsia="Times New Roman" w:hAnsi="Times New Roman"/>
          <w:sz w:val="21"/>
          <w:szCs w:val="21"/>
          <w:color w:val="auto"/>
        </w:rPr>
        <w:t>9.3</w:t>
      </w:r>
      <w:r>
        <w:rPr>
          <w:sz w:val="20"/>
          <w:szCs w:val="20"/>
          <w:color w:val="auto"/>
        </w:rPr>
        <w:tab/>
      </w:r>
      <w:r>
        <w:rPr>
          <w:rFonts w:ascii="Times New Roman" w:cs="Times New Roman" w:eastAsia="Times New Roman" w:hAnsi="Times New Roman"/>
          <w:sz w:val="20"/>
          <w:szCs w:val="20"/>
          <w:color w:val="auto"/>
        </w:rPr>
        <w:t>7.3 VOLUNTARY TERMINATION BY EXECUTIVE. Executive may give written notice of Executive’s resignation of employment at any time during this Agreement pursuant to Section 6, and thereafter, all obligations of the Company under this Agreement shall cease; provided the Company shall pay Executive the Accrued Obligations within thirty (30) days of the termination of Executive’s employment or earlier as required by law. Executive is requested to provide sixty</w:t>
      </w:r>
    </w:p>
    <w:p>
      <w:pPr>
        <w:spacing w:after="0" w:line="3" w:lineRule="exact"/>
        <w:rPr>
          <w:sz w:val="20"/>
          <w:szCs w:val="20"/>
          <w:color w:val="auto"/>
        </w:rPr>
      </w:pPr>
    </w:p>
    <w:p>
      <w:pPr>
        <w:jc w:val="both"/>
        <w:ind w:left="700" w:firstLine="1"/>
        <w:spacing w:after="0" w:line="245" w:lineRule="auto"/>
        <w:tabs>
          <w:tab w:leader="none" w:pos="111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180" w:lineRule="exact"/>
        <w:rPr>
          <w:sz w:val="20"/>
          <w:szCs w:val="20"/>
          <w:color w:val="auto"/>
        </w:rPr>
      </w:pPr>
    </w:p>
    <w:p>
      <w:pPr>
        <w:jc w:val="both"/>
        <w:ind w:left="700" w:hanging="695"/>
        <w:spacing w:after="0" w:line="250" w:lineRule="auto"/>
        <w:tabs>
          <w:tab w:leader="none" w:pos="680" w:val="left"/>
        </w:tabs>
        <w:rPr>
          <w:sz w:val="20"/>
          <w:szCs w:val="20"/>
          <w:color w:val="auto"/>
        </w:rPr>
      </w:pPr>
      <w:r>
        <w:rPr>
          <w:rFonts w:ascii="Times New Roman" w:cs="Times New Roman" w:eastAsia="Times New Roman" w:hAnsi="Times New Roman"/>
          <w:sz w:val="21"/>
          <w:szCs w:val="21"/>
          <w:color w:val="auto"/>
        </w:rPr>
        <w:t>9.4</w:t>
      </w:r>
      <w:r>
        <w:rPr>
          <w:sz w:val="20"/>
          <w:szCs w:val="20"/>
          <w:color w:val="auto"/>
        </w:rPr>
        <w:tab/>
      </w:r>
      <w:r>
        <w:rPr>
          <w:rFonts w:ascii="Times New Roman" w:cs="Times New Roman" w:eastAsia="Times New Roman" w:hAnsi="Times New Roman"/>
          <w:sz w:val="21"/>
          <w:szCs w:val="21"/>
          <w:color w:val="auto"/>
        </w:rPr>
        <w:t>7.4 RETIREMENT. With respect to equity-based awards granted following the Effective Date, in the event that Executive retires voluntarily from ABM following reaching age 60 with a minimum of 10 years of service, Executive’s then-outstanding equity-based awards under the Equity Plan (including any awards issued by an acquirer or successor to ABM in exchange or substitution for such awards) that were granted at least one year prior to such retirement will not be forfeited but will continue to be eligible for vesting, exercise and settlement, as applicable, on the originally scheduled vesting dates (and, for the avoidance of doubt with respect to performance-based awards, to the extent the applicable performance criteria originally set forth in such awards are met), subject to Executive’s continued compliance with the covenants set forth in Section 5 hereof.</w:t>
      </w:r>
    </w:p>
    <w:p>
      <w:pPr>
        <w:spacing w:after="0" w:line="179" w:lineRule="exact"/>
        <w:rPr>
          <w:sz w:val="20"/>
          <w:szCs w:val="20"/>
          <w:color w:val="auto"/>
        </w:rPr>
      </w:pPr>
    </w:p>
    <w:p>
      <w:pPr>
        <w:jc w:val="both"/>
        <w:ind w:left="700" w:hanging="695"/>
        <w:spacing w:after="0" w:line="269" w:lineRule="auto"/>
        <w:tabs>
          <w:tab w:leader="none" w:pos="680" w:val="left"/>
        </w:tabs>
        <w:rPr>
          <w:sz w:val="20"/>
          <w:szCs w:val="20"/>
          <w:color w:val="auto"/>
        </w:rPr>
      </w:pPr>
      <w:r>
        <w:rPr>
          <w:rFonts w:ascii="Times New Roman" w:cs="Times New Roman" w:eastAsia="Times New Roman" w:hAnsi="Times New Roman"/>
          <w:sz w:val="21"/>
          <w:szCs w:val="21"/>
          <w:color w:val="auto"/>
        </w:rPr>
        <w:t>9.5</w:t>
      </w:r>
      <w:r>
        <w:rPr>
          <w:sz w:val="20"/>
          <w:szCs w:val="20"/>
          <w:color w:val="auto"/>
        </w:rPr>
        <w:tab/>
      </w:r>
      <w:r>
        <w:rPr>
          <w:rFonts w:ascii="Times New Roman" w:cs="Times New Roman" w:eastAsia="Times New Roman" w:hAnsi="Times New Roman"/>
          <w:sz w:val="21"/>
          <w:szCs w:val="21"/>
          <w:color w:val="auto"/>
        </w:rPr>
        <w:t>7.5 DEATH OR DISABILITY. Executive’s employment hereunder shall automatically terminate upon the death of Executive and may be terminated at the Company’s discretion as a result of Executive’s Disability. “Disability”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700"/>
          </w:cols>
          <w:pgMar w:left="860" w:top="1440" w:right="339" w:bottom="1440" w:gutter="0" w:footer="0" w:header="0"/>
        </w:sectPr>
      </w:pPr>
    </w:p>
    <w:bookmarkStart w:id="50" w:name="page51"/>
    <w:bookmarkEnd w:id="50"/>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Executive’s substantial inability to perform Executive’s essential duties and responsibilities under this Agreement for</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either 90 consecutive days or a total of 120 days out of 365 consecutive days as a result of a physical or mental illness,</w:t>
            </w:r>
          </w:p>
        </w:tc>
      </w:tr>
      <w:tr>
        <w:trPr>
          <w:trHeight w:val="258"/>
        </w:trPr>
        <w:tc>
          <w:tcPr>
            <w:tcW w:w="480" w:type="dxa"/>
            <w:vAlign w:val="bottom"/>
          </w:tcPr>
          <w:p>
            <w:pPr>
              <w:spacing w:after="0"/>
              <w:rPr>
                <w:sz w:val="22"/>
                <w:szCs w:val="22"/>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injury or impairment, all as determined in good faith by the Company. If Executive’s employment is terminated by the</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7"/>
              </w:rPr>
              <w:t>Company due to Executive’s death or Disability, then (i) Executive, or, upon death, to Executive’s designated beneficiary</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or estate, as applicable, shall be eligible to receive (A) any earned but unpaid Cash Bonus in respect of any completed</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fiscal year that has ended prior to the date of such termination and (B) a prorated Target Cash Bonus based on the length</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of performance in the applicable performance period prior to death or Disability and (ii) Executive’s then-outstanding</w:t>
            </w:r>
          </w:p>
        </w:tc>
      </w:tr>
      <w:tr>
        <w:trPr>
          <w:trHeight w:val="258"/>
        </w:trPr>
        <w:tc>
          <w:tcPr>
            <w:tcW w:w="480" w:type="dxa"/>
            <w:vAlign w:val="bottom"/>
          </w:tcPr>
          <w:p>
            <w:pPr>
              <w:spacing w:after="0"/>
              <w:rPr>
                <w:sz w:val="22"/>
                <w:szCs w:val="22"/>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equity-based awards under the Equity Plan (including any awards issued by an acquirer or successor to ABM in</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exchange or substitution for such awards) (x) that are subject to time-based vesting will not be forfeited but will become</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immediately fully vested and (y) that are subject to performance-based vesting for then-ongoing performance periods</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shall immediately become fully vested with respect to the number of shares that would have become earned and vested if</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the target level of performance was met. In the case of Disability, Executive’s eligibility to receive the foregoing is</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conditioned on: (i) Executive having first signed a release agreement in the form provided by the Company and</w:t>
            </w:r>
          </w:p>
        </w:tc>
      </w:tr>
      <w:tr>
        <w:trPr>
          <w:trHeight w:val="258"/>
        </w:trPr>
        <w:tc>
          <w:tcPr>
            <w:tcW w:w="480" w:type="dxa"/>
            <w:vAlign w:val="bottom"/>
          </w:tcPr>
          <w:p>
            <w:pPr>
              <w:spacing w:after="0"/>
              <w:rPr>
                <w:sz w:val="22"/>
                <w:szCs w:val="22"/>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reasonably acceptable to Executive, but containing no further post-employment restrictions or covenants other than those</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to which Executive is already subject hereunder, and the release becoming irrevocable by its terms within sixty (60)</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9"/>
              </w:rPr>
              <w:t>calendar days following the date of Executive’s termination of employment; and (ii) Executive’s continued compliance</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with all continuing obligations under this Agreement, including but not limited to those set forth in Section 5. Thereafter,</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8"/>
              </w:rPr>
              <w:t>Executive and Executive’s designated beneficiary or estate, as applicable, shall not have any other rights or claims under</w:t>
            </w:r>
          </w:p>
        </w:tc>
      </w:tr>
      <w:tr>
        <w:trPr>
          <w:trHeight w:val="268"/>
        </w:trPr>
        <w:tc>
          <w:tcPr>
            <w:tcW w:w="480" w:type="dxa"/>
            <w:vAlign w:val="bottom"/>
          </w:tcPr>
          <w:p>
            <w:pPr>
              <w:spacing w:after="0"/>
              <w:rPr>
                <w:sz w:val="23"/>
                <w:szCs w:val="23"/>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this Agreement.</w:t>
            </w:r>
          </w:p>
        </w:tc>
      </w:tr>
      <w:tr>
        <w:trPr>
          <w:trHeight w:val="441"/>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w w:val="91"/>
              </w:rPr>
              <w:t>9.6</w:t>
            </w: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7.6   TIMING OF PAYMENTS. For the avoidance of doubt and without limiting the generality of Section 10.7, the</w:t>
            </w:r>
          </w:p>
        </w:tc>
      </w:tr>
      <w:tr>
        <w:trPr>
          <w:trHeight w:val="245"/>
        </w:trPr>
        <w:tc>
          <w:tcPr>
            <w:tcW w:w="480" w:type="dxa"/>
            <w:vAlign w:val="bottom"/>
          </w:tcPr>
          <w:p>
            <w:pPr>
              <w:spacing w:after="0"/>
              <w:rPr>
                <w:sz w:val="21"/>
                <w:szCs w:val="21"/>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9"/>
              </w:rPr>
              <w:t>parties intend that, except as expressly provided otherwise, any payments that become payable to Executive pursuant to</w:t>
            </w:r>
          </w:p>
        </w:tc>
      </w:tr>
      <w:tr>
        <w:trPr>
          <w:trHeight w:val="267"/>
        </w:trPr>
        <w:tc>
          <w:tcPr>
            <w:tcW w:w="480" w:type="dxa"/>
            <w:vAlign w:val="bottom"/>
          </w:tcPr>
          <w:p>
            <w:pPr>
              <w:spacing w:after="0"/>
              <w:rPr>
                <w:sz w:val="23"/>
                <w:szCs w:val="23"/>
                <w:color w:val="auto"/>
              </w:rPr>
            </w:pPr>
          </w:p>
        </w:tc>
        <w:tc>
          <w:tcPr>
            <w:tcW w:w="102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7.2 are intended to be exempt from, or compliant with, Section 409A of the Internal Revenue Code (“Section</w:t>
            </w:r>
          </w:p>
        </w:tc>
      </w:tr>
    </w:tbl>
    <w:p>
      <w:pPr>
        <w:jc w:val="both"/>
        <w:ind w:left="700"/>
        <w:spacing w:after="0" w:line="245" w:lineRule="auto"/>
        <w:rPr>
          <w:sz w:val="20"/>
          <w:szCs w:val="20"/>
          <w:color w:val="auto"/>
        </w:rPr>
      </w:pPr>
      <w:r>
        <w:rPr>
          <w:rFonts w:ascii="Times New Roman" w:cs="Times New Roman" w:eastAsia="Times New Roman" w:hAnsi="Times New Roman"/>
          <w:sz w:val="21"/>
          <w:szCs w:val="21"/>
          <w:color w:val="auto"/>
        </w:rPr>
        <w:t>409A”), and except as expressly provided otherwise shall be paid within the short-term deferral period within the meaning of Treasury Regulation section 1.409A-1(b)(4) to the extent required to be paid no later than March 15th of the calendar year following the calendar year in which Executive incurs a separation from service or shall be deemed to be paid under a “separation pay plan” within the meaning of Section 409A to the extent applicable. Any Cash Bonus or prorated Cash Bonus that becomes payable to Executive pursuant to Section 7.2(iii) shall be paid to Executive following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end of the performance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700"/>
          </w:cols>
          <w:pgMar w:left="860" w:top="1440" w:right="339" w:bottom="1440" w:gutter="0" w:footer="0" w:header="0"/>
        </w:sectPr>
      </w:pPr>
    </w:p>
    <w:bookmarkStart w:id="51" w:name="page52"/>
    <w:bookmarkEnd w:id="5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w w:val="91"/>
              </w:rPr>
              <w:t>9.7</w:t>
            </w:r>
          </w:p>
        </w:tc>
        <w:tc>
          <w:tcPr>
            <w:tcW w:w="6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7.7</w:t>
            </w:r>
          </w:p>
        </w:tc>
        <w:tc>
          <w:tcPr>
            <w:tcW w:w="9620" w:type="dxa"/>
            <w:vAlign w:val="bottom"/>
          </w:tcPr>
          <w:p>
            <w:pPr>
              <w:ind w:left="140"/>
              <w:spacing w:after="0"/>
              <w:rPr>
                <w:sz w:val="20"/>
                <w:szCs w:val="20"/>
                <w:color w:val="auto"/>
              </w:rPr>
            </w:pPr>
            <w:r>
              <w:rPr>
                <w:rFonts w:ascii="Times New Roman" w:cs="Times New Roman" w:eastAsia="Times New Roman" w:hAnsi="Times New Roman"/>
                <w:sz w:val="21"/>
                <w:szCs w:val="21"/>
                <w:color w:val="auto"/>
                <w:w w:val="99"/>
              </w:rPr>
              <w:t>PAYMENTS AND BENEFITS WITH RESPECT TO A CHANGE IN CONTROL. Notwithstanding anything to</w:t>
            </w:r>
          </w:p>
        </w:tc>
      </w:tr>
      <w:tr>
        <w:trPr>
          <w:trHeight w:val="245"/>
        </w:trPr>
        <w:tc>
          <w:tcPr>
            <w:tcW w:w="480" w:type="dxa"/>
            <w:vAlign w:val="bottom"/>
          </w:tcPr>
          <w:p>
            <w:pPr>
              <w:spacing w:after="0"/>
              <w:rPr>
                <w:sz w:val="21"/>
                <w:szCs w:val="21"/>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the contrary in this Agreement or otherwise, if Executive’s employment is terminated under circumstances qualifying</w:t>
            </w:r>
          </w:p>
        </w:tc>
      </w:tr>
      <w:tr>
        <w:trPr>
          <w:trHeight w:val="258"/>
        </w:trPr>
        <w:tc>
          <w:tcPr>
            <w:tcW w:w="480" w:type="dxa"/>
            <w:vAlign w:val="bottom"/>
          </w:tcPr>
          <w:p>
            <w:pPr>
              <w:spacing w:after="0"/>
              <w:rPr>
                <w:sz w:val="22"/>
                <w:szCs w:val="22"/>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Executive for payments under the Change-in-Control Agreement between Executive and ABM (or any successor or</w:t>
            </w:r>
          </w:p>
        </w:tc>
      </w:tr>
      <w:tr>
        <w:trPr>
          <w:trHeight w:val="245"/>
        </w:trPr>
        <w:tc>
          <w:tcPr>
            <w:tcW w:w="480" w:type="dxa"/>
            <w:vAlign w:val="bottom"/>
          </w:tcPr>
          <w:p>
            <w:pPr>
              <w:spacing w:after="0"/>
              <w:rPr>
                <w:sz w:val="21"/>
                <w:szCs w:val="21"/>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w w:val="98"/>
              </w:rPr>
              <w:t>amendment to such agreement, as applicable, the “Change-in-Control Agreement”), Executive shall not be entitled to the</w:t>
            </w:r>
          </w:p>
        </w:tc>
      </w:tr>
      <w:tr>
        <w:trPr>
          <w:trHeight w:val="245"/>
        </w:trPr>
        <w:tc>
          <w:tcPr>
            <w:tcW w:w="480" w:type="dxa"/>
            <w:vAlign w:val="bottom"/>
          </w:tcPr>
          <w:p>
            <w:pPr>
              <w:spacing w:after="0"/>
              <w:rPr>
                <w:sz w:val="21"/>
                <w:szCs w:val="21"/>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Severance Benefits under this Agreement and, alternatively, Executive’s entitlement to payments and benefits, if any,</w:t>
            </w:r>
          </w:p>
        </w:tc>
      </w:tr>
      <w:tr>
        <w:trPr>
          <w:trHeight w:val="268"/>
        </w:trPr>
        <w:tc>
          <w:tcPr>
            <w:tcW w:w="480" w:type="dxa"/>
            <w:vAlign w:val="bottom"/>
          </w:tcPr>
          <w:p>
            <w:pPr>
              <w:spacing w:after="0"/>
              <w:rPr>
                <w:sz w:val="23"/>
                <w:szCs w:val="23"/>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shall be governed by the terms of such Change-in-Control Agreement.</w:t>
            </w:r>
          </w:p>
        </w:tc>
      </w:tr>
      <w:tr>
        <w:trPr>
          <w:trHeight w:val="428"/>
        </w:trPr>
        <w:tc>
          <w:tcPr>
            <w:tcW w:w="48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w w:val="91"/>
              </w:rPr>
              <w:t>9.8</w:t>
            </w:r>
          </w:p>
        </w:tc>
        <w:tc>
          <w:tcPr>
            <w:tcW w:w="6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7.8</w:t>
            </w:r>
          </w:p>
        </w:tc>
        <w:tc>
          <w:tcPr>
            <w:tcW w:w="9620" w:type="dxa"/>
            <w:vAlign w:val="bottom"/>
          </w:tcPr>
          <w:p>
            <w:pPr>
              <w:ind w:left="140"/>
              <w:spacing w:after="0"/>
              <w:rPr>
                <w:sz w:val="20"/>
                <w:szCs w:val="20"/>
                <w:color w:val="auto"/>
              </w:rPr>
            </w:pPr>
            <w:r>
              <w:rPr>
                <w:rFonts w:ascii="Times New Roman" w:cs="Times New Roman" w:eastAsia="Times New Roman" w:hAnsi="Times New Roman"/>
                <w:sz w:val="21"/>
                <w:szCs w:val="21"/>
                <w:color w:val="auto"/>
                <w:w w:val="99"/>
              </w:rPr>
              <w:t>EXCESS PARACHUTE PAYMENTS. Notwithstanding any provision of this Agreement or any other agreement</w:t>
            </w:r>
          </w:p>
        </w:tc>
      </w:tr>
      <w:tr>
        <w:trPr>
          <w:trHeight w:val="268"/>
        </w:trPr>
        <w:tc>
          <w:tcPr>
            <w:tcW w:w="480" w:type="dxa"/>
            <w:vAlign w:val="bottom"/>
          </w:tcPr>
          <w:p>
            <w:pPr>
              <w:spacing w:after="0"/>
              <w:rPr>
                <w:sz w:val="23"/>
                <w:szCs w:val="23"/>
                <w:color w:val="auto"/>
              </w:rPr>
            </w:pPr>
          </w:p>
        </w:tc>
        <w:tc>
          <w:tcPr>
            <w:tcW w:w="10220" w:type="dxa"/>
            <w:vAlign w:val="bottom"/>
            <w:gridSpan w:val="2"/>
          </w:tcPr>
          <w:p>
            <w:pPr>
              <w:ind w:left="220"/>
              <w:spacing w:after="0"/>
              <w:rPr>
                <w:sz w:val="20"/>
                <w:szCs w:val="20"/>
                <w:color w:val="auto"/>
              </w:rPr>
            </w:pPr>
            <w:r>
              <w:rPr>
                <w:rFonts w:ascii="Times New Roman" w:cs="Times New Roman" w:eastAsia="Times New Roman" w:hAnsi="Times New Roman"/>
                <w:sz w:val="21"/>
                <w:szCs w:val="21"/>
                <w:color w:val="auto"/>
              </w:rPr>
              <w:t>or plan to the contrary (including without limitation any lesser protection of Executive under any equity-based award</w:t>
            </w:r>
          </w:p>
        </w:tc>
      </w:tr>
    </w:tbl>
    <w:p>
      <w:pPr>
        <w:jc w:val="both"/>
        <w:ind w:left="700"/>
        <w:spacing w:after="0" w:line="258" w:lineRule="auto"/>
        <w:rPr>
          <w:sz w:val="20"/>
          <w:szCs w:val="20"/>
          <w:color w:val="auto"/>
        </w:rPr>
      </w:pPr>
      <w:r>
        <w:rPr>
          <w:rFonts w:ascii="Times New Roman" w:cs="Times New Roman" w:eastAsia="Times New Roman" w:hAnsi="Times New Roman"/>
          <w:sz w:val="20"/>
          <w:szCs w:val="20"/>
          <w:color w:val="auto"/>
        </w:rPr>
        <w:t>agreement), if any amount or benefit to be paid or provided under this Agreement or any other agreement or plan would be an “excess parachute payment” under Section 280G of the Code (an “Excess Parachute Payment”) (including after taking into account the value, to the maximum extent permitted by Section 280G of the Code, of the covenants herein), but for the application of this sentence, then the payments and benefits to be paid or provided under this Agreement and any other agreements and plans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that is less than 90% of the After-Tax Amount of the payments and benefits that he would have received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herein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will not of itself limit or otherwise affect any other rights of the Executive pursuant to this Agreement or any other agreement or plan. In the event that any payment or benefit intended to be provided is required to be reduced pursuant to this Section,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700"/>
          </w:cols>
          <w:pgMar w:left="860" w:top="1440" w:right="339" w:bottom="1440" w:gutter="0" w:footer="0" w:header="0"/>
        </w:sectPr>
      </w:pPr>
    </w:p>
    <w:bookmarkStart w:id="52" w:name="page53"/>
    <w:bookmarkEnd w:id="52"/>
    <w:p>
      <w:pPr>
        <w:spacing w:after="0" w:line="132" w:lineRule="exact"/>
        <w:rPr>
          <w:sz w:val="20"/>
          <w:szCs w:val="20"/>
          <w:color w:val="auto"/>
        </w:rPr>
      </w:pPr>
    </w:p>
    <w:tbl>
      <w:tblPr>
        <w:tblLayout w:type="fixed"/>
        <w:tblInd w:w="540" w:type="dxa"/>
        <w:tblCellMar>
          <w:top w:w="0" w:type="dxa"/>
          <w:left w:w="0" w:type="dxa"/>
          <w:bottom w:w="0" w:type="dxa"/>
          <w:right w:w="0" w:type="dxa"/>
        </w:tblCellMar>
      </w:tblPr>
      <w:tr>
        <w:trPr>
          <w:trHeight w:val="268"/>
        </w:trPr>
        <w:tc>
          <w:tcPr>
            <w:tcW w:w="540" w:type="dxa"/>
            <w:vAlign w:val="bottom"/>
          </w:tcPr>
          <w:p>
            <w:pPr>
              <w:spacing w:after="0"/>
              <w:rPr>
                <w:sz w:val="23"/>
                <w:szCs w:val="23"/>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demonstrate to the Executive that it has complied with the immediately preceding sentence.</w:t>
            </w:r>
          </w:p>
        </w:tc>
      </w:tr>
      <w:tr>
        <w:trPr>
          <w:trHeight w:val="428"/>
        </w:trPr>
        <w:tc>
          <w:tcPr>
            <w:tcW w:w="540" w:type="dxa"/>
            <w:vAlign w:val="bottom"/>
          </w:tcPr>
          <w:p>
            <w:pPr>
              <w:spacing w:after="0"/>
              <w:rPr>
                <w:sz w:val="20"/>
                <w:szCs w:val="20"/>
                <w:color w:val="auto"/>
              </w:rPr>
            </w:pPr>
            <w:r>
              <w:rPr>
                <w:rFonts w:ascii="Times New Roman" w:cs="Times New Roman" w:eastAsia="Times New Roman" w:hAnsi="Times New Roman"/>
                <w:sz w:val="21"/>
                <w:szCs w:val="21"/>
                <w:color w:val="auto"/>
              </w:rPr>
              <w:t>9.9</w:t>
            </w: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9"/>
              </w:rPr>
              <w:t>7.9  ACTIONS UPON TERMINATION. Upon termination of Executive’s employment for any reason, Executive shall</w:t>
            </w:r>
          </w:p>
        </w:tc>
      </w:tr>
      <w:tr>
        <w:trPr>
          <w:trHeight w:val="258"/>
        </w:trPr>
        <w:tc>
          <w:tcPr>
            <w:tcW w:w="540" w:type="dxa"/>
            <w:vAlign w:val="bottom"/>
          </w:tcPr>
          <w:p>
            <w:pPr>
              <w:spacing w:after="0"/>
              <w:rPr>
                <w:sz w:val="22"/>
                <w:szCs w:val="22"/>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9"/>
              </w:rPr>
              <w:t>be deemed to have immediately resigned as an officer and/or director of the Company and of any Company subsidiaries</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or affiliates, including any LLCs or joint ventures, as applicable. Further, if during employment Executive held any</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8"/>
              </w:rPr>
              <w:t>membership or position as a representative of the Company for any outside organization (such as BOMA, IREM, IFMA</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7"/>
              </w:rPr>
              <w:t>or BSCIA), or as a trustee for a union trust fund (such as a Taft-Hartley or similar fund), upon termination of Executive’s</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employment for any reason, Executive shall be deemed to have resigned from such membership or position, or trustee</w:t>
            </w:r>
          </w:p>
        </w:tc>
      </w:tr>
      <w:tr>
        <w:trPr>
          <w:trHeight w:val="258"/>
        </w:trPr>
        <w:tc>
          <w:tcPr>
            <w:tcW w:w="540" w:type="dxa"/>
            <w:vAlign w:val="bottom"/>
          </w:tcPr>
          <w:p>
            <w:pPr>
              <w:spacing w:after="0"/>
              <w:rPr>
                <w:sz w:val="22"/>
                <w:szCs w:val="22"/>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position, and shall cooperate fully with the Company in any process whereby the Company designates a new</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representative to replace the position vacated by Executive. Executive also agrees that all property (including without</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9"/>
              </w:rPr>
              <w:t>limitation all equipment, tangible proprietary information, documents, records, notes, contracts and computer-generated</w:t>
            </w:r>
          </w:p>
        </w:tc>
      </w:tr>
      <w:tr>
        <w:trPr>
          <w:trHeight w:val="245"/>
        </w:trPr>
        <w:tc>
          <w:tcPr>
            <w:tcW w:w="540" w:type="dxa"/>
            <w:vAlign w:val="bottom"/>
          </w:tcPr>
          <w:p>
            <w:pPr>
              <w:spacing w:after="0"/>
              <w:rPr>
                <w:sz w:val="21"/>
                <w:szCs w:val="21"/>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materials) furnished to or created or prepared by Executive incident to Executive’s employment with the Company</w:t>
            </w:r>
          </w:p>
        </w:tc>
      </w:tr>
      <w:tr>
        <w:trPr>
          <w:trHeight w:val="268"/>
        </w:trPr>
        <w:tc>
          <w:tcPr>
            <w:tcW w:w="540" w:type="dxa"/>
            <w:vAlign w:val="bottom"/>
          </w:tcPr>
          <w:p>
            <w:pPr>
              <w:spacing w:after="0"/>
              <w:rPr>
                <w:sz w:val="23"/>
                <w:szCs w:val="23"/>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9"/>
              </w:rPr>
              <w:t>belongs to the Company and shall be promptly returned to the Company upon termination of Executive’s employment.</w:t>
            </w:r>
          </w:p>
        </w:tc>
      </w:tr>
      <w:tr>
        <w:trPr>
          <w:trHeight w:val="428"/>
        </w:trPr>
        <w:tc>
          <w:tcPr>
            <w:tcW w:w="540" w:type="dxa"/>
            <w:vAlign w:val="bottom"/>
          </w:tcPr>
          <w:p>
            <w:pPr>
              <w:spacing w:after="0"/>
              <w:rPr>
                <w:sz w:val="20"/>
                <w:szCs w:val="20"/>
                <w:color w:val="auto"/>
              </w:rPr>
            </w:pPr>
            <w:r>
              <w:rPr>
                <w:rFonts w:ascii="Times New Roman" w:cs="Times New Roman" w:eastAsia="Times New Roman" w:hAnsi="Times New Roman"/>
                <w:sz w:val="21"/>
                <w:szCs w:val="21"/>
                <w:color w:val="auto"/>
              </w:rPr>
              <w:t>9.10</w:t>
            </w: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w w:val="99"/>
              </w:rPr>
              <w:t>7.10  WITHHOLDING AUTHORIZATION. To the fullest extent permitted under the laws of the State of Employment</w:t>
            </w:r>
          </w:p>
        </w:tc>
      </w:tr>
      <w:tr>
        <w:trPr>
          <w:trHeight w:val="268"/>
        </w:trPr>
        <w:tc>
          <w:tcPr>
            <w:tcW w:w="540" w:type="dxa"/>
            <w:vAlign w:val="bottom"/>
          </w:tcPr>
          <w:p>
            <w:pPr>
              <w:spacing w:after="0"/>
              <w:rPr>
                <w:sz w:val="23"/>
                <w:szCs w:val="23"/>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hereunder, Executive authorizes Company to withhold from any Severance Benefits otherwise due to Executive and</w:t>
            </w:r>
          </w:p>
        </w:tc>
      </w:tr>
    </w:tbl>
    <w:p>
      <w:pPr>
        <w:jc w:val="both"/>
        <w:ind w:left="1240"/>
        <w:spacing w:after="0" w:line="251" w:lineRule="auto"/>
        <w:rPr>
          <w:sz w:val="20"/>
          <w:szCs w:val="20"/>
          <w:color w:val="auto"/>
        </w:rPr>
      </w:pPr>
      <w:r>
        <w:rPr>
          <w:rFonts w:ascii="Times New Roman" w:cs="Times New Roman" w:eastAsia="Times New Roman" w:hAnsi="Times New Roman"/>
          <w:sz w:val="21"/>
          <w:szCs w:val="21"/>
          <w:color w:val="auto"/>
        </w:rPr>
        <w:t>from any other funds held for Executive’s benefit by Company, any undisputed damages or losses sustained by Company as a result of any material breach or other material violation of this Agreement by Executive, pending resolution of any underlying dispute.</w:t>
      </w:r>
    </w:p>
    <w:p>
      <w:pPr>
        <w:spacing w:after="0" w:line="144" w:lineRule="exact"/>
        <w:rPr>
          <w:sz w:val="20"/>
          <w:szCs w:val="20"/>
          <w:color w:val="auto"/>
        </w:rPr>
      </w:pPr>
    </w:p>
    <w:p>
      <w:pPr>
        <w:ind w:left="620" w:hanging="617"/>
        <w:spacing w:after="0"/>
        <w:tabs>
          <w:tab w:leader="none" w:pos="620"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p>
    <w:p>
      <w:pPr>
        <w:spacing w:after="0" w:line="175" w:lineRule="exact"/>
        <w:rPr>
          <w:rFonts w:ascii="Times New Roman" w:cs="Times New Roman" w:eastAsia="Times New Roman" w:hAnsi="Times New Roman"/>
          <w:sz w:val="21"/>
          <w:szCs w:val="21"/>
          <w:b w:val="1"/>
          <w:bCs w:val="1"/>
          <w:color w:val="auto"/>
        </w:rPr>
      </w:pPr>
    </w:p>
    <w:p>
      <w:pPr>
        <w:ind w:left="1240" w:hanging="619"/>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10.1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53" w:name="page54"/>
    <w:bookmarkEnd w:id="53"/>
    <w:p>
      <w:pPr>
        <w:ind w:left="1240"/>
        <w:spacing w:after="0"/>
        <w:tabs>
          <w:tab w:leader="none" w:pos="2300" w:val="left"/>
        </w:tabs>
        <w:rPr>
          <w:sz w:val="20"/>
          <w:szCs w:val="20"/>
          <w:color w:val="auto"/>
        </w:rPr>
      </w:pPr>
      <w:r>
        <w:rPr>
          <w:rFonts w:ascii="Times New Roman" w:cs="Times New Roman" w:eastAsia="Times New Roman" w:hAnsi="Times New Roman"/>
          <w:sz w:val="21"/>
          <w:szCs w:val="21"/>
          <w:color w:val="auto"/>
        </w:rPr>
        <w:t>Executive:</w:t>
      </w:r>
      <w:r>
        <w:rPr>
          <w:sz w:val="20"/>
          <w:szCs w:val="20"/>
          <w:color w:val="auto"/>
        </w:rPr>
        <w:tab/>
      </w:r>
      <w:r>
        <w:rPr>
          <w:rFonts w:ascii="Times New Roman" w:cs="Times New Roman" w:eastAsia="Times New Roman" w:hAnsi="Times New Roman"/>
          <w:sz w:val="20"/>
          <w:szCs w:val="20"/>
          <w:color w:val="auto"/>
        </w:rPr>
        <w:t>Address on File</w:t>
      </w:r>
    </w:p>
    <w:p>
      <w:pPr>
        <w:spacing w:after="0" w:line="236" w:lineRule="exact"/>
        <w:rPr>
          <w:sz w:val="20"/>
          <w:szCs w:val="20"/>
          <w:color w:val="auto"/>
        </w:rPr>
      </w:pPr>
    </w:p>
    <w:p>
      <w:pPr>
        <w:ind w:left="1240"/>
        <w:spacing w:after="0"/>
        <w:tabs>
          <w:tab w:leader="none" w:pos="2280" w:val="left"/>
        </w:tabs>
        <w:rPr>
          <w:sz w:val="20"/>
          <w:szCs w:val="20"/>
          <w:color w:val="auto"/>
        </w:rPr>
      </w:pPr>
      <w:r>
        <w:rPr>
          <w:rFonts w:ascii="Times New Roman" w:cs="Times New Roman" w:eastAsia="Times New Roman" w:hAnsi="Times New Roman"/>
          <w:sz w:val="21"/>
          <w:szCs w:val="21"/>
          <w:color w:val="auto"/>
        </w:rPr>
        <w:t>Company:</w:t>
      </w:r>
      <w:r>
        <w:rPr>
          <w:sz w:val="20"/>
          <w:szCs w:val="20"/>
          <w:color w:val="auto"/>
        </w:rPr>
        <w:tab/>
      </w:r>
      <w:r>
        <w:rPr>
          <w:rFonts w:ascii="Times New Roman" w:cs="Times New Roman" w:eastAsia="Times New Roman" w:hAnsi="Times New Roman"/>
          <w:sz w:val="20"/>
          <w:szCs w:val="20"/>
          <w:color w:val="auto"/>
        </w:rPr>
        <w:t>ABM Industries Incorporated</w:t>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One Liberty Plaza, New York, NY 10006</w:t>
      </w:r>
    </w:p>
    <w:p>
      <w:pPr>
        <w:spacing w:after="0" w:line="226" w:lineRule="exact"/>
        <w:rPr>
          <w:sz w:val="20"/>
          <w:szCs w:val="20"/>
          <w:color w:val="auto"/>
        </w:rPr>
      </w:pPr>
    </w:p>
    <w:p>
      <w:pPr>
        <w:ind w:left="1240"/>
        <w:spacing w:after="0"/>
        <w:tabs>
          <w:tab w:leader="none" w:pos="1980" w:val="left"/>
        </w:tabs>
        <w:rPr>
          <w:sz w:val="20"/>
          <w:szCs w:val="20"/>
          <w:color w:val="auto"/>
        </w:rPr>
      </w:pPr>
      <w:r>
        <w:rPr>
          <w:rFonts w:ascii="Times New Roman" w:cs="Times New Roman" w:eastAsia="Times New Roman" w:hAnsi="Times New Roman"/>
          <w:sz w:val="21"/>
          <w:szCs w:val="21"/>
          <w:color w:val="auto"/>
        </w:rPr>
        <w:t>Copy:</w:t>
        <w:tab/>
        <w:t>ABM Industries Incorporated</w:t>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One Liberty Plaza, New York, NY 10006</w:t>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Attention: Chief Human Resources Officer</w:t>
      </w:r>
    </w:p>
    <w:p>
      <w:pPr>
        <w:spacing w:after="0" w:line="162" w:lineRule="exact"/>
        <w:rPr>
          <w:sz w:val="20"/>
          <w:szCs w:val="20"/>
          <w:color w:val="auto"/>
        </w:rPr>
      </w:pPr>
    </w:p>
    <w:p>
      <w:pPr>
        <w:ind w:left="1240" w:hanging="618"/>
        <w:spacing w:after="0" w:line="235" w:lineRule="auto"/>
        <w:tabs>
          <w:tab w:leader="none" w:pos="1220" w:val="left"/>
        </w:tabs>
        <w:rPr>
          <w:sz w:val="20"/>
          <w:szCs w:val="20"/>
          <w:color w:val="auto"/>
        </w:rPr>
      </w:pPr>
      <w:r>
        <w:rPr>
          <w:rFonts w:ascii="Times New Roman" w:cs="Times New Roman" w:eastAsia="Times New Roman" w:hAnsi="Times New Roman"/>
          <w:sz w:val="21"/>
          <w:szCs w:val="21"/>
          <w:color w:val="auto"/>
        </w:rPr>
        <w:t>10.2</w:t>
        <w:tab/>
        <w:t>RECEIPT. Any such notice shall be assumed to have been received when delivered in person or 48 hours after being sent in the manner specified above.</w:t>
      </w:r>
    </w:p>
    <w:p>
      <w:pPr>
        <w:spacing w:after="0" w:line="142" w:lineRule="exact"/>
        <w:rPr>
          <w:sz w:val="20"/>
          <w:szCs w:val="20"/>
          <w:color w:val="auto"/>
        </w:rPr>
      </w:pPr>
    </w:p>
    <w:p>
      <w:pPr>
        <w:jc w:val="both"/>
        <w:ind w:left="620" w:hanging="617"/>
        <w:spacing w:after="0" w:line="221" w:lineRule="auto"/>
        <w:tabs>
          <w:tab w:leader="none" w:pos="608"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 The Company shall indemnify, defend, and hold Executive harmless to the fullest extent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Company’s Articles of Incorporation, Bylaws, or any other operating document. In addition, the Executive shall be included under the Company’s Directors and Officers Liability Insurance Policy. For the avoidance of doubt, this Section 9 shall survive the termination of this Agreement.</w:t>
      </w:r>
    </w:p>
    <w:p>
      <w:pPr>
        <w:spacing w:after="0" w:line="141" w:lineRule="exact"/>
        <w:rPr>
          <w:rFonts w:ascii="Times New Roman" w:cs="Times New Roman" w:eastAsia="Times New Roman" w:hAnsi="Times New Roman"/>
          <w:sz w:val="21"/>
          <w:szCs w:val="21"/>
          <w:b w:val="1"/>
          <w:bCs w:val="1"/>
          <w:color w:val="auto"/>
        </w:rPr>
      </w:pPr>
    </w:p>
    <w:p>
      <w:pPr>
        <w:ind w:left="620" w:hanging="617"/>
        <w:spacing w:after="0"/>
        <w:tabs>
          <w:tab w:leader="none" w:pos="620"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75" w:lineRule="exact"/>
        <w:rPr>
          <w:rFonts w:ascii="Times New Roman" w:cs="Times New Roman" w:eastAsia="Times New Roman" w:hAnsi="Times New Roman"/>
          <w:sz w:val="21"/>
          <w:szCs w:val="21"/>
          <w:b w:val="1"/>
          <w:bCs w:val="1"/>
          <w:color w:val="auto"/>
        </w:rPr>
      </w:pPr>
    </w:p>
    <w:p>
      <w:pPr>
        <w:ind w:left="1240" w:hanging="619"/>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12.1 GOVERNING LAW. This Agreement shall be interpreted and enforced in accordance with the laws of the State of Employment, which, for purposes of this Agreement, shall mean the state of New York.</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12.2 NO WAIVER. Failure by either party to enforce any term or condition of this Agreement at any time shall not preclude that party from enforcing that provision, or any other provision of this Agreement, at any later time.</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1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12.4 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145" w:lineRule="exact"/>
        <w:rPr>
          <w:rFonts w:ascii="Times New Roman" w:cs="Times New Roman" w:eastAsia="Times New Roman" w:hAnsi="Times New Roman"/>
          <w:sz w:val="21"/>
          <w:szCs w:val="21"/>
          <w:b w:val="1"/>
          <w:bCs w:val="1"/>
          <w:color w:val="auto"/>
        </w:rPr>
      </w:pPr>
    </w:p>
    <w:p>
      <w:pPr>
        <w:ind w:left="1240" w:hanging="619"/>
        <w:spacing w:after="0" w:line="2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12.5 SUCCESSORS. This Agreement is binding upon and shall inure to the benefit of the parties’ respective successors, assigns, administrators and legal representatives and Executive’s heirs and executors.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5" w:right="339" w:bottom="1440" w:gutter="0" w:footer="0" w:header="0"/>
        </w:sectPr>
      </w:pPr>
    </w:p>
    <w:bookmarkStart w:id="54" w:name="page55"/>
    <w:bookmarkEnd w:id="54"/>
    <w:p>
      <w:pPr>
        <w:spacing w:after="0" w:line="106" w:lineRule="exact"/>
        <w:rPr>
          <w:sz w:val="20"/>
          <w:szCs w:val="20"/>
          <w:color w:val="auto"/>
        </w:rPr>
      </w:pPr>
    </w:p>
    <w:p>
      <w:pPr>
        <w:jc w:val="both"/>
        <w:ind w:left="120" w:hanging="618"/>
        <w:spacing w:after="0" w:line="211" w:lineRule="auto"/>
        <w:tabs>
          <w:tab w:leader="none" w:pos="100" w:val="left"/>
        </w:tabs>
        <w:rPr>
          <w:sz w:val="20"/>
          <w:szCs w:val="20"/>
          <w:color w:val="auto"/>
        </w:rPr>
      </w:pPr>
      <w:r>
        <w:rPr>
          <w:rFonts w:ascii="Times New Roman" w:cs="Times New Roman" w:eastAsia="Times New Roman" w:hAnsi="Times New Roman"/>
          <w:sz w:val="21"/>
          <w:szCs w:val="21"/>
          <w:color w:val="auto"/>
        </w:rPr>
        <w:t>12.6</w:t>
        <w:tab/>
        <w:t>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46" w:lineRule="exact"/>
        <w:rPr>
          <w:sz w:val="20"/>
          <w:szCs w:val="20"/>
          <w:color w:val="auto"/>
        </w:rPr>
      </w:pPr>
    </w:p>
    <w:p>
      <w:pPr>
        <w:jc w:val="both"/>
        <w:ind w:left="120" w:hanging="618"/>
        <w:spacing w:after="0" w:line="207" w:lineRule="auto"/>
        <w:tabs>
          <w:tab w:leader="none" w:pos="100" w:val="left"/>
        </w:tabs>
        <w:rPr>
          <w:sz w:val="20"/>
          <w:szCs w:val="20"/>
          <w:color w:val="auto"/>
        </w:rPr>
      </w:pPr>
      <w:r>
        <w:rPr>
          <w:rFonts w:ascii="Times New Roman" w:cs="Times New Roman" w:eastAsia="Times New Roman" w:hAnsi="Times New Roman"/>
          <w:sz w:val="21"/>
          <w:szCs w:val="21"/>
          <w:color w:val="auto"/>
        </w:rPr>
        <w:t>12.7</w:t>
        <w:tab/>
        <w:t>SECTION 409A. Without limiting the generality of Section 7.6,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If any payments or benefits due to Executive hereunder would cause the application of an accelerated or additional tax under Section 409A, such payments or benefits shall be restructured in a mutually agreed upon manner that to the extent possible preserves the economic benefit and original intent thereof but does not cause such an accelerated or additional tax. For purposes of the limitations on nonqualified deferred compensation under Section 409A, each payment of compensation under this Agreement shall be treated as a separate payment of compensation.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(6) month period immediately following Executive’s separation from service shall instead be paid on the first business day after the date that is six (6) months following Executive’s termination date (or death, if earlier). In the event that any payment under this Agreement may be made in two calendar years, depending on the timing of execution of a release, such payment shall be made in the later calendar year, to the extent required by Section 409A. Notwithstanding anything to the contrary in this Agreement, all (A) reimbursements and (B) in-kind benefits provided under this Agreement shall be made or provided in accordance with the requirements of Section 409A,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w:t>
      </w:r>
    </w:p>
    <w:p>
      <w:pPr>
        <w:spacing w:after="0" w:line="162" w:lineRule="exact"/>
        <w:rPr>
          <w:sz w:val="20"/>
          <w:szCs w:val="20"/>
          <w:color w:val="auto"/>
        </w:rPr>
      </w:pPr>
    </w:p>
    <w:p>
      <w:pPr>
        <w:jc w:val="both"/>
        <w:ind w:left="120" w:hanging="618"/>
        <w:spacing w:after="0" w:line="225" w:lineRule="auto"/>
        <w:tabs>
          <w:tab w:leader="none" w:pos="100" w:val="left"/>
        </w:tabs>
        <w:rPr>
          <w:sz w:val="20"/>
          <w:szCs w:val="20"/>
          <w:color w:val="auto"/>
        </w:rPr>
      </w:pPr>
      <w:r>
        <w:rPr>
          <w:rFonts w:ascii="Times New Roman" w:cs="Times New Roman" w:eastAsia="Times New Roman" w:hAnsi="Times New Roman"/>
          <w:sz w:val="21"/>
          <w:szCs w:val="21"/>
          <w:color w:val="auto"/>
        </w:rPr>
        <w:t>12.8</w:t>
        <w:tab/>
        <w:t>COUNTERPARTS. This Agreement may be executed in several counterparts, each of which shall be deemed as an original, but all of which together shall constitute one and the same instrument binding on all of the parties hereto, notwithstanding that all of the parties are not signatory to the same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120"/>
          </w:cols>
          <w:pgMar w:left="1440" w:top="1440" w:right="339" w:bottom="1440" w:gutter="0" w:footer="0" w:header="0"/>
        </w:sectPr>
      </w:pPr>
    </w:p>
    <w:bookmarkStart w:id="55" w:name="page56"/>
    <w:bookmarkEnd w:id="55"/>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This Agreement may be executed either by original, facsimile, or electronic copy, each of which will be equally binding.</w:t>
      </w:r>
    </w:p>
    <w:p>
      <w:pPr>
        <w:spacing w:after="0" w:line="183" w:lineRule="exact"/>
        <w:rPr>
          <w:sz w:val="20"/>
          <w:szCs w:val="20"/>
          <w:color w:val="auto"/>
        </w:rPr>
      </w:pPr>
    </w:p>
    <w:p>
      <w:pPr>
        <w:jc w:val="both"/>
        <w:ind w:left="120" w:hanging="618"/>
        <w:spacing w:after="0" w:line="217" w:lineRule="auto"/>
        <w:tabs>
          <w:tab w:leader="none" w:pos="100" w:val="left"/>
        </w:tabs>
        <w:rPr>
          <w:sz w:val="20"/>
          <w:szCs w:val="20"/>
          <w:color w:val="auto"/>
        </w:rPr>
      </w:pPr>
      <w:r>
        <w:rPr>
          <w:rFonts w:ascii="Times New Roman" w:cs="Times New Roman" w:eastAsia="Times New Roman" w:hAnsi="Times New Roman"/>
          <w:sz w:val="21"/>
          <w:szCs w:val="21"/>
          <w:color w:val="auto"/>
        </w:rPr>
        <w:t>12.9</w:t>
        <w:tab/>
        <w:t xml:space="preserve">ENTIRE AGREEMENT. Unless otherwise specified herein, this Agreement, together with Appendix A, sets forth every contract, understanding and arrangement as to the employment relationship between Executive and the Company (other than the Change in Control Agreement and any equity award agreement under the Equity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that this Agreement conflicts with the terms of any equity award agreement, this Agreement shall govern unless otherwise expressly stated in such equity award agreement).</w:t>
      </w:r>
    </w:p>
    <w:p>
      <w:pPr>
        <w:spacing w:after="0" w:line="146" w:lineRule="exact"/>
        <w:rPr>
          <w:sz w:val="20"/>
          <w:szCs w:val="20"/>
          <w:color w:val="auto"/>
        </w:rPr>
      </w:pPr>
    </w:p>
    <w:p>
      <w:pPr>
        <w:jc w:val="both"/>
        <w:ind w:left="740" w:hanging="618"/>
        <w:spacing w:after="0" w:line="225" w:lineRule="auto"/>
        <w:rPr>
          <w:sz w:val="20"/>
          <w:szCs w:val="20"/>
          <w:color w:val="auto"/>
        </w:rPr>
      </w:pPr>
      <w:r>
        <w:rPr>
          <w:rFonts w:ascii="Times New Roman" w:cs="Times New Roman" w:eastAsia="Times New Roman" w:hAnsi="Times New Roman"/>
          <w:sz w:val="21"/>
          <w:szCs w:val="21"/>
          <w:color w:val="auto"/>
        </w:rPr>
        <w:t>12.9.a 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46" w:lineRule="exact"/>
        <w:rPr>
          <w:sz w:val="20"/>
          <w:szCs w:val="20"/>
          <w:color w:val="auto"/>
        </w:rPr>
      </w:pPr>
    </w:p>
    <w:p>
      <w:pPr>
        <w:jc w:val="both"/>
        <w:ind w:left="740" w:hanging="618"/>
        <w:spacing w:after="0" w:line="235" w:lineRule="auto"/>
        <w:rPr>
          <w:sz w:val="20"/>
          <w:szCs w:val="20"/>
          <w:color w:val="auto"/>
        </w:rPr>
      </w:pPr>
      <w:r>
        <w:rPr>
          <w:rFonts w:ascii="Times New Roman" w:cs="Times New Roman" w:eastAsia="Times New Roman" w:hAnsi="Times New Roman"/>
          <w:sz w:val="21"/>
          <w:szCs w:val="21"/>
          <w:color w:val="auto"/>
        </w:rPr>
        <w:t>12.9.b AMENDMENTS. This Agreement may not be amended except in a writing signed by the Executive and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120"/>
          </w:cols>
          <w:pgMar w:left="1440" w:top="1440" w:right="339" w:bottom="1440" w:gutter="0" w:footer="0" w:header="0"/>
        </w:sectPr>
      </w:pPr>
    </w:p>
    <w:bookmarkStart w:id="56" w:name="page57"/>
    <w:bookmarkEnd w:id="56"/>
    <w:p>
      <w:pPr>
        <w:ind w:right="659" w:hanging="618"/>
        <w:spacing w:after="0" w:line="478"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Executive and Company have executed this Agreement as of the date set forth above.</w:t>
      </w:r>
      <w:r>
        <w:rPr>
          <w:rFonts w:ascii="Times New Roman" w:cs="Times New Roman" w:eastAsia="Times New Roman" w:hAnsi="Times New Roman"/>
          <w:sz w:val="21"/>
          <w:szCs w:val="21"/>
          <w:b w:val="1"/>
          <w:bCs w:val="1"/>
          <w:color w:val="auto"/>
        </w:rPr>
        <w:t xml:space="preserve"> Executive: </w:t>
      </w:r>
      <w:r>
        <w:rPr>
          <w:rFonts w:ascii="Times New Roman" w:cs="Times New Roman" w:eastAsia="Times New Roman" w:hAnsi="Times New Roman"/>
          <w:sz w:val="21"/>
          <w:szCs w:val="21"/>
          <w:color w:val="auto"/>
        </w:rPr>
        <w:t>Sean Mahoney</w:t>
      </w: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30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Signature:</w:t>
            </w:r>
          </w:p>
        </w:tc>
        <w:tc>
          <w:tcPr>
            <w:tcW w:w="2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21"/>
                <w:szCs w:val="21"/>
                <w:color w:val="auto"/>
              </w:rPr>
              <w:t>/s/ Sean Mahoney</w:t>
            </w:r>
          </w:p>
        </w:tc>
      </w:tr>
      <w:tr>
        <w:trPr>
          <w:trHeight w:val="444"/>
        </w:trPr>
        <w:tc>
          <w:tcPr>
            <w:tcW w:w="9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Date:</w:t>
            </w: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October 31, 2020</w:t>
            </w:r>
          </w:p>
        </w:tc>
        <w:tc>
          <w:tcPr>
            <w:tcW w:w="240" w:type="dxa"/>
            <w:vAlign w:val="bottom"/>
            <w:gridSpan w:val="2"/>
          </w:tcPr>
          <w:p>
            <w:pPr>
              <w:spacing w:after="0"/>
              <w:rPr>
                <w:sz w:val="24"/>
                <w:szCs w:val="24"/>
                <w:color w:val="auto"/>
              </w:rPr>
            </w:pPr>
          </w:p>
        </w:tc>
      </w:tr>
      <w:tr>
        <w:trPr>
          <w:trHeight w:val="932"/>
        </w:trPr>
        <w:tc>
          <w:tcPr>
            <w:tcW w:w="402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ABM Industries Incorporated</w:t>
            </w:r>
          </w:p>
        </w:tc>
      </w:tr>
      <w:tr>
        <w:trPr>
          <w:trHeight w:val="402"/>
        </w:trPr>
        <w:tc>
          <w:tcPr>
            <w:tcW w:w="130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Signature:</w:t>
            </w:r>
          </w:p>
        </w:tc>
        <w:tc>
          <w:tcPr>
            <w:tcW w:w="26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1"/>
                <w:szCs w:val="21"/>
                <w:color w:val="auto"/>
              </w:rPr>
              <w:t>/s/ Scott Salmirs</w:t>
            </w:r>
          </w:p>
        </w:tc>
        <w:tc>
          <w:tcPr>
            <w:tcW w:w="120" w:type="dxa"/>
            <w:vAlign w:val="bottom"/>
          </w:tcPr>
          <w:p>
            <w:pPr>
              <w:spacing w:after="0"/>
              <w:rPr>
                <w:sz w:val="24"/>
                <w:szCs w:val="24"/>
                <w:color w:val="auto"/>
              </w:rPr>
            </w:pPr>
          </w:p>
        </w:tc>
      </w:tr>
      <w:tr>
        <w:trPr>
          <w:trHeight w:val="431"/>
        </w:trPr>
        <w:tc>
          <w:tcPr>
            <w:tcW w:w="9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Title:</w:t>
            </w:r>
          </w:p>
        </w:tc>
        <w:tc>
          <w:tcPr>
            <w:tcW w:w="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CEO</w:t>
            </w:r>
          </w:p>
        </w:tc>
        <w:tc>
          <w:tcPr>
            <w:tcW w:w="860" w:type="dxa"/>
            <w:vAlign w:val="bottom"/>
            <w:gridSpan w:val="3"/>
          </w:tcPr>
          <w:p>
            <w:pPr>
              <w:spacing w:after="0"/>
              <w:rPr>
                <w:sz w:val="24"/>
                <w:szCs w:val="24"/>
                <w:color w:val="auto"/>
              </w:rPr>
            </w:pPr>
          </w:p>
        </w:tc>
      </w:tr>
      <w:tr>
        <w:trPr>
          <w:trHeight w:val="444"/>
        </w:trPr>
        <w:tc>
          <w:tcPr>
            <w:tcW w:w="900" w:type="dxa"/>
            <w:vAlign w:val="bottom"/>
          </w:tcPr>
          <w:p>
            <w:pPr>
              <w:ind w:left="400"/>
              <w:spacing w:after="0"/>
              <w:rPr>
                <w:sz w:val="20"/>
                <w:szCs w:val="20"/>
                <w:color w:val="auto"/>
              </w:rPr>
            </w:pPr>
            <w:r>
              <w:rPr>
                <w:rFonts w:ascii="Times New Roman" w:cs="Times New Roman" w:eastAsia="Times New Roman" w:hAnsi="Times New Roman"/>
                <w:sz w:val="21"/>
                <w:szCs w:val="21"/>
                <w:color w:val="auto"/>
              </w:rPr>
              <w:t>Date:</w:t>
            </w: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1"/>
                <w:szCs w:val="21"/>
                <w:color w:val="auto"/>
              </w:rPr>
              <w:t>October 31, 2020</w:t>
            </w:r>
          </w:p>
        </w:tc>
        <w:tc>
          <w:tcPr>
            <w:tcW w:w="24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9519"/>
          </w:cols>
          <w:pgMar w:left="940" w:top="1361" w:right="1440" w:bottom="1440" w:gutter="0" w:footer="0" w:header="0"/>
        </w:sectPr>
      </w:pPr>
    </w:p>
    <w:bookmarkStart w:id="57" w:name="page58"/>
    <w:bookmarkEnd w:id="57"/>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14" w:lineRule="exact"/>
        <w:rPr>
          <w:sz w:val="20"/>
          <w:szCs w:val="20"/>
          <w:color w:val="auto"/>
        </w:rPr>
      </w:pPr>
    </w:p>
    <w:p>
      <w:pPr>
        <w:jc w:val="both"/>
        <w:ind w:left="1240" w:hanging="618"/>
        <w:spacing w:after="0" w:line="247" w:lineRule="auto"/>
        <w:tabs>
          <w:tab w:leader="none" w:pos="117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186" w:lineRule="exact"/>
        <w:rPr>
          <w:rFonts w:ascii="Times New Roman" w:cs="Times New Roman" w:eastAsia="Times New Roman" w:hAnsi="Times New Roman"/>
          <w:sz w:val="21"/>
          <w:szCs w:val="21"/>
          <w:color w:val="auto"/>
        </w:rPr>
      </w:pPr>
    </w:p>
    <w:p>
      <w:pPr>
        <w:ind w:left="1240" w:hanging="618"/>
        <w:spacing w:after="0" w:line="249" w:lineRule="auto"/>
        <w:tabs>
          <w:tab w:leader="none" w:pos="103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58" w:name="page59"/>
    <w:bookmarkEnd w:id="58"/>
    <w:p>
      <w:pPr>
        <w:ind w:left="1240"/>
        <w:spacing w:after="0" w:line="269" w:lineRule="auto"/>
        <w:rPr>
          <w:sz w:val="20"/>
          <w:szCs w:val="20"/>
          <w:color w:val="auto"/>
        </w:rPr>
      </w:pPr>
      <w:r>
        <w:rPr>
          <w:rFonts w:ascii="Times New Roman" w:cs="Times New Roman" w:eastAsia="Times New Roman" w:hAnsi="Times New Roman"/>
          <w:sz w:val="21"/>
          <w:szCs w:val="21"/>
          <w:color w:val="auto"/>
        </w:rPr>
        <w:t>the one-year period following termination of Executive’s employment, which records will be available to and remain the sole property of the Company at all times.</w:t>
      </w:r>
    </w:p>
    <w:p>
      <w:pPr>
        <w:spacing w:after="0" w:line="155" w:lineRule="exact"/>
        <w:rPr>
          <w:sz w:val="20"/>
          <w:szCs w:val="20"/>
          <w:color w:val="auto"/>
        </w:rPr>
      </w:pPr>
    </w:p>
    <w:p>
      <w:pPr>
        <w:ind w:left="1240" w:hanging="618"/>
        <w:spacing w:after="0" w:line="248" w:lineRule="auto"/>
        <w:tabs>
          <w:tab w:leader="none" w:pos="110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CALIFORNIA LABOR CODE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2870-2872</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40" w:lineRule="exact"/>
        <w:rPr>
          <w:sz w:val="20"/>
          <w:szCs w:val="20"/>
          <w:color w:val="auto"/>
        </w:rPr>
      </w:pPr>
    </w:p>
    <w:p>
      <w:pPr>
        <w:ind w:left="1240" w:hanging="618"/>
        <w:spacing w:after="0" w:line="269" w:lineRule="auto"/>
        <w:tabs>
          <w:tab w:leader="none" w:pos="12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employer’s business, or actual or demonstrably anticipated research or development of the employer; or</w:t>
      </w:r>
    </w:p>
    <w:p>
      <w:pPr>
        <w:spacing w:after="0" w:line="154"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the employee for the employer.</w:t>
      </w:r>
    </w:p>
    <w:p>
      <w:pPr>
        <w:spacing w:after="0" w:line="222" w:lineRule="exact"/>
        <w:rPr>
          <w:rFonts w:ascii="Times New Roman" w:cs="Times New Roman" w:eastAsia="Times New Roman" w:hAnsi="Times New Roman"/>
          <w:sz w:val="21"/>
          <w:szCs w:val="21"/>
          <w:color w:val="auto"/>
        </w:rPr>
      </w:pPr>
    </w:p>
    <w:p>
      <w:pPr>
        <w:ind w:firstLine="3"/>
        <w:spacing w:after="0" w:line="269" w:lineRule="auto"/>
        <w:tabs>
          <w:tab w:leader="none" w:pos="30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2871. No employer shall require a provision made void and unenforceable by Section 2870 as a condition of employment or continued employment. Nothing in this article shall be construed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5"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21"/>
          <w:szCs w:val="21"/>
          <w:color w:val="auto"/>
        </w:rPr>
        <w:t>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5" w:right="339" w:bottom="1440" w:gutter="0" w:footer="0" w:header="0"/>
        </w:sectPr>
      </w:pPr>
    </w:p>
    <w:bookmarkStart w:id="60" w:name="page61"/>
    <w:bookmarkEnd w:id="60"/>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CHANGE IN CONTROL AGREEMENT</w:t>
      </w:r>
    </w:p>
    <w:p>
      <w:pPr>
        <w:spacing w:after="0" w:line="2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This Change in Control Agreement (this “Agreement”), effective as October 31, 2020 is made between ABM Industries Incorporated, a Delaware corporation (the “Company”) and the individual executing this Agreement as the Executive on the signature page (the “Executive”).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4" w:lineRule="exact"/>
        <w:rPr>
          <w:sz w:val="20"/>
          <w:szCs w:val="20"/>
          <w:color w:val="auto"/>
        </w:rPr>
      </w:pPr>
    </w:p>
    <w:p>
      <w:pPr>
        <w:ind w:right="20" w:firstLine="622"/>
        <w:spacing w:after="0" w:line="269" w:lineRule="auto"/>
        <w:tabs>
          <w:tab w:leader="none" w:pos="102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is a senior executive of the Company and has made and is expected to continue to make major contributions to the short- and long-term profitability, growth and financial strength of the Company;</w:t>
      </w:r>
    </w:p>
    <w:p>
      <w:pPr>
        <w:spacing w:after="0" w:line="154" w:lineRule="exact"/>
        <w:rPr>
          <w:rFonts w:ascii="Times New Roman" w:cs="Times New Roman" w:eastAsia="Times New Roman" w:hAnsi="Times New Roman"/>
          <w:sz w:val="21"/>
          <w:szCs w:val="21"/>
          <w:color w:val="auto"/>
        </w:rPr>
      </w:pPr>
    </w:p>
    <w:p>
      <w:pPr>
        <w:ind w:firstLine="622"/>
        <w:spacing w:after="0" w:line="256" w:lineRule="auto"/>
        <w:tabs>
          <w:tab w:leader="none" w:pos="101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recognizes that the possibility of a Change in Control, as hereinafter defined, exists and that such possibility, and the uncertainty it may create among management, may result in the distraction or departure of management personnel, to the detriment of the Company and its stockholders, including a reduction of the value received by stockholders in a Change in Control transaction;</w:t>
      </w:r>
    </w:p>
    <w:p>
      <w:pPr>
        <w:spacing w:after="0" w:line="168" w:lineRule="exact"/>
        <w:rPr>
          <w:rFonts w:ascii="Times New Roman" w:cs="Times New Roman" w:eastAsia="Times New Roman" w:hAnsi="Times New Roman"/>
          <w:sz w:val="21"/>
          <w:szCs w:val="21"/>
          <w:color w:val="auto"/>
        </w:rPr>
      </w:pPr>
    </w:p>
    <w:p>
      <w:pPr>
        <w:ind w:right="60" w:firstLine="622"/>
        <w:spacing w:after="0" w:line="269" w:lineRule="auto"/>
        <w:tabs>
          <w:tab w:leader="none" w:pos="101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desires to assure itself of both present and future continuity of management and to establish fixed severance benefits for certain of its senior executives, including the Executive, applicable in the event of a Change in Control; and</w:t>
      </w:r>
    </w:p>
    <w:p>
      <w:pPr>
        <w:spacing w:after="0" w:line="154" w:lineRule="exact"/>
        <w:rPr>
          <w:rFonts w:ascii="Times New Roman" w:cs="Times New Roman" w:eastAsia="Times New Roman" w:hAnsi="Times New Roman"/>
          <w:sz w:val="21"/>
          <w:szCs w:val="21"/>
          <w:color w:val="auto"/>
        </w:rPr>
      </w:pPr>
    </w:p>
    <w:p>
      <w:pPr>
        <w:ind w:right="600" w:firstLine="622"/>
        <w:spacing w:after="0" w:line="282" w:lineRule="auto"/>
        <w:tabs>
          <w:tab w:leader="none" w:pos="102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desires to provide additional inducement for the Executive to continue to remain in the employ of the Company. Accordingly, the Company and the Executive agree as follows:</w:t>
      </w:r>
    </w:p>
    <w:p>
      <w:pPr>
        <w:spacing w:after="0" w:line="115" w:lineRule="exact"/>
        <w:rPr>
          <w:rFonts w:ascii="Times New Roman" w:cs="Times New Roman" w:eastAsia="Times New Roman" w:hAnsi="Times New Roman"/>
          <w:sz w:val="21"/>
          <w:szCs w:val="21"/>
          <w:color w:val="auto"/>
        </w:rPr>
      </w:pPr>
    </w:p>
    <w:p>
      <w:pPr>
        <w:ind w:left="1860" w:right="300" w:hanging="619"/>
        <w:spacing w:after="0" w:line="215" w:lineRule="auto"/>
        <w:tabs>
          <w:tab w:leader="none" w:pos="186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Defined Terms</w:t>
      </w:r>
      <w:r>
        <w:rPr>
          <w:rFonts w:ascii="Times New Roman" w:cs="Times New Roman" w:eastAsia="Times New Roman" w:hAnsi="Times New Roman"/>
          <w:sz w:val="21"/>
          <w:szCs w:val="21"/>
          <w:color w:val="auto"/>
        </w:rPr>
        <w:t>. In addition to terms defined elsewhere herein, the following terms have the following meanings when used in this Agreement with initial capital letters:</w:t>
      </w:r>
    </w:p>
    <w:p>
      <w:pPr>
        <w:spacing w:after="0" w:line="1" w:lineRule="exact"/>
        <w:rPr>
          <w:rFonts w:ascii="Times New Roman" w:cs="Times New Roman" w:eastAsia="Times New Roman" w:hAnsi="Times New Roman"/>
          <w:sz w:val="21"/>
          <w:szCs w:val="21"/>
          <w:color w:val="auto"/>
        </w:rPr>
      </w:pPr>
    </w:p>
    <w:p>
      <w:pPr>
        <w:ind w:firstLine="1860"/>
        <w:spacing w:after="0" w:line="218" w:lineRule="auto"/>
        <w:tabs>
          <w:tab w:leader="none" w:pos="2472"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“After-Tax Amount” means the amount to be received by an Executive determined on an after-tax basis taking into account the excise tax imposed pursuant to Section 4999 of the Code, any tax imposed by any comparable provision of state law and any applicable federal, state and local income and employment taxes.</w:t>
      </w:r>
    </w:p>
    <w:p>
      <w:pPr>
        <w:spacing w:after="0" w:line="145" w:lineRule="exact"/>
        <w:rPr>
          <w:rFonts w:ascii="Times New Roman" w:cs="Times New Roman" w:eastAsia="Times New Roman" w:hAnsi="Times New Roman"/>
          <w:sz w:val="21"/>
          <w:szCs w:val="21"/>
          <w:color w:val="auto"/>
        </w:rPr>
      </w:pPr>
    </w:p>
    <w:p>
      <w:pPr>
        <w:ind w:right="560" w:firstLine="1860"/>
        <w:spacing w:after="0" w:line="235" w:lineRule="auto"/>
        <w:tabs>
          <w:tab w:leader="none" w:pos="2471"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Pay” means the Executive’s annual base salary rate as in effect at the time a determination is required to be made under Section 4.</w:t>
      </w:r>
    </w:p>
    <w:p>
      <w:pPr>
        <w:spacing w:after="0" w:line="145" w:lineRule="exact"/>
        <w:rPr>
          <w:rFonts w:ascii="Times New Roman" w:cs="Times New Roman" w:eastAsia="Times New Roman" w:hAnsi="Times New Roman"/>
          <w:sz w:val="21"/>
          <w:szCs w:val="21"/>
          <w:color w:val="auto"/>
        </w:rPr>
      </w:pPr>
    </w:p>
    <w:p>
      <w:pPr>
        <w:ind w:firstLine="1860"/>
        <w:spacing w:after="0" w:line="217" w:lineRule="auto"/>
        <w:tabs>
          <w:tab w:leader="none" w:pos="2472"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means the Board of Directors of the Company; any action of the Board herein contemplated will be valid if adopted by a majority of the total number of directors then in office or a majority of the Incumbent Directors and, for purposes of interpreting, amending or waiving any portion of this Agreement, may be adopted by a majority of the Incumbent Directors by written action, whether or not unanimous, or may be delegated by specific action of the Board of Directors after the date hereof to any directorate committee comprised solely of Incumbent Directors who are also Independent Directors.</w:t>
      </w:r>
    </w:p>
    <w:p>
      <w:pPr>
        <w:sectPr>
          <w:pgSz w:w="11900" w:h="16838" w:orient="portrait"/>
          <w:cols w:equalWidth="0" w:num="1">
            <w:col w:w="11200"/>
          </w:cols>
          <w:pgMar w:left="320" w:top="1440" w:right="379" w:bottom="1440" w:gutter="0" w:footer="0" w:header="0"/>
        </w:sectPr>
      </w:pPr>
    </w:p>
    <w:bookmarkStart w:id="61" w:name="page62"/>
    <w:bookmarkEnd w:id="61"/>
    <w:p>
      <w:pPr>
        <w:ind w:left="-20" w:firstLine="1860"/>
        <w:spacing w:after="0" w:line="219" w:lineRule="auto"/>
        <w:tabs>
          <w:tab w:leader="none" w:pos="245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shall mean, with respect to the Executive: (i) the willful and continued failure to substantially perform the Executive’s duties and responsibilities for reasons other than death or disability, after a written demand for substantial performance is delivered to him/her by the Company which specifically identifies the manner in which the Company believes that the Executive has not substantially performed the Executive’s duties; (ii) the Executive’s conviction (or entry of a plea bargain admitting criminal guilt) of any felony or a misdemeanor involving moral turpitude; (iii) intentional breach by the Executive of his/her fiduciary obligations to the Company or any securities laws applicable to the Company for which Executive has direct responsibility and of which he was not acting under instructions of the Board or under the belief, based on advice of Company counsel, that his conduct was appropriate; or (iv) intentional wrongful engagement by the Executive in any Competitive Activity; and, for purposes of this subsection (iv), any such act shall have been demonstrably and materially harmful to the Company. For purposes of this Agreement, no act or failure to act on the part of the Executive will be deemed “intentional” if it was due primarily to an error in judgment or negligence, but will be deemed “intentional” only if done or omitted to be done by the Executive not in good faith and without reasonable belief that the Executive’s action or omission was in the best interest of the Company. No Cause shall exist until the Company has given Executive written notice describing the circumstances giving rise to Cause in reasonable detail and, to the extent such circumstances are susceptible to remedy, Executive has failed to remedy such circumstances within fifteen (15) days of receiving such notice.</w:t>
      </w:r>
    </w:p>
    <w:p>
      <w:pPr>
        <w:spacing w:after="0" w:line="152" w:lineRule="exact"/>
        <w:rPr>
          <w:rFonts w:ascii="Times New Roman" w:cs="Times New Roman" w:eastAsia="Times New Roman" w:hAnsi="Times New Roman"/>
          <w:sz w:val="20"/>
          <w:szCs w:val="20"/>
          <w:color w:val="auto"/>
        </w:rPr>
      </w:pPr>
    </w:p>
    <w:p>
      <w:pPr>
        <w:ind w:left="-20" w:right="120" w:firstLine="1860"/>
        <w:spacing w:after="0" w:line="237" w:lineRule="auto"/>
        <w:tabs>
          <w:tab w:leader="none" w:pos="245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in Control” means that any of the following events occurs;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occurrence of such event constitutes a “change in effective ownership or control” of the Company, as defined in Section 409A:</w:t>
      </w:r>
    </w:p>
    <w:p>
      <w:pPr>
        <w:spacing w:after="0" w:line="146" w:lineRule="exact"/>
        <w:rPr>
          <w:sz w:val="20"/>
          <w:szCs w:val="20"/>
          <w:color w:val="auto"/>
        </w:rPr>
      </w:pPr>
    </w:p>
    <w:p>
      <w:pPr>
        <w:ind w:left="-20" w:right="100" w:firstLine="1860"/>
        <w:spacing w:after="0" w:line="215" w:lineRule="auto"/>
        <w:tabs>
          <w:tab w:leader="none" w:pos="244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after either such event, individuals who were members of the Board immediately prior to either such event cease to constitute a majority of the members of the Board; or</w:t>
      </w:r>
    </w:p>
    <w:p>
      <w:pPr>
        <w:spacing w:after="0" w:line="145" w:lineRule="exact"/>
        <w:rPr>
          <w:rFonts w:ascii="Times New Roman" w:cs="Times New Roman" w:eastAsia="Times New Roman" w:hAnsi="Times New Roman"/>
          <w:sz w:val="21"/>
          <w:szCs w:val="21"/>
          <w:color w:val="auto"/>
        </w:rPr>
      </w:pPr>
    </w:p>
    <w:p>
      <w:pPr>
        <w:ind w:left="2460" w:hanging="620"/>
        <w:spacing w:after="0"/>
        <w:tabs>
          <w:tab w:leader="none" w:pos="24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Board ceases to be comprised of Incumbent Directors; or</w:t>
      </w:r>
    </w:p>
    <w:p>
      <w:pPr>
        <w:spacing w:after="0" w:line="171" w:lineRule="exact"/>
        <w:rPr>
          <w:rFonts w:ascii="Times New Roman" w:cs="Times New Roman" w:eastAsia="Times New Roman" w:hAnsi="Times New Roman"/>
          <w:sz w:val="21"/>
          <w:szCs w:val="21"/>
          <w:color w:val="auto"/>
        </w:rPr>
      </w:pPr>
    </w:p>
    <w:p>
      <w:pPr>
        <w:ind w:left="-20" w:right="120" w:firstLine="1860"/>
        <w:spacing w:after="0" w:line="211" w:lineRule="auto"/>
        <w:tabs>
          <w:tab w:leader="none" w:pos="245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40" w:top="1339" w:right="339" w:bottom="1440" w:gutter="0" w:footer="0" w:header="0"/>
        </w:sectPr>
      </w:pPr>
    </w:p>
    <w:bookmarkStart w:id="62" w:name="page63"/>
    <w:bookmarkEnd w:id="62"/>
    <w:p>
      <w:pPr>
        <w:ind w:left="2480" w:hanging="620"/>
        <w:spacing w:after="0"/>
        <w:tabs>
          <w:tab w:leader="none" w:pos="2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 means the Internal Revenue Code of 1986, as amended.</w:t>
      </w:r>
    </w:p>
    <w:p>
      <w:pPr>
        <w:spacing w:after="0" w:line="171" w:lineRule="exact"/>
        <w:rPr>
          <w:rFonts w:ascii="Times New Roman" w:cs="Times New Roman" w:eastAsia="Times New Roman" w:hAnsi="Times New Roman"/>
          <w:sz w:val="21"/>
          <w:szCs w:val="21"/>
          <w:color w:val="auto"/>
        </w:rPr>
      </w:pPr>
    </w:p>
    <w:p>
      <w:pPr>
        <w:ind w:right="40" w:firstLine="1860"/>
        <w:spacing w:after="0" w:line="211" w:lineRule="auto"/>
        <w:tabs>
          <w:tab w:leader="none" w:pos="247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“Competitive Activity” means the Executive’s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pacing w:after="0" w:line="151" w:lineRule="exact"/>
        <w:rPr>
          <w:rFonts w:ascii="Times New Roman" w:cs="Times New Roman" w:eastAsia="Times New Roman" w:hAnsi="Times New Roman"/>
          <w:sz w:val="21"/>
          <w:szCs w:val="21"/>
          <w:color w:val="auto"/>
        </w:rPr>
      </w:pPr>
    </w:p>
    <w:p>
      <w:pPr>
        <w:ind w:firstLine="1860"/>
        <w:spacing w:after="0" w:line="211" w:lineRule="auto"/>
        <w:tabs>
          <w:tab w:leader="none" w:pos="247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Benefits” means the benefits and service credit for benefits as provided under any and all employee retirement income and welfare benefit policies, plans, programs or arrangements in which the Executive is entitled to participate, including without limitation any stock option, performance share, performance unit, stock purchase, stock appreciation, savings, pension, supplemental executive retirement, or other retirement income or welfare benefit, deferred compensation, incentive compensation, group or other life, health, medical/hospital or other insurance (whether funded by actual insurance or self-insured by the Company or a Subsidiary), disability, salary continuation, expense reimbursement and other employee benefit policies, plans, programs or arrangements that may now exist or any equivalent successor policies, plans, programs or arrangements that may be adopted hereafter by the Company or a Subsidiary, providing benefits and service credit for benefits at least as great in the aggregate as are payable thereunder immediately prior to a Change in Control.</w:t>
      </w:r>
    </w:p>
    <w:p>
      <w:pPr>
        <w:spacing w:after="0" w:line="15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“ERISA” means the Employee Retirement Income Security Act of 1976, as amended</w:t>
      </w:r>
    </w:p>
    <w:p>
      <w:pPr>
        <w:spacing w:after="0" w:line="171" w:lineRule="exact"/>
        <w:rPr>
          <w:rFonts w:ascii="Times New Roman" w:cs="Times New Roman" w:eastAsia="Times New Roman" w:hAnsi="Times New Roman"/>
          <w:sz w:val="21"/>
          <w:szCs w:val="21"/>
          <w:color w:val="auto"/>
        </w:rPr>
      </w:pPr>
    </w:p>
    <w:p>
      <w:pPr>
        <w:ind w:right="480" w:firstLine="1860"/>
        <w:spacing w:after="0" w:line="235" w:lineRule="auto"/>
        <w:tabs>
          <w:tab w:leader="none" w:pos="246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“Excess Parachute Payment” means a payment that creates an obligation for Executive to pay excise taxes under Section 280G of the Code.</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 means the Securities Exchange Act of 1934, as amended.</w:t>
      </w:r>
    </w:p>
    <w:p>
      <w:pPr>
        <w:spacing w:after="0" w:line="157"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means the occurrence of one or more of the following events, without the Executive’s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written consent:</w:t>
      </w:r>
    </w:p>
    <w:p>
      <w:pPr>
        <w:spacing w:after="0" w:line="149" w:lineRule="exact"/>
        <w:rPr>
          <w:sz w:val="20"/>
          <w:szCs w:val="20"/>
          <w:color w:val="auto"/>
        </w:rPr>
      </w:pPr>
    </w:p>
    <w:p>
      <w:pPr>
        <w:ind w:right="100" w:firstLine="1860"/>
        <w:spacing w:after="0" w:line="217" w:lineRule="auto"/>
        <w:tabs>
          <w:tab w:leader="none" w:pos="246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elect or reelect or otherwise to maintain the Executive in the office or the position he had with the Company immediately prior to a Change in Control, or a substantially equivalent or better office or position than that which he had with the Company immediately prior to the Change in Control, in either such case with the Company, any legal successor to the Company or, if the Company merges with or into another entity with substantial operations, with respect to the business of the Company and its Subsidiaries substantially as conducted immediately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39" w:right="339" w:bottom="1440" w:gutter="0" w:footer="0" w:header="0"/>
        </w:sectPr>
      </w:pPr>
    </w:p>
    <w:bookmarkStart w:id="63" w:name="page64"/>
    <w:bookmarkEnd w:id="63"/>
    <w:p>
      <w:pPr>
        <w:ind w:firstLine="1860"/>
        <w:spacing w:after="0" w:line="224" w:lineRule="auto"/>
        <w:tabs>
          <w:tab w:leader="none" w:pos="246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the Company to remedy any of the following within 30 calendar days after receipt by the Company of written notice thereof from the Executive: (A) a significant adverse change in the nature or scope of the authorities, powers or functions attached to the position with the Company which the Executive held immediately prior to the Change in Control; (B) a material reduction in the Executive’s Base Pay, (C) a material reduction in the Executive’s Incentive Pay Opportunity or Incentive Pay Target, or (D) the termination or denial of the Executive’s rights to material Employee Benefits or a material reduction in the scope or value thereof, unless such termination or reduction referred to in clauses (B), (C) or (D) applies on a substantially similar basis to all executives of the Company and its parent entities or such right is replaced with a right with a substantially similar scope or value;</w:t>
      </w:r>
    </w:p>
    <w:p>
      <w:pPr>
        <w:spacing w:after="0" w:line="134" w:lineRule="exact"/>
        <w:rPr>
          <w:rFonts w:ascii="Times New Roman" w:cs="Times New Roman" w:eastAsia="Times New Roman" w:hAnsi="Times New Roman"/>
          <w:sz w:val="20"/>
          <w:szCs w:val="20"/>
          <w:color w:val="auto"/>
        </w:rPr>
      </w:pPr>
    </w:p>
    <w:p>
      <w:pPr>
        <w:ind w:left="2480" w:hanging="620"/>
        <w:spacing w:after="0"/>
        <w:tabs>
          <w:tab w:leader="none" w:pos="24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requires the Executive to change Executive’s principal location of work by more than 35</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miles;</w:t>
      </w:r>
    </w:p>
    <w:p>
      <w:pPr>
        <w:spacing w:after="0" w:line="149" w:lineRule="exact"/>
        <w:rPr>
          <w:rFonts w:ascii="Times New Roman" w:cs="Times New Roman" w:eastAsia="Times New Roman" w:hAnsi="Times New Roman"/>
          <w:sz w:val="21"/>
          <w:szCs w:val="21"/>
          <w:color w:val="auto"/>
        </w:rPr>
      </w:pPr>
    </w:p>
    <w:p>
      <w:pPr>
        <w:ind w:right="200" w:firstLine="1860"/>
        <w:spacing w:after="0" w:line="220" w:lineRule="auto"/>
        <w:tabs>
          <w:tab w:leader="none" w:pos="246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transfer of all or substantially all of the Company’s business and/or assets, the failure of the successor or successors to which all or substantially all of its business and/or assets have been transferred to assume (by operation of law, agreement or otherwise) pursuant to Section 12 hereof all duties and obligations of the Company under this Agreement; or</w:t>
      </w:r>
    </w:p>
    <w:p>
      <w:pPr>
        <w:spacing w:after="0" w:line="145" w:lineRule="exact"/>
        <w:rPr>
          <w:rFonts w:ascii="Times New Roman" w:cs="Times New Roman" w:eastAsia="Times New Roman" w:hAnsi="Times New Roman"/>
          <w:sz w:val="21"/>
          <w:szCs w:val="21"/>
          <w:color w:val="auto"/>
        </w:rPr>
      </w:pPr>
    </w:p>
    <w:p>
      <w:pPr>
        <w:ind w:right="240" w:firstLine="1860"/>
        <w:spacing w:after="0" w:line="225" w:lineRule="auto"/>
        <w:tabs>
          <w:tab w:leader="none" w:pos="247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or effect of the foregoing, any material breach of this Agreement or any Other Employment Agreement (as defined below) by the Company or any successor thereto which is not remedied by the Company within 10 calendar days after receipt by the Company of written notice from the Executive of such breach.</w:t>
      </w:r>
    </w:p>
    <w:p>
      <w:pPr>
        <w:spacing w:after="0" w:line="17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A termination of employment by the Executive for one of the reasons set forth in clauses (i) - (iv) above, will not constitute “Good Reason” unless, within the 60-day period immediately following the occurrence of such Good Reason event, the Executive has given written notice to the Company specifying in reasonable detail the event or events relied upon for such termination and the Company has not remedied such event or events within 30 days of the receipt of such notice, and the Executive terminates employment within the 90-day period thereafter (and, in any event, during the Severance Period). The Company and the Executive may mutually waive in writing any of the foregoing provisions with respect to an event or events that otherwise would constitute Good Reason.</w:t>
      </w:r>
    </w:p>
    <w:p>
      <w:pPr>
        <w:spacing w:after="0" w:line="148" w:lineRule="exact"/>
        <w:rPr>
          <w:sz w:val="20"/>
          <w:szCs w:val="20"/>
          <w:color w:val="auto"/>
        </w:rPr>
      </w:pPr>
    </w:p>
    <w:p>
      <w:pPr>
        <w:ind w:right="80" w:firstLine="1860"/>
        <w:spacing w:after="0" w:line="212" w:lineRule="auto"/>
        <w:tabs>
          <w:tab w:leader="none" w:pos="246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“Incumbent Directors” means the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39" w:right="339" w:bottom="1440" w:gutter="0" w:footer="0" w:header="0"/>
        </w:sectPr>
      </w:pPr>
    </w:p>
    <w:bookmarkStart w:id="64" w:name="page65"/>
    <w:bookmarkEnd w:id="64"/>
    <w:p>
      <w:pPr>
        <w:ind w:left="-40" w:right="360" w:firstLine="1860"/>
        <w:spacing w:after="0" w:line="235" w:lineRule="auto"/>
        <w:tabs>
          <w:tab w:leader="none" w:pos="24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means compensation in addition to Base Pay determined by reference to one or more performance measures, whether payable in cash, securities or otherwise.</w:t>
      </w:r>
    </w:p>
    <w:p>
      <w:pPr>
        <w:spacing w:after="0" w:line="145" w:lineRule="exact"/>
        <w:rPr>
          <w:rFonts w:ascii="Times New Roman" w:cs="Times New Roman" w:eastAsia="Times New Roman" w:hAnsi="Times New Roman"/>
          <w:sz w:val="21"/>
          <w:szCs w:val="21"/>
          <w:color w:val="auto"/>
        </w:rPr>
      </w:pPr>
    </w:p>
    <w:p>
      <w:pPr>
        <w:ind w:left="-40" w:right="20" w:firstLine="1860"/>
        <w:spacing w:after="0" w:line="215" w:lineRule="auto"/>
        <w:tabs>
          <w:tab w:leader="none" w:pos="24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Opportunity” means the maximum amount of Incentive Pay that the Executive would receive pursuant to any Incentive Pay Plan in existence immediately prior to a Change in Control (disregarding the effects of the Change in Control, including without limitation increased depreciation or amortization, financing expense and transaction costs), assuming satisfaction of all thresholds or other conditions thereto established (i) prior to the Change in Control or (ii) after the Change in Control either (A) with the Executive’s specific prior written approval or (B) by action of a committee of the Board comprised solely of Independent Directors.</w:t>
      </w:r>
    </w:p>
    <w:p>
      <w:pPr>
        <w:spacing w:after="0" w:line="145" w:lineRule="exact"/>
        <w:rPr>
          <w:rFonts w:ascii="Times New Roman" w:cs="Times New Roman" w:eastAsia="Times New Roman" w:hAnsi="Times New Roman"/>
          <w:sz w:val="21"/>
          <w:szCs w:val="21"/>
          <w:color w:val="auto"/>
        </w:rPr>
      </w:pPr>
    </w:p>
    <w:p>
      <w:pPr>
        <w:jc w:val="both"/>
        <w:ind w:left="-40" w:right="320" w:firstLine="1860"/>
        <w:spacing w:after="0" w:line="225" w:lineRule="auto"/>
        <w:tabs>
          <w:tab w:leader="none" w:pos="24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Plan” means any plan, program, agreement or arrangement (excluding employee stock options, restricted stock or other rights the value of which is determined solely by reference to the value of the Company’s common stock).</w:t>
      </w:r>
    </w:p>
    <w:p>
      <w:pPr>
        <w:spacing w:after="0" w:line="145" w:lineRule="exact"/>
        <w:rPr>
          <w:rFonts w:ascii="Times New Roman" w:cs="Times New Roman" w:eastAsia="Times New Roman" w:hAnsi="Times New Roman"/>
          <w:sz w:val="21"/>
          <w:szCs w:val="21"/>
          <w:color w:val="auto"/>
        </w:rPr>
      </w:pPr>
    </w:p>
    <w:p>
      <w:pPr>
        <w:ind w:left="-40" w:right="120" w:firstLine="1860"/>
        <w:spacing w:after="0" w:line="220" w:lineRule="auto"/>
        <w:tabs>
          <w:tab w:leader="none" w:pos="24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 Pay Target” means the amount or value of Incentive Pay the Executive would have received assuming that the Incentive Pay Plans in effect immediately prior to the Change in Control continue unchanged and are satisfied at the target level and, if applicable, any conditions to entitlement to payment at the target level thereunder that are not measured by the Company’s results of operation are satisfied at the target level.</w:t>
      </w:r>
    </w:p>
    <w:p>
      <w:pPr>
        <w:spacing w:after="0" w:line="145" w:lineRule="exact"/>
        <w:rPr>
          <w:rFonts w:ascii="Times New Roman" w:cs="Times New Roman" w:eastAsia="Times New Roman" w:hAnsi="Times New Roman"/>
          <w:sz w:val="21"/>
          <w:szCs w:val="21"/>
          <w:color w:val="auto"/>
        </w:rPr>
      </w:pPr>
    </w:p>
    <w:p>
      <w:pPr>
        <w:ind w:left="-40" w:right="40" w:firstLine="1860"/>
        <w:spacing w:after="0" w:line="225" w:lineRule="auto"/>
        <w:tabs>
          <w:tab w:leader="none" w:pos="243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“Independent Directors” means directors who qualify as “independent” directors under then-applicable New York Stock Exchange rules applicable to compensation committees (whether or not the Company’s securities continue to be listed for trading thereon).</w:t>
      </w:r>
    </w:p>
    <w:p>
      <w:pPr>
        <w:spacing w:after="0" w:line="145" w:lineRule="exact"/>
        <w:rPr>
          <w:rFonts w:ascii="Times New Roman" w:cs="Times New Roman" w:eastAsia="Times New Roman" w:hAnsi="Times New Roman"/>
          <w:sz w:val="21"/>
          <w:szCs w:val="21"/>
          <w:color w:val="auto"/>
        </w:rPr>
      </w:pPr>
    </w:p>
    <w:p>
      <w:pPr>
        <w:ind w:left="-40" w:right="140" w:firstLine="1860"/>
        <w:spacing w:after="0" w:line="254" w:lineRule="auto"/>
        <w:tabs>
          <w:tab w:leader="none" w:pos="24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Agreement” means an agreement, contract or understanding (including any option or equity plan or agreement) other than this Agreement, heretofore or hereafter entered into by the Executive with the Company or any Subsidiary.</w:t>
      </w:r>
    </w:p>
    <w:p>
      <w:pPr>
        <w:spacing w:after="0" w:line="132" w:lineRule="exact"/>
        <w:rPr>
          <w:rFonts w:ascii="Times New Roman" w:cs="Times New Roman" w:eastAsia="Times New Roman" w:hAnsi="Times New Roman"/>
          <w:sz w:val="20"/>
          <w:szCs w:val="20"/>
          <w:color w:val="auto"/>
        </w:rPr>
      </w:pPr>
    </w:p>
    <w:p>
      <w:pPr>
        <w:ind w:left="-40" w:right="80" w:firstLine="1860"/>
        <w:spacing w:after="0" w:line="220" w:lineRule="auto"/>
        <w:tabs>
          <w:tab w:leader="none" w:pos="242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Plans” means the benefit plans of the Company that are intended to be qualified under Section 401(a) of the Code and any supplemental executive retirement benefit plan or any other plan that is a successor thereto as such Retirement Plans were in effect immediately prior to the Change in Control and if the Executive was a participant in such Retirement Plan immediately prior to the Change in Control.</w:t>
      </w:r>
    </w:p>
    <w:p>
      <w:pPr>
        <w:spacing w:after="0" w:line="145" w:lineRule="exact"/>
        <w:rPr>
          <w:rFonts w:ascii="Times New Roman" w:cs="Times New Roman" w:eastAsia="Times New Roman" w:hAnsi="Times New Roman"/>
          <w:sz w:val="21"/>
          <w:szCs w:val="21"/>
          <w:color w:val="auto"/>
        </w:rPr>
      </w:pPr>
    </w:p>
    <w:p>
      <w:pPr>
        <w:ind w:left="2440" w:hanging="620"/>
        <w:spacing w:after="0"/>
        <w:tabs>
          <w:tab w:leader="none" w:pos="24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162(m)” means Section 162(m) of the Code.</w:t>
      </w:r>
    </w:p>
    <w:p>
      <w:pPr>
        <w:spacing w:after="0" w:line="171" w:lineRule="exact"/>
        <w:rPr>
          <w:rFonts w:ascii="Times New Roman" w:cs="Times New Roman" w:eastAsia="Times New Roman" w:hAnsi="Times New Roman"/>
          <w:sz w:val="21"/>
          <w:szCs w:val="21"/>
          <w:color w:val="auto"/>
        </w:rPr>
      </w:pPr>
    </w:p>
    <w:p>
      <w:pPr>
        <w:ind w:left="2440" w:hanging="620"/>
        <w:spacing w:after="0"/>
        <w:tabs>
          <w:tab w:leader="none" w:pos="24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409A” means Section 409A of the Code.</w:t>
      </w:r>
    </w:p>
    <w:p>
      <w:pPr>
        <w:spacing w:after="0" w:line="171" w:lineRule="exact"/>
        <w:rPr>
          <w:rFonts w:ascii="Times New Roman" w:cs="Times New Roman" w:eastAsia="Times New Roman" w:hAnsi="Times New Roman"/>
          <w:sz w:val="21"/>
          <w:szCs w:val="21"/>
          <w:color w:val="auto"/>
        </w:rPr>
      </w:pPr>
    </w:p>
    <w:p>
      <w:pPr>
        <w:ind w:left="-40" w:right="20" w:firstLine="1860"/>
        <w:spacing w:after="0" w:line="225" w:lineRule="auto"/>
        <w:tabs>
          <w:tab w:leader="none" w:pos="242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Period” means the period of time commencing on the date of the first occurrence of a Change in Control and continuing until the earlier of (i) the second anniversary of the occurrence of the Change in Control and (ii) the Executive’s death.</w:t>
      </w:r>
    </w:p>
    <w:p>
      <w:pPr>
        <w:spacing w:after="0" w:line="145" w:lineRule="exact"/>
        <w:rPr>
          <w:rFonts w:ascii="Times New Roman" w:cs="Times New Roman" w:eastAsia="Times New Roman" w:hAnsi="Times New Roman"/>
          <w:sz w:val="21"/>
          <w:szCs w:val="21"/>
          <w:color w:val="auto"/>
        </w:rPr>
      </w:pPr>
    </w:p>
    <w:p>
      <w:pPr>
        <w:ind w:left="-40" w:firstLine="1860"/>
        <w:spacing w:after="0" w:line="235" w:lineRule="auto"/>
        <w:tabs>
          <w:tab w:leader="none" w:pos="243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means an entity in which the Company directly or indirectly beneficially owns 50% or more of the outstanding Voting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360" w:top="1339" w:right="379" w:bottom="1440" w:gutter="0" w:footer="0" w:header="0"/>
        </w:sectPr>
      </w:pPr>
    </w:p>
    <w:bookmarkStart w:id="65" w:name="page66"/>
    <w:bookmarkEnd w:id="65"/>
    <w:p>
      <w:pPr>
        <w:ind w:right="100" w:firstLine="1860"/>
        <w:spacing w:after="0" w:line="225" w:lineRule="auto"/>
        <w:tabs>
          <w:tab w:leader="none" w:pos="247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Date” means the date on which the Executive’s employment is terminated (the effective date of which will be the date of termination, or such other date that may be specified by the Executive if the termination is pursuant to Section 3(b)).</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Stock” means securities entitled to vote generally in the election of directors.</w:t>
      </w:r>
    </w:p>
    <w:p>
      <w:pPr>
        <w:spacing w:after="0" w:line="171" w:lineRule="exact"/>
        <w:rPr>
          <w:sz w:val="20"/>
          <w:szCs w:val="20"/>
          <w:color w:val="auto"/>
        </w:rPr>
      </w:pPr>
    </w:p>
    <w:p>
      <w:pPr>
        <w:ind w:right="180" w:firstLine="1860"/>
        <w:spacing w:after="0" w:line="225" w:lineRule="auto"/>
        <w:tabs>
          <w:tab w:leader="none" w:pos="247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“Welfare Benefits” means Employee Benefits that are provided under any “welfare plan” (within the meaning of Section 3(1) of ERISA) of the Company, and fringe benefits and other perquisites of employment, such as car allowances, club dues, financial planning and product discounts.</w:t>
      </w:r>
    </w:p>
    <w:p>
      <w:pPr>
        <w:spacing w:after="0" w:line="145" w:lineRule="exact"/>
        <w:rPr>
          <w:rFonts w:ascii="Times New Roman" w:cs="Times New Roman" w:eastAsia="Times New Roman" w:hAnsi="Times New Roman"/>
          <w:sz w:val="21"/>
          <w:szCs w:val="21"/>
          <w:color w:val="auto"/>
        </w:rPr>
      </w:pPr>
    </w:p>
    <w:p>
      <w:pPr>
        <w:ind w:left="1860" w:right="20" w:hanging="619"/>
        <w:spacing w:after="0" w:line="208" w:lineRule="auto"/>
        <w:tabs>
          <w:tab w:leader="none" w:pos="18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 of Agreement</w:t>
      </w:r>
      <w:r>
        <w:rPr>
          <w:rFonts w:ascii="Times New Roman" w:cs="Times New Roman" w:eastAsia="Times New Roman" w:hAnsi="Times New Roman"/>
          <w:sz w:val="21"/>
          <w:szCs w:val="21"/>
          <w:color w:val="auto"/>
        </w:rPr>
        <w:t xml:space="preserve">. This Agreement will be effective and binding immediately upon its execution, but, anything in this Agreement to the contrary notwithstanding, this Agreement will not be operative unless and until a Change in Control occurs. Upon the occurrence of a Change in Control, without further action, this Agreement will become immediately operative until the end of the Severance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prior to a Change in Control, the Executive ceases for any reason to be a full-time employee of the Company, thereupon without further action this Agreement will immediately terminate and be of no further effect.</w:t>
      </w:r>
    </w:p>
    <w:p>
      <w:pPr>
        <w:spacing w:after="0" w:line="3" w:lineRule="exact"/>
        <w:rPr>
          <w:rFonts w:ascii="Times New Roman" w:cs="Times New Roman" w:eastAsia="Times New Roman" w:hAnsi="Times New Roman"/>
          <w:sz w:val="21"/>
          <w:szCs w:val="21"/>
          <w:color w:val="auto"/>
        </w:rPr>
      </w:pPr>
    </w:p>
    <w:p>
      <w:pPr>
        <w:ind w:left="1860" w:right="40" w:hanging="619"/>
        <w:spacing w:after="0" w:line="205" w:lineRule="auto"/>
        <w:tabs>
          <w:tab w:leader="none" w:pos="18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Following a Change in Control</w:t>
      </w:r>
      <w:r>
        <w:rPr>
          <w:rFonts w:ascii="Times New Roman" w:cs="Times New Roman" w:eastAsia="Times New Roman" w:hAnsi="Times New Roman"/>
          <w:sz w:val="21"/>
          <w:szCs w:val="21"/>
          <w:color w:val="auto"/>
        </w:rPr>
        <w:t>. (a) In the event of the occurrence of a Change in Control, the Executive’s employment may be terminated by the Company during the Severance Period and the Executive will be entitled to the benefits provided by Section 4 unless such termination is the result of the occurrence of one or more of the following events:</w:t>
      </w:r>
    </w:p>
    <w:p>
      <w:pPr>
        <w:ind w:left="2460" w:hanging="600"/>
        <w:spacing w:after="0"/>
        <w:tabs>
          <w:tab w:leader="none" w:pos="246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death;</w:t>
      </w:r>
    </w:p>
    <w:p>
      <w:pPr>
        <w:spacing w:after="0" w:line="149" w:lineRule="exact"/>
        <w:rPr>
          <w:sz w:val="20"/>
          <w:szCs w:val="20"/>
          <w:color w:val="auto"/>
        </w:rPr>
      </w:pPr>
    </w:p>
    <w:p>
      <w:pPr>
        <w:ind w:right="440" w:firstLine="1860"/>
        <w:spacing w:after="0" w:line="225" w:lineRule="auto"/>
        <w:tabs>
          <w:tab w:leader="none" w:pos="246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becomes permanently disabled within the meaning of, and begins actually to receive disability benefits pursuant to, the long-term disability plan in effect for, or applicable to, the Executive immediately prior to the Change in Control; or</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during the Severance Period, the Executive’s employment is terminated by the Company other than pursuant to Section 3(a)(i), 3(a)</w:t>
      </w:r>
    </w:p>
    <w:p>
      <w:pPr>
        <w:spacing w:after="0" w:line="37" w:lineRule="exact"/>
        <w:rPr>
          <w:sz w:val="20"/>
          <w:szCs w:val="20"/>
          <w:color w:val="auto"/>
        </w:rPr>
      </w:pPr>
    </w:p>
    <w:p>
      <w:pPr>
        <w:ind w:right="760" w:firstLine="3"/>
        <w:spacing w:after="0" w:line="247" w:lineRule="auto"/>
        <w:tabs>
          <w:tab w:leader="none" w:pos="30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3(a)(iii), the Executive will be entitled to the benefits provided by Section 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termination constitutes a “separation from service” as defined in Section 409A.</w:t>
      </w:r>
    </w:p>
    <w:p>
      <w:pPr>
        <w:spacing w:after="0" w:line="164" w:lineRule="exact"/>
        <w:rPr>
          <w:rFonts w:ascii="Times New Roman" w:cs="Times New Roman" w:eastAsia="Times New Roman" w:hAnsi="Times New Roman"/>
          <w:sz w:val="21"/>
          <w:szCs w:val="21"/>
          <w:color w:val="auto"/>
        </w:rPr>
      </w:pPr>
    </w:p>
    <w:p>
      <w:pPr>
        <w:jc w:val="both"/>
        <w:ind w:right="100" w:firstLine="1860"/>
        <w:spacing w:after="0" w:line="225" w:lineRule="auto"/>
        <w:tabs>
          <w:tab w:leader="none" w:pos="247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occurrence of a Change in Control, the Executive may terminate employment with the Company for Good Reason, with the right to severance compensation as provided in Section 4, regardless of whether any other reason, other than Cause, for such termination exists or has occurred, including without limitation other employment.</w:t>
      </w:r>
    </w:p>
    <w:p>
      <w:pPr>
        <w:spacing w:after="0" w:line="145" w:lineRule="exact"/>
        <w:rPr>
          <w:rFonts w:ascii="Times New Roman" w:cs="Times New Roman" w:eastAsia="Times New Roman" w:hAnsi="Times New Roman"/>
          <w:sz w:val="21"/>
          <w:szCs w:val="21"/>
          <w:color w:val="auto"/>
        </w:rPr>
      </w:pPr>
    </w:p>
    <w:p>
      <w:pPr>
        <w:ind w:firstLine="1860"/>
        <w:spacing w:after="0" w:line="225" w:lineRule="auto"/>
        <w:tabs>
          <w:tab w:leader="none" w:pos="2471"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will (i) be construed as creating an express or implied contract of employment, changing the status of Executive as an employee at will, giving Executive any right to be retained in the employ of the Company, or giving Executive the right to any particular level of compensation 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39" w:right="339" w:bottom="1440" w:gutter="0" w:footer="0" w:header="0"/>
        </w:sectPr>
      </w:pPr>
    </w:p>
    <w:bookmarkStart w:id="66" w:name="page67"/>
    <w:bookmarkEnd w:id="66"/>
    <w:p>
      <w:pPr>
        <w:ind w:right="360"/>
        <w:spacing w:after="0" w:line="235" w:lineRule="auto"/>
        <w:rPr>
          <w:sz w:val="20"/>
          <w:szCs w:val="20"/>
          <w:color w:val="auto"/>
        </w:rPr>
      </w:pPr>
      <w:r>
        <w:rPr>
          <w:rFonts w:ascii="Times New Roman" w:cs="Times New Roman" w:eastAsia="Times New Roman" w:hAnsi="Times New Roman"/>
          <w:sz w:val="21"/>
          <w:szCs w:val="21"/>
          <w:color w:val="auto"/>
        </w:rPr>
        <w:t>benefits or (ii) interfere in any way with the right of the Company to terminate the employment of the Executive at any time with or without Cause, subject in either case to the obligations of the Company under this Agreement.</w:t>
      </w:r>
    </w:p>
    <w:p>
      <w:pPr>
        <w:spacing w:after="0" w:line="146" w:lineRule="exact"/>
        <w:rPr>
          <w:sz w:val="20"/>
          <w:szCs w:val="20"/>
          <w:color w:val="auto"/>
        </w:rPr>
      </w:pPr>
    </w:p>
    <w:p>
      <w:pPr>
        <w:ind w:left="1860" w:right="180" w:hanging="619"/>
        <w:spacing w:after="0" w:line="208" w:lineRule="auto"/>
        <w:tabs>
          <w:tab w:leader="none" w:pos="18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Compensation</w:t>
      </w:r>
      <w:r>
        <w:rPr>
          <w:rFonts w:ascii="Times New Roman" w:cs="Times New Roman" w:eastAsia="Times New Roman" w:hAnsi="Times New Roman"/>
          <w:sz w:val="21"/>
          <w:szCs w:val="21"/>
          <w:color w:val="auto"/>
        </w:rPr>
        <w:t xml:space="preserve">. (a) If, following the occurrence of a Change in Control, the Company terminates the Executive’s employment during the Severance Period other than pursuant to Section 3(a)(i), 3(a)(ii) or 3(a)(iii), or if the Executive terminates Executive’s employment pursuant to Section 3(b) (any such termination, a “Triggering Termination”), then,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Triggering Termination constitutes a “separation from service” as defined in Section 409A, the Company will pay to the Executive the amounts described in Annex A within fifteen business days after the Termination Date (subject to the provisions of subsection (d) of this Section).</w:t>
      </w:r>
    </w:p>
    <w:p>
      <w:pPr>
        <w:ind w:firstLine="1860"/>
        <w:spacing w:after="0" w:line="211" w:lineRule="auto"/>
        <w:tabs>
          <w:tab w:leader="none" w:pos="247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rights of the Executive at law or in equity, if the Company fails to make any payment or provide any benefit required to be made or provided hereunder on a timely basis, the Company will pay interest on the amount or value thereof at an annualized rate of interest equal to the “prime rate” as set forth from time to time during the relevant period in The Wall Street Journal “Money Rates” column, plus 200 basis points, compounded monthly, or, if less, the maximum rate legally allowed. Such interest will be payable as it accrues on demand. Any change in such prime rate will be effective on and as of the date of such change.</w:t>
      </w:r>
    </w:p>
    <w:p>
      <w:pPr>
        <w:spacing w:after="0" w:line="148" w:lineRule="exact"/>
        <w:rPr>
          <w:rFonts w:ascii="Times New Roman" w:cs="Times New Roman" w:eastAsia="Times New Roman" w:hAnsi="Times New Roman"/>
          <w:sz w:val="21"/>
          <w:szCs w:val="21"/>
          <w:color w:val="auto"/>
        </w:rPr>
      </w:pPr>
    </w:p>
    <w:p>
      <w:pPr>
        <w:ind w:right="40" w:firstLine="1860"/>
        <w:spacing w:after="0" w:line="210" w:lineRule="auto"/>
        <w:tabs>
          <w:tab w:leader="none" w:pos="2471"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expressly provided by the applicable plan, program or agreement, after the occurrence of a Change in Control, the Company will pay in cash to the Executive a lump sum amount equal to the sum of (i) any unpaid Incentive Pay that has been earned, accrued, allocated or awarded to the Executive for any performance period that by its terms as in effect prior to a Triggering Termination has been completed (any such period, a “Completed Performance Period”) (regardless of whether payment of such compensation would otherwise be contingent on the continuing performance of services by the Executive) and (ii) the Pro Rata Portion of the Incentive Pay Target in effect for any subsequent performance period. For this purpose, “Pro Rata Portion” means (x) the number of days from and including the first day immediately following the last day of the immediately preceding Completed Performance Period to and including the Termination Date, divided by (y) the total number of days in such subsequent performance period. Such payments will be made at the earlier of (x) the date prescribed for payment pursuant to the applicable plan, program or agreement and (y) within five business days after the Termination Date, and will be payable and calculated disregarding any otherwise applicable vesting requirements.</w:t>
      </w:r>
    </w:p>
    <w:p>
      <w:pPr>
        <w:spacing w:after="0" w:line="150" w:lineRule="exact"/>
        <w:rPr>
          <w:rFonts w:ascii="Times New Roman" w:cs="Times New Roman" w:eastAsia="Times New Roman" w:hAnsi="Times New Roman"/>
          <w:sz w:val="21"/>
          <w:szCs w:val="21"/>
          <w:color w:val="auto"/>
        </w:rPr>
      </w:pPr>
    </w:p>
    <w:p>
      <w:pPr>
        <w:ind w:right="60" w:firstLine="1860"/>
        <w:spacing w:after="0" w:line="213" w:lineRule="auto"/>
        <w:tabs>
          <w:tab w:leader="none" w:pos="247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in order to avoid accelerated taxation and/or tax penalties under Section 409A,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upon the Executive’s death, if earlier). In addition, for purposes of this Agreement, each amount to be paid or benefit to be provided shall be construed as a separate identified payment for purposes of Section 409A, and any payments described in Annex A that are due within the “short-term deferral period” as defined in Section 409A shall not be treated as deferred compensation unless applicable law requires otherwise.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39" w:right="339" w:bottom="1440" w:gutter="0" w:footer="0" w:header="0"/>
        </w:sectPr>
      </w:pPr>
    </w:p>
    <w:bookmarkStart w:id="67" w:name="page68"/>
    <w:bookmarkEnd w:id="67"/>
    <w:p>
      <w:pPr>
        <w:ind w:left="740" w:right="40" w:hanging="619"/>
        <w:spacing w:after="0" w:line="207"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Payments and Benefits</w:t>
      </w:r>
      <w:r>
        <w:rPr>
          <w:rFonts w:ascii="Times New Roman" w:cs="Times New Roman" w:eastAsia="Times New Roman" w:hAnsi="Times New Roman"/>
          <w:sz w:val="21"/>
          <w:szCs w:val="21"/>
          <w:color w:val="auto"/>
        </w:rPr>
        <w:t xml:space="preserve">. Notwithstanding any provision of this Agreement or any Other Agreement to the contrary (including without limitation any lesser protection of Executive under any equity-based award agreement), if any amount or benefit to be paid or provided under this Agreement or any Other Agreement would be an Excess Parachute Payment (including after taking into account the value, to the maximum extent permitted by Section 280G of the Code, of the covenants in Section 9 hereof), but for the application of this sentence, then the payments and benefits to be paid or provided under this Agreement and any Other Agreement will be reduced to the minimum extent necessary (but in no event to less than zero) so that no portion of any such payment or benefit, as so reduced, constitutes an Excess Parachute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reduction will not be made if such reduction would result in Executive receiving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After-Tax Amount that is less than 90% of the After-Tax Amount of the payments and benefits that he or she would have received under Section 4 or under any Other Agreement without regard to this clause. Whether requested by the Executive or the Company, the determination of whether any reduction in such payments or benefits to be provided under this Agreement or otherwise is required pursuant to the preceding sentence, and the value to be assigned to the Executive’s covenants in Section 9 hereof for purposes of determining the amount, if any, of the Excess Parachute Payment will be made at the expense of the Company by the Company’s independent accountants or benefits consultant. The fact that the Executive’s right to payments or benefits may be reduced by reason of the limitations contained in this Section 5 will not of itself limit or otherwise affect any other rights of the Executive pursuant to this Agreement or any Other Agreement. In the event that any payment or benefit intended to be provided is required to be reduced pursuant to this Section 5, then the Company shall in good faith determine the appropriate treatment of payments or benefits, consistent with the requirements of Section 409A that produces the most advantageous economic outcome for the Executive, and its determination shall be final and binding on the Executive. The Company will provide the Executive with all information reasonably required or requested by the Executive to demonstrate to the Executive that it has complied with the immediately preceding sentence.</w:t>
      </w:r>
    </w:p>
    <w:p>
      <w:pPr>
        <w:spacing w:after="0" w:line="183" w:lineRule="exact"/>
        <w:rPr>
          <w:rFonts w:ascii="Times New Roman" w:cs="Times New Roman" w:eastAsia="Times New Roman" w:hAnsi="Times New Roman"/>
          <w:sz w:val="21"/>
          <w:szCs w:val="21"/>
          <w:color w:val="auto"/>
        </w:rPr>
      </w:pPr>
    </w:p>
    <w:p>
      <w:pPr>
        <w:ind w:left="740" w:hanging="619"/>
        <w:spacing w:after="0" w:line="213"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 Protections; Defend Trade Secrets Act.</w:t>
      </w:r>
      <w:r>
        <w:rPr>
          <w:rFonts w:ascii="Times New Roman" w:cs="Times New Roman" w:eastAsia="Times New Roman" w:hAnsi="Times New Roman"/>
          <w:sz w:val="21"/>
          <w:szCs w:val="21"/>
          <w:color w:val="auto"/>
        </w:rPr>
        <w:t xml:space="preserve"> (a) Nothing in this Agreement or otherwise limits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regarding possible legal violations, without disclosure to the Company. The Company may not retaliate against Executive for any of these activities, and nothing in this Agreement requires Executive to waive any monetary award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339" w:right="339" w:bottom="1440" w:gutter="0" w:footer="0" w:header="0"/>
        </w:sectPr>
      </w:pPr>
    </w:p>
    <w:bookmarkStart w:id="68" w:name="page69"/>
    <w:bookmarkEnd w:id="68"/>
    <w:p>
      <w:pPr>
        <w:ind w:left="1857"/>
        <w:spacing w:after="0"/>
        <w:rPr>
          <w:sz w:val="20"/>
          <w:szCs w:val="20"/>
          <w:color w:val="auto"/>
        </w:rPr>
      </w:pPr>
      <w:r>
        <w:rPr>
          <w:rFonts w:ascii="Times New Roman" w:cs="Times New Roman" w:eastAsia="Times New Roman" w:hAnsi="Times New Roman"/>
          <w:sz w:val="21"/>
          <w:szCs w:val="21"/>
          <w:color w:val="auto"/>
        </w:rPr>
        <w:t>or other relief that Executive might become entitled to from the SEC or any other Government Agency.</w:t>
      </w:r>
    </w:p>
    <w:p>
      <w:pPr>
        <w:spacing w:after="0" w:line="171" w:lineRule="exact"/>
        <w:rPr>
          <w:sz w:val="20"/>
          <w:szCs w:val="20"/>
          <w:color w:val="auto"/>
        </w:rPr>
      </w:pPr>
    </w:p>
    <w:p>
      <w:pPr>
        <w:ind w:left="-3" w:right="60" w:firstLine="1860"/>
        <w:spacing w:after="0" w:line="226" w:lineRule="auto"/>
        <w:tabs>
          <w:tab w:leader="none" w:pos="2469"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Defend Trade Secrets Act of 2016, Executive and the Company acknowledge and agree that Executive shall not have criminal or civil liability under any federal or state trade secret law for the disclosure of a trade secret that</w:t>
      </w:r>
    </w:p>
    <w:p>
      <w:pPr>
        <w:spacing w:after="0" w:line="1" w:lineRule="exact"/>
        <w:rPr>
          <w:rFonts w:ascii="Times New Roman" w:cs="Times New Roman" w:eastAsia="Times New Roman" w:hAnsi="Times New Roman"/>
          <w:sz w:val="20"/>
          <w:szCs w:val="20"/>
          <w:color w:val="auto"/>
        </w:rPr>
      </w:pPr>
    </w:p>
    <w:p>
      <w:pPr>
        <w:ind w:left="-3" w:right="40" w:firstLine="3"/>
        <w:spacing w:after="0" w:line="211" w:lineRule="auto"/>
        <w:tabs>
          <w:tab w:leader="none" w:pos="24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48" w:lineRule="exact"/>
        <w:rPr>
          <w:rFonts w:ascii="Times New Roman" w:cs="Times New Roman" w:eastAsia="Times New Roman" w:hAnsi="Times New Roman"/>
          <w:sz w:val="21"/>
          <w:szCs w:val="21"/>
          <w:color w:val="auto"/>
        </w:rPr>
      </w:pPr>
    </w:p>
    <w:p>
      <w:pPr>
        <w:ind w:left="1857" w:hanging="619"/>
        <w:spacing w:after="0" w:line="207" w:lineRule="auto"/>
        <w:tabs>
          <w:tab w:leader="none" w:pos="1857"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 Obligation; Other Agreements</w:t>
      </w:r>
      <w:r>
        <w:rPr>
          <w:rFonts w:ascii="Times New Roman" w:cs="Times New Roman" w:eastAsia="Times New Roman" w:hAnsi="Times New Roman"/>
          <w:sz w:val="21"/>
          <w:szCs w:val="21"/>
          <w:color w:val="auto"/>
        </w:rPr>
        <w:t>. (a) The Company hereby acknowledges that it will be difficult and may be impossible for the Executive to find reasonably comparable employment following the Termination Date. Accordingly, the payment of the severance compensation by the Company to the Executive in accordance with the terms of this Agreement is hereby acknowledged by the Company to be reasonable, and the Executive will not be required to mitigate the amount of any payment provided for in this Agreement by seeking other employment or otherwise, nor will any profits, income, earnings or other benefits from any source whatsoever create any mitigation, offset, reduction or any other obligation on the part of the Executive hereunder or otherwise.</w:t>
      </w:r>
    </w:p>
    <w:p>
      <w:pPr>
        <w:spacing w:after="0" w:line="5" w:lineRule="exact"/>
        <w:rPr>
          <w:rFonts w:ascii="Times New Roman" w:cs="Times New Roman" w:eastAsia="Times New Roman" w:hAnsi="Times New Roman"/>
          <w:sz w:val="21"/>
          <w:szCs w:val="21"/>
          <w:color w:val="auto"/>
        </w:rPr>
      </w:pPr>
    </w:p>
    <w:p>
      <w:pPr>
        <w:ind w:left="-3" w:right="20" w:firstLine="1860"/>
        <w:spacing w:after="0" w:line="209" w:lineRule="auto"/>
        <w:tabs>
          <w:tab w:leader="none" w:pos="2469"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pursuant to Section 3 will not affect any rights that the Executive may have pursuant to any agreement, policy, plan, program or arrangement of the Company or Subsidiary providing Employee Benefits, which rights will be governed by the terms thereof. To the extent that the Executive receives payments by reason of his or her termination of employment pursuant to any other employment or severance agreement or employee plan (collectively, “Other Employment Agreements”), the amounts otherwise receivable under Section 4 will be reduced by the amounts actually paid pursuant to the Other Employment Agreements, but not below zero, to avoid duplication of payments so that the total amount payable or value of benefits receivable hereunder and under the Other Employment Agreements is not less than the amounts so payable or value so receivable had such benefits been paid in full hereunder. In the event that this Agreement conflicts with the terms of any equity award agreement, this Agreement shall govern unless otherwise expressly stated in such equity award agreement.</w:t>
      </w:r>
    </w:p>
    <w:p>
      <w:pPr>
        <w:spacing w:after="0" w:line="148" w:lineRule="exact"/>
        <w:rPr>
          <w:rFonts w:ascii="Times New Roman" w:cs="Times New Roman" w:eastAsia="Times New Roman" w:hAnsi="Times New Roman"/>
          <w:sz w:val="21"/>
          <w:szCs w:val="21"/>
          <w:color w:val="auto"/>
        </w:rPr>
      </w:pPr>
    </w:p>
    <w:p>
      <w:pPr>
        <w:ind w:left="1857" w:right="180" w:hanging="619"/>
        <w:spacing w:after="0" w:line="225" w:lineRule="auto"/>
        <w:tabs>
          <w:tab w:leader="none" w:pos="18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Expenses</w:t>
      </w:r>
      <w:r>
        <w:rPr>
          <w:rFonts w:ascii="Times New Roman" w:cs="Times New Roman" w:eastAsia="Times New Roman" w:hAnsi="Times New Roman"/>
          <w:sz w:val="20"/>
          <w:szCs w:val="20"/>
          <w:color w:val="auto"/>
        </w:rPr>
        <w:t>. It is the intent of the Company that the Executive not be required to incur legal fees and the related expenses associated with the interpretation, enforcement or defense of Executive’s rights in connection with any dispute arising under this Agreement because the cost and expense thereof would substantially detract from the benefits intended to be extended to the Executive hereunder. Accordingly, if it should appear to the Executive that the Company has failed to comply with any of its obligations under this Agreement or in the event that the Company or any other person takes or threatens to take any action to declare</w:t>
      </w:r>
    </w:p>
    <w:p>
      <w:pPr>
        <w:spacing w:after="0" w:line="200" w:lineRule="exact"/>
        <w:rPr>
          <w:sz w:val="20"/>
          <w:szCs w:val="20"/>
          <w:color w:val="auto"/>
        </w:rPr>
      </w:pPr>
    </w:p>
    <w:p>
      <w:pPr>
        <w:spacing w:after="0" w:line="38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17"/>
          </w:cols>
          <w:pgMar w:left="323" w:top="1339" w:right="359" w:bottom="1440" w:gutter="0" w:footer="0" w:header="0"/>
        </w:sectPr>
      </w:pPr>
    </w:p>
    <w:bookmarkStart w:id="69" w:name="page70"/>
    <w:bookmarkEnd w:id="69"/>
    <w:p>
      <w:pPr>
        <w:ind w:left="1860" w:right="20"/>
        <w:spacing w:after="0" w:line="216" w:lineRule="auto"/>
        <w:rPr>
          <w:sz w:val="20"/>
          <w:szCs w:val="20"/>
          <w:color w:val="auto"/>
        </w:rPr>
      </w:pPr>
      <w:r>
        <w:rPr>
          <w:rFonts w:ascii="Times New Roman" w:cs="Times New Roman" w:eastAsia="Times New Roman" w:hAnsi="Times New Roman"/>
          <w:sz w:val="20"/>
          <w:szCs w:val="20"/>
          <w:color w:val="auto"/>
        </w:rPr>
        <w:t xml:space="preserve">this Agreement void or unenforceable, or institutes any proceeding designed to deny, or to recover from, the Executive the benefits provided or intended to be provided to the Executive hereunder, the Company irrevocably authorizes the Executive from time to time to retain counsel of Executive’s choice, at the expense of the Company as hereafter provided, to advise and represent the Executive in connection with any such dispute or proceeding. Without respect to whether the Executive prevails, in whole or in part, in connection with any of the foregoing, the Company will pay and be solely financially responsible for any and all reasonable attorneys’ and related fees and expenses incurred by the Executive in connection with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regard to such matters, the Executive has not acted in bad faith or with no colorable claim of success. The Executive shall promptly submit a written request for reimbursement of such expenses, but in no event later than ninety days following the date on which such expenses were incurred, accompanied by such evidence of fees and expenses incurred as the Company may reasonably require, and such reimbursements will be made within thirty business days after delivery of the Executive’s written requests for payment. For the avoidance of doubt, (i) the amount of expenses eligible for reimbursement provided to the Executive during any calendar year will not affect the amount of expenses eligible for reimbursement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may not be liquidated or exchanged for any other benefit.</w:t>
      </w:r>
    </w:p>
    <w:p>
      <w:pPr>
        <w:spacing w:after="0" w:line="10" w:lineRule="exact"/>
        <w:rPr>
          <w:sz w:val="20"/>
          <w:szCs w:val="20"/>
          <w:color w:val="auto"/>
        </w:rPr>
      </w:pPr>
    </w:p>
    <w:p>
      <w:pPr>
        <w:ind w:left="1860" w:hanging="619"/>
        <w:spacing w:after="0" w:line="205" w:lineRule="auto"/>
        <w:tabs>
          <w:tab w:leader="none" w:pos="18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Competitive Activity; Confidentiality; Nonsolicitation</w:t>
      </w:r>
      <w:r>
        <w:rPr>
          <w:rFonts w:ascii="Times New Roman" w:cs="Times New Roman" w:eastAsia="Times New Roman" w:hAnsi="Times New Roman"/>
          <w:sz w:val="21"/>
          <w:szCs w:val="21"/>
          <w:color w:val="auto"/>
        </w:rPr>
        <w:t>. (a) For the period following the Termination Date specified in Paragraph (4) of Annex A (the “Non-Competition Period”), subject to the Executive’s receipt of benefits under Section 4, the Executive will not, without the prior written consent of the Company, which consent will not be unreasonably withheld, engage in any Competitive Activity.</w:t>
      </w:r>
    </w:p>
    <w:p>
      <w:pPr>
        <w:ind w:right="40" w:firstLine="1860"/>
        <w:spacing w:after="0" w:line="208" w:lineRule="auto"/>
        <w:tabs>
          <w:tab w:leader="none" w:pos="247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it will disclose to Executive its confidential or proprietary information (as defined in this Section (b)) to the extent necessary for Executive to carry out Executive’s obligations to the Company. The Executive hereby covenants and agrees that, subject to Section 6(a), Executive will not, without the prior written consent of the Company, during the term of his employment with the Company and two years after the Termination Date disclose to any person not employed by the Company, or use in connection with engaging in competition with the Company, any confidential or proprietary information of the Company. For purposes of this Agreement, the term “confidential or proprietary information” will include all information of any nature and in any form that is owned by the Company and that is not publicly available (other than by Executive’s breach of this Section 9(b)) or generally known to persons engaged in businesses similar or related to those of the Company. Confidential or proprietary information will include, without limitation, the Company’s financial matters, customers, employees, industry contracts, strategic business plans, product development (or other proprietary product data), marketing plans, and all other secrets and all other information of a confidential or proprietary nature. For purposes of the preceding two sentences, the term “Company” will also include any Subsidiary (collectively, the “Restricted Group”). The obligations imposed by this Section 9(b) will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39" w:right="339" w:bottom="1440" w:gutter="0" w:footer="0" w:header="0"/>
        </w:sectPr>
      </w:pPr>
    </w:p>
    <w:bookmarkStart w:id="70" w:name="page71"/>
    <w:bookmarkEnd w:id="70"/>
    <w:p>
      <w:pPr>
        <w:ind w:right="200"/>
        <w:spacing w:after="0" w:line="225" w:lineRule="auto"/>
        <w:rPr>
          <w:sz w:val="20"/>
          <w:szCs w:val="20"/>
          <w:color w:val="auto"/>
        </w:rPr>
      </w:pPr>
      <w:r>
        <w:rPr>
          <w:rFonts w:ascii="Times New Roman" w:cs="Times New Roman" w:eastAsia="Times New Roman" w:hAnsi="Times New Roman"/>
          <w:sz w:val="21"/>
          <w:szCs w:val="21"/>
          <w:color w:val="auto"/>
        </w:rPr>
        <w:t>be subject to Section 6(a) and will not apply (i) during the term of his employment with the Company, in the course of the business of and for the benefit of the Company and (ii) if such confidential or proprietary information has become, through no fault of the Executive, generally known to the public.</w:t>
      </w:r>
    </w:p>
    <w:p>
      <w:pPr>
        <w:spacing w:after="0" w:line="146" w:lineRule="exact"/>
        <w:rPr>
          <w:sz w:val="20"/>
          <w:szCs w:val="20"/>
          <w:color w:val="auto"/>
        </w:rPr>
      </w:pPr>
    </w:p>
    <w:p>
      <w:pPr>
        <w:ind w:right="40" w:firstLine="1860"/>
        <w:spacing w:after="0" w:line="217" w:lineRule="auto"/>
        <w:tabs>
          <w:tab w:leader="none" w:pos="247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hereby covenants and agrees that, for a period ending one year after the Termination Date, Executive will not, without the prior written consent of the Company, which consent will not unreasonably be withheld as to Executive’s personal assistant, on behalf of Executive or on behalf of any person, firm or company, directly or indirectly, attempt to influence, persuade or induce, or assist any other person in so persuading or inducing, any employee of the Restricted Group to give up, or to not commence, employment or a business relationship with the Restricted Group.</w:t>
      </w:r>
    </w:p>
    <w:p>
      <w:pPr>
        <w:spacing w:after="0" w:line="145" w:lineRule="exact"/>
        <w:rPr>
          <w:rFonts w:ascii="Times New Roman" w:cs="Times New Roman" w:eastAsia="Times New Roman" w:hAnsi="Times New Roman"/>
          <w:sz w:val="21"/>
          <w:szCs w:val="21"/>
          <w:color w:val="auto"/>
        </w:rPr>
      </w:pPr>
    </w:p>
    <w:p>
      <w:pPr>
        <w:ind w:firstLine="1860"/>
        <w:spacing w:after="0" w:line="212" w:lineRule="auto"/>
        <w:tabs>
          <w:tab w:leader="none" w:pos="2472"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agree that the covenants contained in this Section 9 are reasonable under the circumstances and subject to the provisions of Section 15 of this Agreement. Executive acknowledges and agrees that the remedy at law available to the Company for breach of any of Executive’s obligations under this Section 9 would be inadequate and that damages flowing from such a breach may not readily be susceptible to being measured in monetary terms. Accordingly, Executive acknowledges, consents and agrees that, in addition to any other rights or remedies that the Company may have at law, in equity or under this Agreement, upon adequate proof of Executive’s violation of any such provision of this Agreement, the Company will be entitled to immediate injunctive relief and may obtain a temporary order restraining any threatened or further breach, without the necessity of proof of actual damage.</w:t>
      </w:r>
    </w:p>
    <w:p>
      <w:pPr>
        <w:spacing w:after="0" w:line="149" w:lineRule="exact"/>
        <w:rPr>
          <w:rFonts w:ascii="Times New Roman" w:cs="Times New Roman" w:eastAsia="Times New Roman" w:hAnsi="Times New Roman"/>
          <w:sz w:val="21"/>
          <w:szCs w:val="21"/>
          <w:color w:val="auto"/>
        </w:rPr>
      </w:pPr>
    </w:p>
    <w:p>
      <w:pPr>
        <w:ind w:left="1860" w:right="140" w:hanging="619"/>
        <w:spacing w:after="0" w:line="212" w:lineRule="auto"/>
        <w:tabs>
          <w:tab w:leader="none" w:pos="1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Rights</w:t>
      </w:r>
      <w:r>
        <w:rPr>
          <w:rFonts w:ascii="Times New Roman" w:cs="Times New Roman" w:eastAsia="Times New Roman" w:hAnsi="Times New Roman"/>
          <w:sz w:val="21"/>
          <w:szCs w:val="21"/>
          <w:color w:val="auto"/>
        </w:rPr>
        <w:t>. Nothing expressed or implied in this Agreement will create any right or duty on the part of the Company or the Executive to have the Executive remain in the employment of the Company or any Subsidiary prior to or following any Change in Control.</w:t>
      </w:r>
    </w:p>
    <w:p>
      <w:pPr>
        <w:ind w:left="1860" w:right="120" w:hanging="619"/>
        <w:spacing w:after="0" w:line="205" w:lineRule="auto"/>
        <w:tabs>
          <w:tab w:leader="none" w:pos="185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Company may withhold from any amounts payable under this Agreement all federal, state, city or other taxes as the Company is required to withhold pursuant to any applicable law, regulation or ruling.</w:t>
      </w:r>
    </w:p>
    <w:p>
      <w:pPr>
        <w:ind w:left="1860" w:right="20" w:hanging="619"/>
        <w:spacing w:after="0" w:line="208" w:lineRule="auto"/>
        <w:tabs>
          <w:tab w:leader="none" w:pos="1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Binding Agreement</w:t>
      </w:r>
      <w:r>
        <w:rPr>
          <w:rFonts w:ascii="Times New Roman" w:cs="Times New Roman" w:eastAsia="Times New Roman" w:hAnsi="Times New Roman"/>
          <w:sz w:val="21"/>
          <w:szCs w:val="21"/>
          <w:color w:val="auto"/>
        </w:rPr>
        <w:t>. (a) The Company will require any successor (whether direct or indirect, by purchase, merger, consolidation, reorganization or otherwise) to all or substantially all of the business or assets of the Company, by agreement in form and substance reasonably satisfactory to the Executive (to the extent not assumed by operation of law),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39" w:right="339" w:bottom="1440" w:gutter="0" w:footer="0" w:header="0"/>
        </w:sectPr>
      </w:pPr>
    </w:p>
    <w:bookmarkStart w:id="71" w:name="page72"/>
    <w:bookmarkEnd w:id="71"/>
    <w:p>
      <w:pPr>
        <w:ind w:left="-20" w:right="600" w:firstLine="1860"/>
        <w:spacing w:after="0" w:line="235" w:lineRule="auto"/>
        <w:tabs>
          <w:tab w:leader="none" w:pos="245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will inure to the benefit of and be enforceable by the Executive’s personal or legal representatives, executors, administrators, successors, heirs, distributees and legatees.</w:t>
      </w:r>
    </w:p>
    <w:p>
      <w:pPr>
        <w:spacing w:after="0" w:line="145" w:lineRule="exact"/>
        <w:rPr>
          <w:rFonts w:ascii="Times New Roman" w:cs="Times New Roman" w:eastAsia="Times New Roman" w:hAnsi="Times New Roman"/>
          <w:sz w:val="21"/>
          <w:szCs w:val="21"/>
          <w:color w:val="auto"/>
        </w:rPr>
      </w:pPr>
    </w:p>
    <w:p>
      <w:pPr>
        <w:ind w:left="-20" w:right="140" w:firstLine="1860"/>
        <w:spacing w:after="0" w:line="215" w:lineRule="auto"/>
        <w:tabs>
          <w:tab w:leader="none" w:pos="245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in nature and neither of the parties hereto will, without the consent of the other, assign, transfer or delegate this Agreement or any rights or obligations hereunder except as expressly provided in Sections 12(a) and 12(b).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12(c), the Company will have no liability to pay any amount so attempted to be assigned, transferred or delegated.</w:t>
      </w:r>
    </w:p>
    <w:p>
      <w:pPr>
        <w:spacing w:after="0" w:line="145" w:lineRule="exact"/>
        <w:rPr>
          <w:rFonts w:ascii="Times New Roman" w:cs="Times New Roman" w:eastAsia="Times New Roman" w:hAnsi="Times New Roman"/>
          <w:sz w:val="21"/>
          <w:szCs w:val="21"/>
          <w:color w:val="auto"/>
        </w:rPr>
      </w:pPr>
    </w:p>
    <w:p>
      <w:pPr>
        <w:ind w:left="1840" w:hanging="619"/>
        <w:spacing w:after="0" w:line="207" w:lineRule="auto"/>
        <w:tabs>
          <w:tab w:leader="none" w:pos="18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or UPS, addressed to the Company (to the attention of the Secretary of the Company) at its principal executive office and to the Executive at Executive’s principal residence, or to such other address as any party may have furnished to the other in writing and in accordance herewith, except that notices of changes of address will be effective only upon receipt.</w:t>
      </w:r>
    </w:p>
    <w:p>
      <w:pPr>
        <w:spacing w:after="0" w:line="3" w:lineRule="exact"/>
        <w:rPr>
          <w:rFonts w:ascii="Times New Roman" w:cs="Times New Roman" w:eastAsia="Times New Roman" w:hAnsi="Times New Roman"/>
          <w:sz w:val="21"/>
          <w:szCs w:val="21"/>
          <w:color w:val="auto"/>
        </w:rPr>
      </w:pPr>
    </w:p>
    <w:p>
      <w:pPr>
        <w:ind w:left="1840" w:right="140" w:hanging="619"/>
        <w:spacing w:after="0" w:line="215" w:lineRule="auto"/>
        <w:tabs>
          <w:tab w:leader="none" w:pos="18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validity, interpretation, construction and performance of this Agreement will be governed by and construed in accordance with the substantive laws of the State of Delaware and federal law, without giving effect to the principles of conflict of laws of such State, except as expressly provided herein. In the event the Company exercises its discretion under Section 9(d) to bring an action to enforce the covenants contained in Section 9 in a court of competent jurisdiction where the Executive has breached or threatened to breach such covenants, and in no other event, the parties agree that the court may apply the law of the jurisdiction in which such action is pending in order to enforce the covenants to the fullest extent permissible.</w:t>
      </w:r>
    </w:p>
    <w:p>
      <w:pPr>
        <w:spacing w:after="0" w:line="1" w:lineRule="exact"/>
        <w:rPr>
          <w:rFonts w:ascii="Times New Roman" w:cs="Times New Roman" w:eastAsia="Times New Roman" w:hAnsi="Times New Roman"/>
          <w:sz w:val="20"/>
          <w:szCs w:val="20"/>
          <w:color w:val="auto"/>
        </w:rPr>
      </w:pPr>
    </w:p>
    <w:p>
      <w:pPr>
        <w:ind w:left="1840" w:right="200" w:hanging="619"/>
        <w:spacing w:after="0" w:line="209" w:lineRule="auto"/>
        <w:tabs>
          <w:tab w:leader="none" w:pos="18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w:t>
      </w:r>
      <w:r>
        <w:rPr>
          <w:rFonts w:ascii="Times New Roman" w:cs="Times New Roman" w:eastAsia="Times New Roman" w:hAnsi="Times New Roman"/>
          <w:sz w:val="21"/>
          <w:szCs w:val="21"/>
          <w:color w:val="auto"/>
        </w:rPr>
        <w:t>. If any provision of this Agreement or the application of any provision hereof to any person or circumstance is held invalid, unenforceable or otherwise illegal, including without limitation Section 9, the remainder of this Agreement and the application of such provision to any other person or circumstance will not be affected, and the provision so held to be invalid, unenforceable or otherwise illegal will be reformed to the extent (and only to the extent) necessary to make it enforceable, valid or legal. If any covenant in Section 9 should be deemed invalid, illegal or unenforceable because its time, geographical area, or restricted activity, is considered excessive, such covenant will be modified to the minimum extent necessary to render the modified covenant valid, legal and enforceable.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20"/>
          </w:cols>
          <w:pgMar w:left="340" w:top="1339" w:right="339" w:bottom="1440" w:gutter="0" w:footer="0" w:header="0"/>
        </w:sectPr>
      </w:pPr>
    </w:p>
    <w:bookmarkStart w:id="72" w:name="page73"/>
    <w:bookmarkEnd w:id="72"/>
    <w:p>
      <w:pPr>
        <w:ind w:left="740" w:right="40" w:hanging="619"/>
        <w:spacing w:after="0" w:line="217" w:lineRule="auto"/>
        <w:tabs>
          <w:tab w:leader="none" w:pos="7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No agreements or representations, oral or otherwise, expressed or implied with respect to the subject matter hereof have been made by either party that are not set forth expressly in this Agreement. The headings used in this Agreement are intended for convenience or reference only and will not in any manner amplify, limit, modify or otherwise be used in the construction or interpretation of any provision of this Agreement. References to Sections are to Sections of this Agreement. References to Paragraphs are to Paragraphs of an Annex to this Agreement. Any reference in this Agreement to a provision of a statute, rule or regulation will also include any successor provision thereto.</w:t>
      </w:r>
    </w:p>
    <w:p>
      <w:pPr>
        <w:spacing w:after="0" w:line="3" w:lineRule="exact"/>
        <w:rPr>
          <w:rFonts w:ascii="Times New Roman" w:cs="Times New Roman" w:eastAsia="Times New Roman" w:hAnsi="Times New Roman"/>
          <w:sz w:val="20"/>
          <w:szCs w:val="20"/>
          <w:color w:val="auto"/>
        </w:rPr>
      </w:pPr>
    </w:p>
    <w:p>
      <w:pPr>
        <w:ind w:left="740" w:hanging="619"/>
        <w:spacing w:after="0" w:line="205" w:lineRule="auto"/>
        <w:tabs>
          <w:tab w:leader="none" w:pos="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Notwithstanding any provision of this Agreement to the contrary, the parties’ respective rights and obligations under Sections 3(c), 4, 5, 6, 7, 8, 9, 10, 11, 12(b), 17 and 19 will survive any termination or expiration of this Agreement or the termination of the Executive’s employment following a Change in Control for any reason whatsoever.</w:t>
      </w:r>
    </w:p>
    <w:p>
      <w:pPr>
        <w:ind w:left="740" w:right="120" w:hanging="619"/>
        <w:spacing w:after="0" w:line="205" w:lineRule="auto"/>
        <w:tabs>
          <w:tab w:leader="none" w:pos="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Beneficiaries</w:t>
      </w:r>
      <w:r>
        <w:rPr>
          <w:rFonts w:ascii="Times New Roman" w:cs="Times New Roman" w:eastAsia="Times New Roman" w:hAnsi="Times New Roman"/>
          <w:sz w:val="21"/>
          <w:szCs w:val="21"/>
          <w:color w:val="auto"/>
        </w:rPr>
        <w:t>. The Executive will be entitled to select (and change, to the extent permitted under any applicable law) a beneficiary or beneficiaries to receive any compensation or benefit payable hereunder following the Executive’s death, and may change such election, in either case by giving the Company written notice thereof in accordance with Section 13. In the event of the Executive’s death or a judicial determination of the Executive’s incompetence, reference in this Agreement to the “Executive” will be deemed, where appropriate, to the Executive’s beneficiary, estate or other legal representative.</w:t>
      </w:r>
    </w:p>
    <w:p>
      <w:pPr>
        <w:ind w:left="740" w:right="80" w:hanging="619"/>
        <w:spacing w:after="0" w:line="205" w:lineRule="auto"/>
        <w:tabs>
          <w:tab w:leader="none" w:pos="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each of which will be deemed to be an original but all of which together will constitute one and the same agreement.</w:t>
      </w:r>
    </w:p>
    <w:p>
      <w:pPr>
        <w:ind w:left="740" w:right="40" w:hanging="619"/>
        <w:spacing w:after="0" w:line="212" w:lineRule="auto"/>
        <w:tabs>
          <w:tab w:leader="none" w:pos="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To the extent applicable, it is intended that this Agreement comply with the provisions of Section 409A. This Agreement will be administered in a manner consistent with this intent, and any provision that would cause the Agreement to fail to satisfy Section 409A will have no force and effect until amended to comply with Section 409A (which amendment may be retroactive to the extent permitted by Section 409A and may be made by the Company without the consent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120"/>
          </w:cols>
          <w:pgMar w:left="1440" w:top="1339" w:right="339" w:bottom="1440" w:gutter="0" w:footer="0" w:header="0"/>
        </w:sectPr>
      </w:pPr>
    </w:p>
    <w:bookmarkStart w:id="73" w:name="page74"/>
    <w:bookmarkEnd w:id="7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Agreement to be duly executed and delivered as of the date first above written.</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21"/>
          <w:szCs w:val="21"/>
          <w:b w:val="1"/>
          <w:bCs w:val="1"/>
          <w:color w:val="auto"/>
        </w:rPr>
        <w:t>Executive:</w:t>
      </w:r>
      <w:r>
        <w:rPr>
          <w:sz w:val="20"/>
          <w:szCs w:val="20"/>
          <w:color w:val="auto"/>
        </w:rPr>
        <w:tab/>
      </w:r>
      <w:r>
        <w:rPr>
          <w:rFonts w:ascii="Times New Roman" w:cs="Times New Roman" w:eastAsia="Times New Roman" w:hAnsi="Times New Roman"/>
          <w:sz w:val="20"/>
          <w:szCs w:val="20"/>
          <w:b w:val="1"/>
          <w:bCs w:val="1"/>
          <w:color w:val="auto"/>
        </w:rPr>
        <w:t>Sean Mahoney</w:t>
      </w:r>
    </w:p>
    <w:p>
      <w:pPr>
        <w:spacing w:after="0" w:line="343" w:lineRule="exact"/>
        <w:rPr>
          <w:sz w:val="20"/>
          <w:szCs w:val="20"/>
          <w:color w:val="auto"/>
        </w:rPr>
      </w:pPr>
    </w:p>
    <w:p>
      <w:pPr>
        <w:ind w:left="1080"/>
        <w:spacing w:after="0"/>
        <w:tabs>
          <w:tab w:leader="none" w:pos="2180" w:val="left"/>
        </w:tabs>
        <w:rPr>
          <w:sz w:val="20"/>
          <w:szCs w:val="20"/>
          <w:color w:val="auto"/>
        </w:rPr>
      </w:pPr>
      <w:r>
        <w:rPr>
          <w:rFonts w:ascii="Times New Roman" w:cs="Times New Roman" w:eastAsia="Times New Roman" w:hAnsi="Times New Roman"/>
          <w:sz w:val="21"/>
          <w:szCs w:val="21"/>
          <w:color w:val="auto"/>
        </w:rPr>
        <w:t>Signature:</w:t>
        <w:tab/>
        <w:t>/s/ Sean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-13970</wp:posOffset>
            </wp:positionV>
            <wp:extent cx="17246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99" w:lineRule="exact"/>
        <w:rPr>
          <w:sz w:val="20"/>
          <w:szCs w:val="20"/>
          <w:color w:val="auto"/>
        </w:rPr>
      </w:pPr>
    </w:p>
    <w:p>
      <w:pPr>
        <w:ind w:left="1080"/>
        <w:spacing w:after="0"/>
        <w:tabs>
          <w:tab w:leader="none" w:pos="19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-13970</wp:posOffset>
            </wp:positionV>
            <wp:extent cx="1830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186" w:lineRule="exact"/>
        <w:rPr>
          <w:sz w:val="20"/>
          <w:szCs w:val="20"/>
          <w:color w:val="auto"/>
        </w:rPr>
      </w:pPr>
    </w:p>
    <w:p>
      <w:pPr>
        <w:ind w:left="680"/>
        <w:spacing w:after="0"/>
        <w:tabs>
          <w:tab w:leader="none" w:pos="1780" w:val="left"/>
        </w:tabs>
        <w:rPr>
          <w:sz w:val="20"/>
          <w:szCs w:val="20"/>
          <w:color w:val="auto"/>
        </w:rPr>
      </w:pPr>
      <w:r>
        <w:rPr>
          <w:rFonts w:ascii="Times New Roman" w:cs="Times New Roman" w:eastAsia="Times New Roman" w:hAnsi="Times New Roman"/>
          <w:sz w:val="21"/>
          <w:szCs w:val="21"/>
          <w:b w:val="1"/>
          <w:bCs w:val="1"/>
          <w:color w:val="auto"/>
        </w:rPr>
        <w:t>Company:</w:t>
      </w:r>
      <w:r>
        <w:rPr>
          <w:sz w:val="20"/>
          <w:szCs w:val="20"/>
          <w:color w:val="auto"/>
        </w:rPr>
        <w:tab/>
      </w:r>
      <w:r>
        <w:rPr>
          <w:rFonts w:ascii="Times New Roman" w:cs="Times New Roman" w:eastAsia="Times New Roman" w:hAnsi="Times New Roman"/>
          <w:sz w:val="20"/>
          <w:szCs w:val="20"/>
          <w:b w:val="1"/>
          <w:bCs w:val="1"/>
          <w:color w:val="auto"/>
        </w:rPr>
        <w:t>ABM Industries Incorporated</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9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Signature:</w:t>
            </w:r>
          </w:p>
        </w:tc>
        <w:tc>
          <w:tcPr>
            <w:tcW w:w="26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21"/>
                <w:szCs w:val="21"/>
                <w:color w:val="auto"/>
              </w:rPr>
              <w:t>/s/ Scott Salmirs</w:t>
            </w:r>
          </w:p>
        </w:tc>
      </w:tr>
      <w:tr>
        <w:trPr>
          <w:trHeight w:val="43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1"/>
                <w:szCs w:val="21"/>
                <w:color w:val="auto"/>
              </w:rPr>
              <w:t>October 31, 2020</w:t>
            </w:r>
          </w:p>
        </w:tc>
        <w:tc>
          <w:tcPr>
            <w:tcW w:w="120" w:type="dxa"/>
            <w:vAlign w:val="bottom"/>
          </w:tcPr>
          <w:p>
            <w:pPr>
              <w:spacing w:after="0"/>
              <w:rPr>
                <w:sz w:val="24"/>
                <w:szCs w:val="24"/>
                <w:color w:val="auto"/>
              </w:rPr>
            </w:pPr>
          </w:p>
        </w:tc>
      </w:tr>
    </w:tbl>
    <w:p>
      <w:pPr>
        <w:sectPr>
          <w:pgSz w:w="11900" w:h="16838" w:orient="portrait"/>
          <w:cols w:equalWidth="0" w:num="1">
            <w:col w:w="11120"/>
          </w:cols>
          <w:pgMar w:left="320" w:top="1440" w:right="459" w:bottom="1440"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#89834151v8</w:t>
      </w:r>
    </w:p>
    <w:p>
      <w:pPr>
        <w:sectPr>
          <w:pgSz w:w="11900" w:h="16838" w:orient="portrait"/>
          <w:cols w:equalWidth="0" w:num="1">
            <w:col w:w="10139"/>
          </w:cols>
          <w:pgMar w:left="320" w:top="1440" w:right="1440" w:bottom="1440" w:gutter="0" w:footer="0" w:header="0"/>
        </w:sectPr>
      </w:pPr>
    </w:p>
    <w:bookmarkStart w:id="75" w:name="page76"/>
    <w:bookmarkEnd w:id="75"/>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Annex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SEVERANCE COMPENSATION, ETC.</w:t>
      </w:r>
    </w:p>
    <w:p>
      <w:pPr>
        <w:spacing w:after="0" w:line="188" w:lineRule="exact"/>
        <w:rPr>
          <w:sz w:val="20"/>
          <w:szCs w:val="20"/>
          <w:color w:val="auto"/>
        </w:rPr>
      </w:pPr>
    </w:p>
    <w:p>
      <w:pPr>
        <w:ind w:right="280" w:firstLine="313"/>
        <w:spacing w:after="0" w:line="220" w:lineRule="auto"/>
        <w:tabs>
          <w:tab w:leader="none" w:pos="61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in an amount equal to two and one-half (2.5) times the sum of (A) Base Pay (at the rate in effect for the year in which the Termination Date occurs), plus (B) Incentive Pay Target (or, if the Incentive Pay Target shall not have been established or shall be reduced after a Change in Control, the highest aggregate Incentive Pay Target as in effect for any of the three fiscal years immediately preceding the year in which the Change in Control occurred).</w:t>
      </w:r>
    </w:p>
    <w:p>
      <w:pPr>
        <w:spacing w:after="0" w:line="145" w:lineRule="exact"/>
        <w:rPr>
          <w:rFonts w:ascii="Times New Roman" w:cs="Times New Roman" w:eastAsia="Times New Roman" w:hAnsi="Times New Roman"/>
          <w:sz w:val="21"/>
          <w:szCs w:val="21"/>
          <w:color w:val="auto"/>
        </w:rPr>
      </w:pPr>
    </w:p>
    <w:p>
      <w:pPr>
        <w:ind w:right="80" w:firstLine="313"/>
        <w:spacing w:after="0" w:line="220" w:lineRule="auto"/>
        <w:tabs>
          <w:tab w:leader="none" w:pos="61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Executive’s then-outstanding equity-based awards under the Equity Plan (including any awards issued by an acquirer or successor to the Company in exchange or substitution for such awards) will not be forfeited but will become fully vested;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performance awards with respect to then-ongoing performance periods shall be vested with respect to the number of shares that would have become earned and vested if the target level of performance was met.</w:t>
      </w:r>
    </w:p>
    <w:p>
      <w:pPr>
        <w:spacing w:after="0" w:line="145" w:lineRule="exact"/>
        <w:rPr>
          <w:rFonts w:ascii="Times New Roman" w:cs="Times New Roman" w:eastAsia="Times New Roman" w:hAnsi="Times New Roman"/>
          <w:sz w:val="21"/>
          <w:szCs w:val="21"/>
          <w:color w:val="auto"/>
        </w:rPr>
      </w:pPr>
    </w:p>
    <w:p>
      <w:pPr>
        <w:ind w:right="40" w:firstLine="313"/>
        <w:spacing w:after="0" w:line="224" w:lineRule="auto"/>
        <w:tabs>
          <w:tab w:leader="none" w:pos="61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providing any continuation of Welfare Benefits to the Executive and his or her dependents following the Termination Date (</w:t>
      </w:r>
      <w:r>
        <w:rPr>
          <w:rFonts w:ascii="Times New Roman" w:cs="Times New Roman" w:eastAsia="Times New Roman" w:hAnsi="Times New Roman"/>
          <w:sz w:val="20"/>
          <w:szCs w:val="20"/>
          <w:i w:val="1"/>
          <w:iCs w:val="1"/>
          <w:color w:val="auto"/>
        </w:rPr>
        <w:t>it being understood</w:t>
      </w:r>
      <w:r>
        <w:rPr>
          <w:rFonts w:ascii="Times New Roman" w:cs="Times New Roman" w:eastAsia="Times New Roman" w:hAnsi="Times New Roman"/>
          <w:sz w:val="20"/>
          <w:szCs w:val="20"/>
          <w:color w:val="auto"/>
        </w:rPr>
        <w:t xml:space="preserve"> that this is not intended to supersede any right of the Executive and his or her dependents to COBRA continuation following the Termination Date), a lump sum payment in an amount equal to the present value of such Welfare Benefits, if such Welfare Benefits were provided for a period of 18 months following the Termination Date. For purposes of the immediately preceding sentence, the value of such Welfare Benefits shall be measured immediately prior to the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applicable for purposes of calculating service or age to determine the value of such Welfare Benefits, assuming that the Executive had remained actively employed on a full-time basis for a period of 18 months following the Termination Date).</w:t>
      </w:r>
    </w:p>
    <w:p>
      <w:pPr>
        <w:spacing w:after="0" w:line="147" w:lineRule="exact"/>
        <w:rPr>
          <w:rFonts w:ascii="Times New Roman" w:cs="Times New Roman" w:eastAsia="Times New Roman" w:hAnsi="Times New Roman"/>
          <w:sz w:val="20"/>
          <w:szCs w:val="20"/>
          <w:color w:val="auto"/>
        </w:rPr>
      </w:pPr>
    </w:p>
    <w:p>
      <w:pPr>
        <w:ind w:left="620" w:hanging="307"/>
        <w:spacing w:after="0"/>
        <w:tabs>
          <w:tab w:leader="none" w:pos="6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Non-Competition Period contemplated by Section 9(a) will be 12 months from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EXHIBIT 31.1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jc w:val="center"/>
        <w:spacing w:after="0" w:line="221"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Scott Salmirs, certify that:</w:t>
      </w:r>
    </w:p>
    <w:p>
      <w:pPr>
        <w:spacing w:after="0" w:line="178" w:lineRule="exact"/>
        <w:rPr>
          <w:sz w:val="20"/>
          <w:szCs w:val="20"/>
          <w:color w:val="auto"/>
        </w:rPr>
      </w:pPr>
    </w:p>
    <w:p>
      <w:pPr>
        <w:ind w:left="320" w:hanging="317"/>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58" w:lineRule="auto"/>
        <w:tabs>
          <w:tab w:leader="none" w:pos="677"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7"/>
          <w:szCs w:val="17"/>
          <w:color w:val="auto"/>
        </w:rPr>
      </w:pPr>
    </w:p>
    <w:p>
      <w:pPr>
        <w:jc w:val="both"/>
        <w:ind w:left="620" w:hanging="307"/>
        <w:spacing w:after="0" w:line="234" w:lineRule="auto"/>
        <w:tabs>
          <w:tab w:leader="none" w:pos="712"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620" w:hanging="307"/>
        <w:spacing w:after="0" w:line="242" w:lineRule="auto"/>
        <w:tabs>
          <w:tab w:leader="none" w:pos="764"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20" w:hanging="307"/>
        <w:spacing w:after="0" w:line="258" w:lineRule="auto"/>
        <w:tabs>
          <w:tab w:leader="none" w:pos="687"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March 10, 2026</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-113030</wp:posOffset>
            </wp:positionV>
            <wp:extent cx="7277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8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EXHIBIT 31.2</w:t>
      </w:r>
    </w:p>
    <w:p>
      <w:pPr>
        <w:jc w:val="center"/>
        <w:spacing w:after="0" w:line="205" w:lineRule="auto"/>
        <w:rPr>
          <w:sz w:val="20"/>
          <w:szCs w:val="20"/>
          <w:color w:val="auto"/>
        </w:rPr>
      </w:pPr>
      <w:r>
        <w:rPr>
          <w:rFonts w:ascii="Arial" w:cs="Arial" w:eastAsia="Arial" w:hAnsi="Arial"/>
          <w:sz w:val="17"/>
          <w:szCs w:val="17"/>
          <w:b w:val="1"/>
          <w:bCs w:val="1"/>
          <w:color w:val="auto"/>
        </w:rPr>
        <w:t>CERTIFICATION OF CHIEF FINANCIAL OFFICER</w:t>
      </w:r>
    </w:p>
    <w:p>
      <w:pPr>
        <w:jc w:val="center"/>
        <w:spacing w:after="0" w:line="222" w:lineRule="auto"/>
        <w:rPr>
          <w:sz w:val="20"/>
          <w:szCs w:val="20"/>
          <w:color w:val="auto"/>
        </w:rPr>
      </w:pPr>
      <w:r>
        <w:rPr>
          <w:rFonts w:ascii="Arial" w:cs="Arial" w:eastAsia="Arial" w:hAnsi="Arial"/>
          <w:sz w:val="17"/>
          <w:szCs w:val="17"/>
          <w:b w:val="1"/>
          <w:bCs w:val="1"/>
          <w:color w:val="auto"/>
        </w:rPr>
        <w:t>PURSUANT TO SECURITIES EXCHANGE ACT OF 1934</w:t>
      </w:r>
    </w:p>
    <w:p>
      <w:pPr>
        <w:jc w:val="center"/>
        <w:spacing w:after="0"/>
        <w:rPr>
          <w:sz w:val="20"/>
          <w:szCs w:val="20"/>
          <w:color w:val="auto"/>
        </w:rPr>
      </w:pPr>
      <w:r>
        <w:rPr>
          <w:rFonts w:ascii="Arial" w:cs="Arial" w:eastAsia="Arial" w:hAnsi="Arial"/>
          <w:sz w:val="17"/>
          <w:szCs w:val="17"/>
          <w:b w:val="1"/>
          <w:bCs w:val="1"/>
          <w:color w:val="auto"/>
        </w:rPr>
        <w:t>RULE 13a-14(a) OR 15d-14(a)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 David M. Orr, certify that:</w:t>
      </w:r>
    </w:p>
    <w:p>
      <w:pPr>
        <w:spacing w:after="0" w:line="178" w:lineRule="exact"/>
        <w:rPr>
          <w:sz w:val="20"/>
          <w:szCs w:val="20"/>
          <w:color w:val="auto"/>
        </w:rPr>
      </w:pPr>
    </w:p>
    <w:p>
      <w:pPr>
        <w:ind w:left="320" w:hanging="317"/>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ABM Industries Incorporated;</w:t>
      </w:r>
    </w:p>
    <w:p>
      <w:pPr>
        <w:spacing w:after="0" w:line="191" w:lineRule="exact"/>
        <w:rPr>
          <w:rFonts w:ascii="Arial" w:cs="Arial" w:eastAsia="Arial" w:hAnsi="Arial"/>
          <w:sz w:val="17"/>
          <w:szCs w:val="17"/>
          <w:color w:val="auto"/>
        </w:rPr>
      </w:pPr>
    </w:p>
    <w:p>
      <w:pPr>
        <w:jc w:val="both"/>
        <w:ind w:left="320" w:hanging="317"/>
        <w:spacing w:after="0" w:line="229" w:lineRule="auto"/>
        <w:tabs>
          <w:tab w:leader="none" w:pos="33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7"/>
          <w:szCs w:val="17"/>
          <w:color w:val="auto"/>
        </w:rPr>
      </w:pPr>
    </w:p>
    <w:p>
      <w:pPr>
        <w:ind w:left="320" w:hanging="317"/>
        <w:spacing w:after="0" w:line="242" w:lineRule="auto"/>
        <w:tabs>
          <w:tab w:leader="none" w:pos="364"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320" w:hanging="317"/>
        <w:spacing w:after="0" w:line="223" w:lineRule="auto"/>
        <w:tabs>
          <w:tab w:leader="none" w:pos="33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2" w:lineRule="exact"/>
        <w:rPr>
          <w:rFonts w:ascii="Arial" w:cs="Arial" w:eastAsia="Arial" w:hAnsi="Arial"/>
          <w:sz w:val="17"/>
          <w:szCs w:val="17"/>
          <w:color w:val="auto"/>
        </w:rPr>
      </w:pPr>
    </w:p>
    <w:p>
      <w:pPr>
        <w:jc w:val="both"/>
        <w:ind w:left="620" w:hanging="307"/>
        <w:spacing w:after="0" w:line="234" w:lineRule="auto"/>
        <w:tabs>
          <w:tab w:leader="none" w:pos="79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jc w:val="both"/>
        <w:ind w:left="620" w:hanging="307"/>
        <w:spacing w:after="0" w:line="234" w:lineRule="auto"/>
        <w:tabs>
          <w:tab w:leader="none" w:pos="6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620" w:hanging="307"/>
        <w:spacing w:after="0" w:line="242" w:lineRule="auto"/>
        <w:tabs>
          <w:tab w:leader="none" w:pos="677"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7"/>
          <w:szCs w:val="17"/>
          <w:color w:val="auto"/>
        </w:rPr>
      </w:pPr>
    </w:p>
    <w:p>
      <w:pPr>
        <w:jc w:val="both"/>
        <w:ind w:left="620" w:hanging="307"/>
        <w:spacing w:after="0" w:line="229" w:lineRule="auto"/>
        <w:tabs>
          <w:tab w:leader="none" w:pos="712"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7"/>
          <w:szCs w:val="17"/>
          <w:color w:val="auto"/>
        </w:rPr>
      </w:pPr>
    </w:p>
    <w:p>
      <w:pPr>
        <w:ind w:left="320" w:hanging="317"/>
        <w:spacing w:after="0" w:line="242" w:lineRule="auto"/>
        <w:tabs>
          <w:tab w:leader="none" w:pos="35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20" w:hanging="307"/>
        <w:spacing w:after="0" w:line="258" w:lineRule="auto"/>
        <w:tabs>
          <w:tab w:leader="none" w:pos="764"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7"/>
          <w:szCs w:val="17"/>
          <w:color w:val="auto"/>
        </w:rPr>
      </w:pPr>
    </w:p>
    <w:p>
      <w:pPr>
        <w:ind w:left="620" w:hanging="307"/>
        <w:spacing w:after="0" w:line="242" w:lineRule="auto"/>
        <w:tabs>
          <w:tab w:leader="none" w:pos="6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March 10, 2026</w:t>
      </w:r>
    </w:p>
    <w:p>
      <w:pPr>
        <w:ind w:left="4020"/>
        <w:spacing w:after="0" w:line="205" w:lineRule="auto"/>
        <w:rPr>
          <w:sz w:val="20"/>
          <w:szCs w:val="20"/>
          <w:color w:val="auto"/>
        </w:rPr>
      </w:pPr>
      <w:r>
        <w:rPr>
          <w:rFonts w:ascii="Arial" w:cs="Arial" w:eastAsia="Arial" w:hAnsi="Arial"/>
          <w:sz w:val="17"/>
          <w:szCs w:val="17"/>
          <w:color w:val="auto"/>
        </w:rPr>
        <w:t>David M.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-104775</wp:posOffset>
            </wp:positionV>
            <wp:extent cx="7277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22" w:lineRule="auto"/>
        <w:rPr>
          <w:sz w:val="20"/>
          <w:szCs w:val="20"/>
          <w:color w:val="auto"/>
        </w:rPr>
      </w:pPr>
      <w:r>
        <w:rPr>
          <w:rFonts w:ascii="Arial" w:cs="Arial" w:eastAsia="Arial" w:hAnsi="Arial"/>
          <w:sz w:val="17"/>
          <w:szCs w:val="17"/>
          <w:color w:val="auto"/>
        </w:rPr>
        <w:t>Chief Financial Officer</w:t>
      </w:r>
    </w:p>
    <w:p>
      <w:pPr>
        <w:ind w:left="40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7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SECURITIES EXCHANGE ACT OF 1934</w:t>
      </w:r>
    </w:p>
    <w:p>
      <w:pPr>
        <w:jc w:val="center"/>
        <w:spacing w:after="0" w:line="221" w:lineRule="auto"/>
        <w:rPr>
          <w:sz w:val="20"/>
          <w:szCs w:val="20"/>
          <w:color w:val="auto"/>
        </w:rPr>
      </w:pPr>
      <w:r>
        <w:rPr>
          <w:rFonts w:ascii="Arial" w:cs="Arial" w:eastAsia="Arial" w:hAnsi="Arial"/>
          <w:sz w:val="17"/>
          <w:szCs w:val="17"/>
          <w:b w:val="1"/>
          <w:bCs w:val="1"/>
          <w:color w:val="auto"/>
        </w:rPr>
        <w:t>RULE 13a-14(b) OR 15d-14(b) AND</w:t>
      </w:r>
    </w:p>
    <w:p>
      <w:pPr>
        <w:jc w:val="center"/>
        <w:spacing w:after="0" w:line="206" w:lineRule="auto"/>
        <w:rPr>
          <w:sz w:val="20"/>
          <w:szCs w:val="20"/>
          <w:color w:val="auto"/>
        </w:rPr>
      </w:pPr>
      <w:r>
        <w:rPr>
          <w:rFonts w:ascii="Arial" w:cs="Arial" w:eastAsia="Arial" w:hAnsi="Arial"/>
          <w:sz w:val="17"/>
          <w:szCs w:val="17"/>
          <w:b w:val="1"/>
          <w:bCs w:val="1"/>
          <w:color w:val="auto"/>
        </w:rPr>
        <w:t>18 U.S.C. SECTION 1350,</w:t>
      </w:r>
    </w:p>
    <w:p>
      <w:pPr>
        <w:jc w:val="center"/>
        <w:spacing w:after="0" w:line="206"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In connection with the Quarterly Report of ABM Industries Incorporated (the “Company”) for the quarter ended July 31, 2025, as filed with the Securities and Exchange Commission on the date hereof (the “Report”), Scott Salmirs, Chief Executive Officer of the Company, and David M. Orr, Chief Financial Officer of the Company, each certifies for the purpose of complying with Rule 13a-14(b) or Rule 15d-14(b) of the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Exchange Act of 1934, as amended (the “Exchange Act”), and Section 1350 of Chapter 63 of Title 18 of the United States Code, that:</w:t>
      </w:r>
    </w:p>
    <w:p>
      <w:pPr>
        <w:spacing w:after="0" w:line="111" w:lineRule="exact"/>
        <w:rPr>
          <w:sz w:val="20"/>
          <w:szCs w:val="20"/>
          <w:color w:val="auto"/>
        </w:rPr>
      </w:pPr>
    </w:p>
    <w:p>
      <w:pPr>
        <w:ind w:left="1000" w:hanging="378"/>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26" w:lineRule="exact"/>
        <w:rPr>
          <w:rFonts w:ascii="Arial" w:cs="Arial" w:eastAsia="Arial" w:hAnsi="Arial"/>
          <w:sz w:val="17"/>
          <w:szCs w:val="17"/>
          <w:color w:val="auto"/>
        </w:rPr>
      </w:pPr>
    </w:p>
    <w:p>
      <w:pPr>
        <w:ind w:left="1240" w:hanging="618"/>
        <w:spacing w:after="0" w:line="258" w:lineRule="auto"/>
        <w:tabs>
          <w:tab w:leader="none" w:pos="102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March 10, 2026</w:t>
      </w:r>
    </w:p>
    <w:p>
      <w:pPr>
        <w:ind w:left="4020"/>
        <w:spacing w:after="0" w:line="221" w:lineRule="auto"/>
        <w:rPr>
          <w:sz w:val="20"/>
          <w:szCs w:val="20"/>
          <w:color w:val="auto"/>
        </w:rPr>
      </w:pPr>
      <w:r>
        <w:rPr>
          <w:rFonts w:ascii="Arial" w:cs="Arial" w:eastAsia="Arial" w:hAnsi="Arial"/>
          <w:sz w:val="17"/>
          <w:szCs w:val="17"/>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-113030</wp:posOffset>
            </wp:positionV>
            <wp:extent cx="7277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6" w:lineRule="auto"/>
        <w:rPr>
          <w:sz w:val="20"/>
          <w:szCs w:val="20"/>
          <w:color w:val="auto"/>
        </w:rPr>
      </w:pPr>
      <w:r>
        <w:rPr>
          <w:rFonts w:ascii="Arial" w:cs="Arial" w:eastAsia="Arial" w:hAnsi="Arial"/>
          <w:sz w:val="17"/>
          <w:szCs w:val="17"/>
          <w:color w:val="auto"/>
        </w:rPr>
        <w:t>Chief Executive Officer</w:t>
      </w:r>
    </w:p>
    <w:p>
      <w:pPr>
        <w:ind w:left="40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-6350</wp:posOffset>
            </wp:positionV>
            <wp:extent cx="727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ind w:left="4020"/>
        <w:spacing w:after="0" w:line="207" w:lineRule="auto"/>
        <w:rPr>
          <w:sz w:val="20"/>
          <w:szCs w:val="20"/>
          <w:color w:val="auto"/>
        </w:rPr>
      </w:pPr>
      <w:r>
        <w:rPr>
          <w:rFonts w:ascii="Arial" w:cs="Arial" w:eastAsia="Arial" w:hAnsi="Arial"/>
          <w:sz w:val="17"/>
          <w:szCs w:val="17"/>
          <w:color w:val="auto"/>
        </w:rPr>
        <w:t>David M. Orr</w:t>
      </w:r>
    </w:p>
    <w:p>
      <w:pPr>
        <w:ind w:left="402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0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4"/>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lvl w:ilvl="1">
      <w:lvlJc w:val="left"/>
      <w:lvlText w:val="◦"/>
      <w:numFmt w:val="bullet"/>
      <w:start w:val="1"/>
    </w:lvl>
  </w:abstractNum>
  <w:abstractNum w:abstractNumId="15">
    <w:nsid w:val="580BD78F"/>
    <w:multiLevelType w:val="hybridMultilevel"/>
    <w:lvl w:ilvl="0">
      <w:lvlJc w:val="left"/>
      <w:lvlText w:val="•"/>
      <w:numFmt w:val="bullet"/>
      <w:start w:val="1"/>
    </w:lvl>
    <w:lvl w:ilvl="1">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4"/>
    </w:lvl>
  </w:abstractNum>
  <w:abstractNum w:abstractNumId="27">
    <w:nsid w:val="542289EC"/>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abstractNum>
  <w:abstractNum w:abstractNumId="28">
    <w:nsid w:val="6DE91B18"/>
    <w:multiLevelType w:val="hybridMultilevel"/>
    <w:lvl w:ilvl="0">
      <w:lvlJc w:val="left"/>
      <w:lvlText w:val="%1."/>
      <w:numFmt w:val="decimal"/>
      <w:start w:val="7"/>
    </w:lvl>
    <w:lvl w:ilvl="1">
      <w:lvlJc w:val="left"/>
      <w:lvlText w:val="%2"/>
      <w:numFmt w:val="decimal"/>
      <w:start w:val="1"/>
    </w:lvl>
    <w:lvl w:ilvl="2">
      <w:lvlJc w:val="left"/>
      <w:lvlText w:val="(%3)"/>
      <w:numFmt w:val="lowerRoman"/>
      <w:start w:val="2"/>
    </w:lvl>
  </w:abstractNum>
  <w:abstractNum w:abstractNumId="29">
    <w:nsid w:val="38437FDB"/>
    <w:multiLevelType w:val="hybridMultilevel"/>
    <w:lvl w:ilvl="0">
      <w:lvlJc w:val="left"/>
      <w:lvlText w:val="(%1)"/>
      <w:numFmt w:val="decimal"/>
      <w:start w:val="12"/>
    </w:lvl>
  </w:abstractNum>
  <w:abstractNum w:abstractNumId="30">
    <w:nsid w:val="7644A45C"/>
    <w:multiLevelType w:val="hybridMultilevel"/>
    <w:lvl w:ilvl="0">
      <w:lvlJc w:val="left"/>
      <w:lvlText w:val="%1."/>
      <w:numFmt w:val="decimal"/>
      <w:start w:val="8"/>
    </w:lvl>
  </w:abstractNum>
  <w:abstractNum w:abstractNumId="31">
    <w:nsid w:val="32FFF902"/>
    <w:multiLevelType w:val="hybridMultilevel"/>
    <w:lvl w:ilvl="0">
      <w:lvlJc w:val="left"/>
      <w:lvlText w:val="(%1)"/>
      <w:numFmt w:val="decimal"/>
      <w:start w:val="60"/>
    </w:lvl>
  </w:abstractNum>
  <w:abstractNum w:abstractNumId="32">
    <w:nsid w:val="684A481A"/>
    <w:multiLevelType w:val="hybridMultilevel"/>
    <w:lvl w:ilvl="0">
      <w:lvlJc w:val="left"/>
      <w:lvlText w:val="%1."/>
      <w:numFmt w:val="decimal"/>
      <w:start w:val="10"/>
    </w:lvl>
  </w:abstractNum>
  <w:abstractNum w:abstractNumId="33">
    <w:nsid w:val="579478FE"/>
    <w:multiLevelType w:val="hybridMultilevel"/>
    <w:lvl w:ilvl="0">
      <w:lvlJc w:val="left"/>
      <w:lvlText w:val="%1."/>
      <w:numFmt w:val="decimal"/>
      <w:start w:val="11"/>
    </w:lvl>
  </w:abstractNum>
  <w:abstractNum w:abstractNumId="34">
    <w:nsid w:val="749ABB43"/>
    <w:multiLevelType w:val="hybridMultilevel"/>
    <w:lvl w:ilvl="0">
      <w:lvlJc w:val="left"/>
      <w:lvlText w:val="%1."/>
      <w:numFmt w:val="upperLetter"/>
      <w:start w:val="1"/>
    </w:lvl>
  </w:abstractNum>
  <w:abstractNum w:abstractNumId="35">
    <w:nsid w:val="3DC240FB"/>
    <w:multiLevelType w:val="hybridMultilevel"/>
    <w:lvl w:ilvl="0">
      <w:lvlJc w:val="left"/>
      <w:lvlText w:val="%1."/>
      <w:numFmt w:val="upperLetter"/>
      <w:start w:val="3"/>
    </w:lvl>
  </w:abstractNum>
  <w:abstractNum w:abstractNumId="36">
    <w:nsid w:val="1BA026FA"/>
    <w:multiLevelType w:val="hybridMultilevel"/>
    <w:lvl w:ilvl="0">
      <w:lvlJc w:val="left"/>
      <w:lvlText w:val="%1"/>
      <w:numFmt w:val="lowerLetter"/>
      <w:start w:val="1"/>
    </w:lvl>
    <w:lvl w:ilvl="1">
      <w:lvlJc w:val="left"/>
      <w:lvlText w:val="%2."/>
      <w:numFmt w:val="decimal"/>
      <w:start w:val="1"/>
    </w:lvl>
  </w:abstractNum>
  <w:abstractNum w:abstractNumId="37">
    <w:nsid w:val="79A1DEAA"/>
    <w:multiLevelType w:val="hybridMultilevel"/>
    <w:lvl w:ilvl="0">
      <w:lvlJc w:val="left"/>
      <w:lvlText w:val="(%1)"/>
      <w:numFmt w:val="lowerLetter"/>
      <w:start w:val="2"/>
    </w:lvl>
    <w:lvl w:ilvl="1">
      <w:lvlJc w:val="left"/>
      <w:lvlText w:val="%2"/>
      <w:numFmt w:val="decimal"/>
      <w:start w:val="1"/>
    </w:lvl>
  </w:abstractNum>
  <w:abstractNum w:abstractNumId="38">
    <w:nsid w:val="75C6C3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9">
    <w:nsid w:val="12E685FB"/>
    <w:multiLevelType w:val="hybridMultilevel"/>
    <w:lvl w:ilvl="0">
      <w:lvlJc w:val="left"/>
      <w:lvlText w:val="(%1)"/>
      <w:numFmt w:val="lowerLetter"/>
      <w:start w:val="4"/>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1)"/>
      <w:numFmt w:val="lowerLetter"/>
      <w:start w:val="6"/>
    </w:lvl>
  </w:abstractNum>
  <w:abstractNum w:abstractNumId="42">
    <w:nsid w:val="374A3FE6"/>
    <w:multiLevelType w:val="hybridMultilevel"/>
    <w:lvl w:ilvl="0">
      <w:lvlJc w:val="left"/>
      <w:lvlText w:val="(%1)"/>
      <w:numFmt w:val="lowerRoman"/>
      <w:start w:val="1"/>
    </w:lvl>
  </w:abstractNum>
  <w:abstractNum w:abstractNumId="43">
    <w:nsid w:val="4F4EF005"/>
    <w:multiLevelType w:val="hybridMultilevel"/>
    <w:lvl w:ilvl="0">
      <w:lvlJc w:val="left"/>
      <w:lvlText w:val="(%1)"/>
      <w:numFmt w:val="lowerRoman"/>
      <w:start w:val="2"/>
    </w:lvl>
  </w:abstractNum>
  <w:abstractNum w:abstractNumId="44">
    <w:nsid w:val="23F9C13C"/>
    <w:multiLevelType w:val="hybridMultilevel"/>
    <w:lvl w:ilvl="0">
      <w:lvlJc w:val="left"/>
      <w:lvlText w:val="(%1)"/>
      <w:numFmt w:val="lowerLetter"/>
      <w:start w:val="13"/>
    </w:lvl>
  </w:abstractNum>
  <w:abstractNum w:abstractNumId="45">
    <w:nsid w:val="649BB77C"/>
    <w:multiLevelType w:val="hybridMultilevel"/>
    <w:lvl w:ilvl="0">
      <w:lvlJc w:val="left"/>
      <w:lvlText w:val="(%1)"/>
      <w:numFmt w:val="lowerLetter"/>
      <w:start w:val="14"/>
    </w:lvl>
  </w:abstractNum>
  <w:abstractNum w:abstractNumId="46">
    <w:nsid w:val="275AC794"/>
    <w:multiLevelType w:val="hybridMultilevel"/>
    <w:lvl w:ilvl="0">
      <w:lvlJc w:val="left"/>
      <w:lvlText w:val="(%1)"/>
      <w:numFmt w:val="lowerLetter"/>
      <w:start w:val="25"/>
    </w:lvl>
  </w:abstractNum>
  <w:abstractNum w:abstractNumId="47">
    <w:nsid w:val="39386575"/>
    <w:multiLevelType w:val="hybridMultilevel"/>
    <w:lvl w:ilvl="0">
      <w:lvlJc w:val="left"/>
      <w:lvlText w:val="%1"/>
      <w:numFmt w:val="decimal"/>
      <w:start w:val="1"/>
    </w:lvl>
    <w:lvl w:ilvl="1">
      <w:lvlJc w:val="left"/>
      <w:lvlText w:val="(%2)"/>
      <w:numFmt w:val="lowerLetter"/>
      <w:start w:val="27"/>
    </w:lvl>
  </w:abstractNum>
  <w:abstractNum w:abstractNumId="48">
    <w:nsid w:val="1CF10FD8"/>
    <w:multiLevelType w:val="hybridMultilevel"/>
    <w:lvl w:ilvl="0">
      <w:lvlJc w:val="left"/>
      <w:lvlText w:val="%1."/>
      <w:numFmt w:val="decimal"/>
      <w:start w:val="2"/>
    </w:lvl>
    <w:lvl w:ilvl="1">
      <w:lvlJc w:val="left"/>
      <w:lvlText w:val="(%2)"/>
      <w:numFmt w:val="lowerLetter"/>
      <w:start w:val="9"/>
    </w:lvl>
  </w:abstractNum>
  <w:abstractNum w:abstractNumId="49">
    <w:nsid w:val="180115BE"/>
    <w:multiLevelType w:val="hybridMultilevel"/>
    <w:lvl w:ilvl="0">
      <w:lvlJc w:val="left"/>
      <w:lvlText w:val="(%1)"/>
      <w:numFmt w:val="lowerRoman"/>
      <w:start w:val="2"/>
    </w:lvl>
  </w:abstractNum>
  <w:abstractNum w:abstractNumId="50">
    <w:nsid w:val="235BA861"/>
    <w:multiLevelType w:val="hybridMultilevel"/>
    <w:lvl w:ilvl="0">
      <w:lvlJc w:val="left"/>
      <w:lvlText w:val="(%1)"/>
      <w:numFmt w:val="lowerLetter"/>
      <w:start w:val="35"/>
    </w:lvl>
    <w:lvl w:ilvl="1">
      <w:lvlJc w:val="left"/>
      <w:lvlText w:val="(%2)"/>
      <w:numFmt w:val="lowerLetter"/>
      <w:start w:val="1"/>
    </w:lvl>
  </w:abstractNum>
  <w:abstractNum w:abstractNumId="51">
    <w:nsid w:val="47398C89"/>
    <w:multiLevelType w:val="hybridMultilevel"/>
    <w:lvl w:ilvl="0">
      <w:lvlJc w:val="left"/>
      <w:lvlText w:val="%1."/>
      <w:numFmt w:val="decimal"/>
      <w:start w:val="4"/>
    </w:lvl>
    <w:lvl w:ilvl="1">
      <w:lvlJc w:val="left"/>
      <w:lvlText w:val="(%2)"/>
      <w:numFmt w:val="lowerLetter"/>
      <w:start w:val="1"/>
    </w:lvl>
  </w:abstractNum>
  <w:abstractNum w:abstractNumId="52">
    <w:nsid w:val="354FE9F9"/>
    <w:multiLevelType w:val="hybridMultilevel"/>
    <w:lvl w:ilvl="0">
      <w:lvlJc w:val="left"/>
      <w:lvlText w:val="%1."/>
      <w:numFmt w:val="decimal"/>
      <w:start w:val="5"/>
    </w:lvl>
  </w:abstractNum>
  <w:abstractNum w:abstractNumId="53">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
    <w:nsid w:val="741226BB"/>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55">
    <w:nsid w:val="D34B6A8"/>
    <w:multiLevelType w:val="hybridMultilevel"/>
    <w:lvl w:ilvl="0">
      <w:lvlJc w:val="left"/>
      <w:lvlText w:val="%1."/>
      <w:numFmt w:val="decimal"/>
      <w:start w:val="9"/>
    </w:lvl>
    <w:lvl w:ilvl="1">
      <w:lvlJc w:val="left"/>
      <w:lvlText w:val="(%2)"/>
      <w:numFmt w:val="lowerLetter"/>
      <w:start w:val="1"/>
    </w:lvl>
  </w:abstractNum>
  <w:abstractNum w:abstractNumId="56">
    <w:nsid w:val="10233C99"/>
    <w:multiLevelType w:val="hybridMultilevel"/>
    <w:lvl w:ilvl="0">
      <w:lvlJc w:val="left"/>
      <w:lvlText w:val="%1"/>
      <w:numFmt w:val="decimal"/>
      <w:start w:val="1"/>
    </w:lvl>
    <w:lvl w:ilvl="1">
      <w:lvlJc w:val="left"/>
      <w:lvlText w:val="(%2)"/>
      <w:numFmt w:val="lowerLetter"/>
      <w:start w:val="2"/>
    </w:lvl>
  </w:abstractNum>
  <w:abstractNum w:abstractNumId="57">
    <w:nsid w:val="3F6AB60F"/>
    <w:multiLevelType w:val="hybridMultilevel"/>
    <w:lvl w:ilvl="0">
      <w:lvlJc w:val="left"/>
      <w:lvlText w:val="%1."/>
      <w:numFmt w:val="decimal"/>
      <w:start w:val="10"/>
    </w:lvl>
    <w:lvl w:ilvl="1">
      <w:lvlJc w:val="left"/>
      <w:lvlText w:val="%2"/>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13"/>
    </w:lvl>
    <w:lvl w:ilvl="1">
      <w:lvlJc w:val="left"/>
      <w:lvlText w:val="%2"/>
      <w:numFmt w:val="lowerLetter"/>
      <w:start w:val="1"/>
    </w:lvl>
  </w:abstractNum>
  <w:abstractNum w:abstractNumId="60">
    <w:nsid w:val="77AE35EB"/>
    <w:multiLevelType w:val="hybridMultilevel"/>
    <w:lvl w:ilvl="0">
      <w:lvlJc w:val="left"/>
      <w:lvlText w:val="%1."/>
      <w:numFmt w:val="decimal"/>
      <w:start w:val="16"/>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7" Type="http://schemas.openxmlformats.org/officeDocument/2006/relationships/hyperlink" Target="https://www.sec.gov/Archives/edgar/data/771497/000119312526039443/ab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2026-03-10T13:21:02Z</dcterms:created>
  <dcterms:modified xsi:type="dcterms:W3CDTF">2026-03-10T13:21:02Z</dcterms:modified>
</cp:coreProperties>
</file>