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Kesavan Sudhakar</w:t>
              </w:r>
            </w:hyperlink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ABM INDUSTRIES INC /DE/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ABM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LIBERTY PLAZA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7TH FL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5,366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52,577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1,104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43.79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51,473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grant of restricted stock units (RSUs) to non-employee directors granted under the 2021 Equity and Incentive Compensation Plan, representing a contingent right to receive shares of common stock. All such RSUs vest on the first anniversary of the grant date. Dividend equivalent rights (DERs) will accrue.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acquired pursuant to dividend reinvestment in transactions exempt from Section 16 pursuant to Rule 16a-11.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David R. Goldman, by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76429" TargetMode="External"/><Relationship Id="rId14" Type="http://schemas.openxmlformats.org/officeDocument/2006/relationships/hyperlink" Target="http://www.sec.gov/cgi-bin/browse-edgar?action=getcompany&amp;CIK=0000771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2026-01-08T17:49:05Z</dcterms:created>
  <dcterms:modified xsi:type="dcterms:W3CDTF">2026-01-08T17:49:05Z</dcterms:modified>
</cp:coreProperties>
</file>