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981075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right="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 w:lineRule="exact"/>
        <w:rPr>
          <w:sz w:val="24"/>
          <w:szCs w:val="24"/>
          <w:color w:val="auto"/>
        </w:rPr>
      </w:pPr>
    </w:p>
    <w:p>
      <w:pPr>
        <w:jc w:val="center"/>
        <w:ind w:left="56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2017</w:t>
      </w:r>
    </w:p>
    <w:p>
      <w:pPr>
        <w:spacing w:after="0" w:line="28" w:lineRule="exact"/>
        <w:rPr>
          <w:sz w:val="24"/>
          <w:szCs w:val="24"/>
          <w:color w:val="auto"/>
        </w:rPr>
      </w:pPr>
    </w:p>
    <w:p>
      <w:pPr>
        <w:jc w:val="center"/>
        <w:ind w:left="56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right="4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8"/>
              </w:rPr>
              <w:t>Delaware</w:t>
            </w:r>
          </w:p>
        </w:tc>
        <w:tc>
          <w:tcPr>
            <w:tcW w:w="7100" w:type="dxa"/>
            <w:vAlign w:val="bottom"/>
            <w:gridSpan w:val="5"/>
          </w:tcPr>
          <w:p>
            <w:pPr>
              <w:jc w:val="center"/>
              <w:ind w:left="3930"/>
              <w:spacing w:after="0"/>
              <w:rPr>
                <w:sz w:val="20"/>
                <w:szCs w:val="20"/>
                <w:color w:val="auto"/>
              </w:rPr>
            </w:pPr>
            <w:r>
              <w:rPr>
                <w:rFonts w:ascii="Arial" w:cs="Arial" w:eastAsia="Arial" w:hAnsi="Arial"/>
                <w:sz w:val="18"/>
                <w:szCs w:val="18"/>
                <w:b w:val="1"/>
                <w:bCs w:val="1"/>
                <w:color w:val="auto"/>
                <w:w w:val="99"/>
              </w:rPr>
              <w:t>94-1369354</w:t>
            </w:r>
          </w:p>
        </w:tc>
      </w:tr>
      <w:tr>
        <w:trPr>
          <w:trHeight w:val="350"/>
        </w:trPr>
        <w:tc>
          <w:tcPr>
            <w:tcW w:w="4320" w:type="dxa"/>
            <w:vAlign w:val="bottom"/>
          </w:tcPr>
          <w:p>
            <w:pPr>
              <w:jc w:val="center"/>
              <w:ind w:right="1010"/>
              <w:spacing w:after="0"/>
              <w:rPr>
                <w:sz w:val="20"/>
                <w:szCs w:val="20"/>
                <w:color w:val="auto"/>
              </w:rPr>
            </w:pPr>
            <w:r>
              <w:rPr>
                <w:rFonts w:ascii="Arial" w:cs="Arial" w:eastAsia="Arial" w:hAnsi="Arial"/>
                <w:sz w:val="18"/>
                <w:szCs w:val="18"/>
                <w:color w:val="auto"/>
              </w:rPr>
              <w:t>(State or other jurisdiction of</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jc w:val="center"/>
              <w:ind w:left="1930"/>
              <w:spacing w:after="0"/>
              <w:rPr>
                <w:sz w:val="20"/>
                <w:szCs w:val="20"/>
                <w:color w:val="auto"/>
              </w:rPr>
            </w:pPr>
            <w:r>
              <w:rPr>
                <w:rFonts w:ascii="Arial" w:cs="Arial" w:eastAsia="Arial" w:hAnsi="Arial"/>
                <w:sz w:val="18"/>
                <w:szCs w:val="18"/>
                <w:color w:val="auto"/>
                <w:w w:val="99"/>
              </w:rPr>
              <w:t>(I.R.S. Employer</w:t>
            </w:r>
          </w:p>
        </w:tc>
      </w:tr>
      <w:tr>
        <w:trPr>
          <w:trHeight w:val="217"/>
        </w:trPr>
        <w:tc>
          <w:tcPr>
            <w:tcW w:w="4320" w:type="dxa"/>
            <w:vAlign w:val="bottom"/>
          </w:tcPr>
          <w:p>
            <w:pPr>
              <w:jc w:val="center"/>
              <w:ind w:right="1010"/>
              <w:spacing w:after="0"/>
              <w:rPr>
                <w:sz w:val="20"/>
                <w:szCs w:val="20"/>
                <w:color w:val="auto"/>
              </w:rPr>
            </w:pPr>
            <w:r>
              <w:rPr>
                <w:rFonts w:ascii="Arial" w:cs="Arial" w:eastAsia="Arial" w:hAnsi="Arial"/>
                <w:sz w:val="18"/>
                <w:szCs w:val="18"/>
                <w:color w:val="auto"/>
                <w:w w:val="99"/>
              </w:rPr>
              <w:t>incorporation or organization)</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jc w:val="center"/>
              <w:ind w:left="1930"/>
              <w:spacing w:after="0"/>
              <w:rPr>
                <w:sz w:val="20"/>
                <w:szCs w:val="20"/>
                <w:color w:val="auto"/>
              </w:rPr>
            </w:pPr>
            <w:r>
              <w:rPr>
                <w:rFonts w:ascii="Arial" w:cs="Arial" w:eastAsia="Arial" w:hAnsi="Arial"/>
                <w:sz w:val="18"/>
                <w:szCs w:val="18"/>
                <w:color w:val="auto"/>
                <w:w w:val="99"/>
              </w:rPr>
              <w:t>Identification No.)</w:t>
            </w:r>
          </w:p>
        </w:tc>
      </w:tr>
      <w:tr>
        <w:trPr>
          <w:trHeight w:val="409"/>
        </w:trPr>
        <w:tc>
          <w:tcPr>
            <w:tcW w:w="4320" w:type="dxa"/>
            <w:vAlign w:val="bottom"/>
          </w:tcPr>
          <w:p>
            <w:pPr>
              <w:spacing w:after="0"/>
              <w:rPr>
                <w:sz w:val="24"/>
                <w:szCs w:val="24"/>
                <w:color w:val="auto"/>
              </w:rPr>
            </w:pPr>
          </w:p>
        </w:tc>
        <w:tc>
          <w:tcPr>
            <w:tcW w:w="7100" w:type="dxa"/>
            <w:vAlign w:val="bottom"/>
            <w:gridSpan w:val="5"/>
          </w:tcPr>
          <w:p>
            <w:pPr>
              <w:jc w:val="right"/>
              <w:ind w:right="4310"/>
              <w:spacing w:after="0"/>
              <w:rPr>
                <w:sz w:val="20"/>
                <w:szCs w:val="20"/>
                <w:color w:val="auto"/>
              </w:rPr>
            </w:pPr>
            <w:r>
              <w:rPr>
                <w:rFonts w:ascii="Arial" w:cs="Arial" w:eastAsia="Arial" w:hAnsi="Arial"/>
                <w:sz w:val="18"/>
                <w:szCs w:val="18"/>
                <w:color w:val="auto"/>
              </w:rPr>
              <w:t>__________________________</w:t>
            </w:r>
          </w:p>
        </w:tc>
      </w:tr>
      <w:tr>
        <w:trPr>
          <w:trHeight w:val="216"/>
        </w:trPr>
        <w:tc>
          <w:tcPr>
            <w:tcW w:w="4320" w:type="dxa"/>
            <w:vAlign w:val="bottom"/>
          </w:tcPr>
          <w:p>
            <w:pPr>
              <w:spacing w:after="0"/>
              <w:rPr>
                <w:sz w:val="18"/>
                <w:szCs w:val="18"/>
                <w:color w:val="auto"/>
              </w:rPr>
            </w:pPr>
          </w:p>
        </w:tc>
        <w:tc>
          <w:tcPr>
            <w:tcW w:w="7100" w:type="dxa"/>
            <w:vAlign w:val="bottom"/>
            <w:gridSpan w:val="5"/>
          </w:tcPr>
          <w:p>
            <w:pPr>
              <w:jc w:val="center"/>
              <w:ind w:right="4210"/>
              <w:spacing w:after="0" w:line="216" w:lineRule="exact"/>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4320" w:type="dxa"/>
            <w:vAlign w:val="bottom"/>
          </w:tcPr>
          <w:p>
            <w:pPr>
              <w:spacing w:after="0"/>
              <w:rPr>
                <w:sz w:val="20"/>
                <w:szCs w:val="20"/>
                <w:color w:val="auto"/>
              </w:rPr>
            </w:pPr>
          </w:p>
        </w:tc>
        <w:tc>
          <w:tcPr>
            <w:tcW w:w="7100" w:type="dxa"/>
            <w:vAlign w:val="bottom"/>
            <w:gridSpan w:val="5"/>
          </w:tcPr>
          <w:p>
            <w:pPr>
              <w:jc w:val="center"/>
              <w:ind w:right="423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9"/>
              </w:rPr>
              <w:t>(Address of principal executive offices)</w:t>
            </w:r>
          </w:p>
        </w:tc>
      </w:tr>
      <w:tr>
        <w:trPr>
          <w:trHeight w:val="500"/>
        </w:trPr>
        <w:tc>
          <w:tcPr>
            <w:tcW w:w="432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297-0200</w:t>
            </w:r>
          </w:p>
        </w:tc>
        <w:tc>
          <w:tcPr>
            <w:tcW w:w="5100" w:type="dxa"/>
            <w:vAlign w:val="bottom"/>
          </w:tcPr>
          <w:p>
            <w:pPr>
              <w:spacing w:after="0"/>
              <w:rPr>
                <w:sz w:val="24"/>
                <w:szCs w:val="24"/>
                <w:color w:val="auto"/>
              </w:rPr>
            </w:pPr>
          </w:p>
        </w:tc>
      </w:tr>
      <w:tr>
        <w:trPr>
          <w:trHeight w:val="20"/>
        </w:trPr>
        <w:tc>
          <w:tcPr>
            <w:tcW w:w="510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91"/>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378"/>
        </w:trPr>
        <w:tc>
          <w:tcPr>
            <w:tcW w:w="4320" w:type="dxa"/>
            <w:vAlign w:val="bottom"/>
          </w:tcPr>
          <w:p>
            <w:pPr>
              <w:spacing w:after="0"/>
              <w:rPr>
                <w:sz w:val="24"/>
                <w:szCs w:val="24"/>
                <w:color w:val="auto"/>
              </w:rPr>
            </w:pPr>
          </w:p>
        </w:tc>
        <w:tc>
          <w:tcPr>
            <w:tcW w:w="7100" w:type="dxa"/>
            <w:vAlign w:val="bottom"/>
            <w:gridSpan w:val="5"/>
          </w:tcPr>
          <w:p>
            <w:pPr>
              <w:jc w:val="right"/>
              <w:ind w:right="4710"/>
              <w:spacing w:after="0"/>
              <w:rPr>
                <w:sz w:val="20"/>
                <w:szCs w:val="20"/>
                <w:color w:val="auto"/>
              </w:rPr>
            </w:pPr>
            <w:r>
              <w:rPr>
                <w:rFonts w:ascii="Arial" w:cs="Arial" w:eastAsia="Arial" w:hAnsi="Arial"/>
                <w:sz w:val="18"/>
                <w:szCs w:val="18"/>
                <w:color w:val="auto"/>
              </w:rPr>
              <w:t>__________________</w:t>
            </w:r>
          </w:p>
        </w:tc>
      </w:tr>
      <w:tr>
        <w:trPr>
          <w:trHeight w:val="378"/>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85"/>
        </w:trPr>
        <w:tc>
          <w:tcPr>
            <w:tcW w:w="432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9"/>
              </w:rPr>
              <w:t>Title of each class</w:t>
            </w: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4320" w:type="dxa"/>
            <w:vAlign w:val="bottom"/>
          </w:tcPr>
          <w:p>
            <w:pPr>
              <w:jc w:val="center"/>
              <w:ind w:left="1310"/>
              <w:spacing w:after="0"/>
              <w:rPr>
                <w:sz w:val="20"/>
                <w:szCs w:val="20"/>
                <w:color w:val="auto"/>
              </w:rPr>
            </w:pPr>
            <w:r>
              <w:rPr>
                <w:rFonts w:ascii="Arial" w:cs="Arial" w:eastAsia="Arial" w:hAnsi="Arial"/>
                <w:sz w:val="18"/>
                <w:szCs w:val="18"/>
                <w:b w:val="1"/>
                <w:bCs w:val="1"/>
                <w:color w:val="auto"/>
              </w:rPr>
              <w:t>Common Stock, $0.01 par value</w:t>
            </w: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10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-2658110</wp:posOffset>
            </wp:positionV>
            <wp:extent cx="60896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209"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ectPr>
          <w:pgSz w:w="11900" w:h="16838" w:orient="portrait"/>
          <w:cols w:equalWidth="0" w:num="1">
            <w:col w:w="11420"/>
          </w:cols>
          <w:pgMar w:left="240" w:top="1440" w:right="239" w:bottom="1440" w:gutter="0" w:footer="0" w:header="0"/>
        </w:sectPr>
      </w:pPr>
    </w:p>
    <w:bookmarkStart w:id="1" w:name="page2"/>
    <w:bookmarkEnd w:id="1"/>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4" w:lineRule="exact"/>
        <w:rPr>
          <w:sz w:val="20"/>
          <w:szCs w:val="20"/>
          <w:color w:val="auto"/>
        </w:rPr>
      </w:pPr>
    </w:p>
    <w:p>
      <w:pPr>
        <w:sectPr>
          <w:pgSz w:w="11900" w:h="16838" w:orient="portrait"/>
          <w:cols w:equalWidth="0" w:num="5">
            <w:col w:w="9300" w:space="200"/>
            <w:col w:w="300" w:space="100"/>
            <w:col w:w="160" w:space="200"/>
            <w:col w:w="220" w:space="100"/>
            <w:col w:w="840"/>
          </w:cols>
          <w:pgMar w:left="240" w:top="1440"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420" w:space="180"/>
            <w:col w:w="300" w:space="100"/>
            <w:col w:w="100" w:space="200"/>
            <w:col w:w="220" w:space="100"/>
            <w:col w:w="800"/>
          </w:cols>
          <w:pgMar w:left="240" w:top="1440" w:right="239" w:bottom="1440" w:gutter="0" w:footer="0" w:header="0"/>
          <w:type w:val="continuous"/>
        </w:sectPr>
      </w:pPr>
    </w:p>
    <w:p>
      <w:pPr>
        <w:spacing w:after="0" w:line="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Accelerated</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o</w:t>
            </w:r>
          </w:p>
        </w:tc>
        <w:tc>
          <w:tcPr>
            <w:tcW w:w="2320" w:type="dxa"/>
            <w:vAlign w:val="bottom"/>
            <w:vMerge w:val="restart"/>
          </w:tcPr>
          <w:p>
            <w:pPr>
              <w:ind w:left="100"/>
              <w:spacing w:after="0"/>
              <w:rPr>
                <w:sz w:val="20"/>
                <w:szCs w:val="20"/>
                <w:color w:val="auto"/>
              </w:rPr>
            </w:pPr>
            <w:r>
              <w:rPr>
                <w:rFonts w:ascii="Arial" w:cs="Arial" w:eastAsia="Arial" w:hAnsi="Arial"/>
                <w:sz w:val="18"/>
                <w:szCs w:val="18"/>
                <w:color w:val="auto"/>
              </w:rPr>
              <w:t>Non-accelerated filer  o</w:t>
            </w:r>
          </w:p>
        </w:tc>
        <w:tc>
          <w:tcPr>
            <w:tcW w:w="1960" w:type="dxa"/>
            <w:vAlign w:val="bottom"/>
          </w:tcPr>
          <w:p>
            <w:pPr>
              <w:jc w:val="center"/>
              <w:spacing w:after="0"/>
              <w:rPr>
                <w:sz w:val="20"/>
                <w:szCs w:val="20"/>
                <w:color w:val="auto"/>
              </w:rPr>
            </w:pPr>
            <w:r>
              <w:rPr>
                <w:rFonts w:ascii="Arial" w:cs="Arial" w:eastAsia="Arial" w:hAnsi="Arial"/>
                <w:sz w:val="18"/>
                <w:szCs w:val="18"/>
                <w:color w:val="auto"/>
              </w:rPr>
              <w:t>Smaller reporting</w:t>
            </w:r>
          </w:p>
        </w:tc>
        <w:tc>
          <w:tcPr>
            <w:tcW w:w="480" w:type="dxa"/>
            <w:vAlign w:val="bottom"/>
            <w:vMerge w:val="restart"/>
          </w:tcPr>
          <w:p>
            <w:pPr>
              <w:ind w:left="300"/>
              <w:spacing w:after="0"/>
              <w:rPr>
                <w:sz w:val="20"/>
                <w:szCs w:val="20"/>
                <w:color w:val="auto"/>
              </w:rPr>
            </w:pPr>
            <w:r>
              <w:rPr>
                <w:rFonts w:ascii="Arial" w:cs="Arial" w:eastAsia="Arial" w:hAnsi="Arial"/>
                <w:sz w:val="18"/>
                <w:szCs w:val="18"/>
                <w:color w:val="auto"/>
              </w:rPr>
              <w:t>o</w:t>
            </w:r>
          </w:p>
        </w:tc>
        <w:tc>
          <w:tcPr>
            <w:tcW w:w="2500" w:type="dxa"/>
            <w:vAlign w:val="bottom"/>
            <w:vMerge w:val="restart"/>
          </w:tcPr>
          <w:p>
            <w:pPr>
              <w:ind w:left="80"/>
              <w:spacing w:after="0"/>
              <w:rPr>
                <w:sz w:val="20"/>
                <w:szCs w:val="20"/>
                <w:color w:val="auto"/>
              </w:rPr>
            </w:pPr>
            <w:r>
              <w:rPr>
                <w:rFonts w:ascii="Arial" w:cs="Arial" w:eastAsia="Arial" w:hAnsi="Arial"/>
                <w:sz w:val="18"/>
                <w:szCs w:val="18"/>
                <w:color w:val="auto"/>
              </w:rPr>
              <w:t>Emerging growth company  o</w:t>
            </w:r>
          </w:p>
        </w:tc>
        <w:tc>
          <w:tcPr>
            <w:tcW w:w="0" w:type="dxa"/>
            <w:vAlign w:val="bottom"/>
          </w:tcPr>
          <w:p>
            <w:pPr>
              <w:spacing w:after="0"/>
              <w:rPr>
                <w:sz w:val="1"/>
                <w:szCs w:val="1"/>
                <w:color w:val="auto"/>
              </w:rPr>
            </w:pPr>
          </w:p>
        </w:tc>
      </w:tr>
      <w:tr>
        <w:trPr>
          <w:trHeight w:val="129"/>
        </w:trPr>
        <w:tc>
          <w:tcPr>
            <w:tcW w:w="2220" w:type="dxa"/>
            <w:vAlign w:val="bottom"/>
            <w:vMerge w:val="continue"/>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6"/>
              </w:rPr>
              <w:t>filer</w:t>
            </w:r>
          </w:p>
        </w:tc>
        <w:tc>
          <w:tcPr>
            <w:tcW w:w="380" w:type="dxa"/>
            <w:vAlign w:val="bottom"/>
            <w:vMerge w:val="continue"/>
          </w:tcPr>
          <w:p>
            <w:pPr>
              <w:spacing w:after="0"/>
              <w:rPr>
                <w:sz w:val="11"/>
                <w:szCs w:val="11"/>
                <w:color w:val="auto"/>
              </w:rPr>
            </w:pPr>
          </w:p>
        </w:tc>
        <w:tc>
          <w:tcPr>
            <w:tcW w:w="2320" w:type="dxa"/>
            <w:vAlign w:val="bottom"/>
            <w:vMerge w:val="continue"/>
          </w:tcPr>
          <w:p>
            <w:pPr>
              <w:spacing w:after="0"/>
              <w:rPr>
                <w:sz w:val="11"/>
                <w:szCs w:val="11"/>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company</w:t>
            </w:r>
          </w:p>
        </w:tc>
        <w:tc>
          <w:tcPr>
            <w:tcW w:w="48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Yes o</w:t>
        <w:tab/>
        <w:t xml:space="preserve">No </w:t>
      </w:r>
      <w:r>
        <w:rPr>
          <w:rFonts w:ascii="MS PGothic" w:cs="MS PGothic" w:eastAsia="MS PGothic" w:hAnsi="MS PGothic"/>
          <w:sz w:val="18"/>
          <w:szCs w:val="18"/>
          <w:color w:val="auto"/>
        </w:rPr>
        <w:t>☑</w:t>
      </w:r>
    </w:p>
    <w:p>
      <w:pPr>
        <w:spacing w:after="0" w:line="2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common stock on April 30, 2017 as reported on the New York Stock Exchange on that date: $2,389,186,450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December 8, 2017: 65,514,281</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_______________________________________________</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Parts of the registrant’s Definitive Proxy Statement relating to the registrant’s 2018 Annual Meeting of Shareholders, to be held on March 7, 2018,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180" w:type="dxa"/>
            <w:vAlign w:val="bottom"/>
          </w:tcPr>
          <w:p>
            <w:pPr>
              <w:ind w:left="3260"/>
              <w:spacing w:after="0"/>
              <w:rPr>
                <w:sz w:val="20"/>
                <w:szCs w:val="20"/>
                <w:color w:val="auto"/>
              </w:rPr>
            </w:pPr>
            <w:r>
              <w:rPr>
                <w:rFonts w:ascii="Arial" w:cs="Arial" w:eastAsia="Arial" w:hAnsi="Arial"/>
                <w:sz w:val="18"/>
                <w:szCs w:val="18"/>
                <w:b w:val="1"/>
                <w:bCs w:val="1"/>
                <w:color w:val="auto"/>
              </w:rPr>
              <w:t>ABM INDUSTRIES INCORPORATED AND 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1118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1180" w:type="dxa"/>
            <w:vAlign w:val="bottom"/>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 Business.</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1A. Risk Factors.</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10">
              <w:r>
                <w:rPr>
                  <w:rFonts w:ascii="Arial" w:cs="Arial" w:eastAsia="Arial" w:hAnsi="Arial"/>
                  <w:sz w:val="15"/>
                  <w:szCs w:val="15"/>
                  <w:color w:val="0000FF"/>
                  <w:w w:val="95"/>
                </w:rPr>
                <w:t>7</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1B. Unresolved Staff Comments.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5">
              <w:r>
                <w:rPr>
                  <w:rFonts w:ascii="Arial" w:cs="Arial" w:eastAsia="Arial" w:hAnsi="Arial"/>
                  <w:sz w:val="15"/>
                  <w:szCs w:val="15"/>
                  <w:color w:val="0000FF"/>
                  <w:w w:val="95"/>
                </w:rPr>
                <w:t>12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2. Properties.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3. Legal Proceedings.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6">
              <w:r>
                <w:rPr>
                  <w:rFonts w:ascii="Arial" w:cs="Arial" w:eastAsia="Arial" w:hAnsi="Arial"/>
                  <w:sz w:val="15"/>
                  <w:szCs w:val="15"/>
                  <w:color w:val="0000FF"/>
                  <w:w w:val="95"/>
                </w:rPr>
                <w:t>13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4. Mine Safety Disclosures.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15</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9">
              <w:r>
                <w:rPr>
                  <w:rFonts w:ascii="Arial" w:cs="Arial" w:eastAsia="Arial" w:hAnsi="Arial"/>
                  <w:sz w:val="15"/>
                  <w:szCs w:val="15"/>
                  <w:color w:val="0000FF"/>
                  <w:w w:val="95"/>
                </w:rPr>
                <w:t>16</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5. Market for Registrant’s Common Equity, Related Stockholder Matters and Issuer Purchases of Equity Securities.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9">
              <w:r>
                <w:rPr>
                  <w:rFonts w:ascii="Arial" w:cs="Arial" w:eastAsia="Arial" w:hAnsi="Arial"/>
                  <w:sz w:val="15"/>
                  <w:szCs w:val="15"/>
                  <w:color w:val="0000FF"/>
                  <w:w w:val="95"/>
                </w:rPr>
                <w:t>16</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6. Selected Financial Data.</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1">
              <w:r>
                <w:rPr>
                  <w:rFonts w:ascii="Arial" w:cs="Arial" w:eastAsia="Arial" w:hAnsi="Arial"/>
                  <w:sz w:val="15"/>
                  <w:szCs w:val="15"/>
                  <w:color w:val="0000FF"/>
                  <w:w w:val="95"/>
                </w:rPr>
                <w:t>18</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3">
              <w:r>
                <w:rPr>
                  <w:rFonts w:ascii="Arial" w:cs="Arial" w:eastAsia="Arial" w:hAnsi="Arial"/>
                  <w:sz w:val="15"/>
                  <w:szCs w:val="15"/>
                  <w:color w:val="0000FF"/>
                  <w:w w:val="95"/>
                </w:rPr>
                <w:t>20</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7A. 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1">
              <w:r>
                <w:rPr>
                  <w:rFonts w:ascii="Arial" w:cs="Arial" w:eastAsia="Arial" w:hAnsi="Arial"/>
                  <w:sz w:val="15"/>
                  <w:szCs w:val="15"/>
                  <w:color w:val="0000FF"/>
                  <w:w w:val="95"/>
                </w:rPr>
                <w:t>48</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8. Financial Statements and Supplementary Data.</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2">
              <w:r>
                <w:rPr>
                  <w:rFonts w:ascii="Arial" w:cs="Arial" w:eastAsia="Arial" w:hAnsi="Arial"/>
                  <w:sz w:val="15"/>
                  <w:szCs w:val="15"/>
                  <w:color w:val="0000FF"/>
                  <w:w w:val="95"/>
                </w:rPr>
                <w:t>49</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 Changes in and Disagreements With Accountants on Accounting and Financial Disclosure.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6">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9A. Controls and Procedures.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6">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9B. Other Information.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6">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10. Directors, Executive Officers and Corporate Governance.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11. Executive Compensation.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12. Security Ownership of Certain Beneficial Owners and Management and Related Stockholder Matters.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13. Certain Relationships and Related Transactions, and Director Independence.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14. Principal Accounting Fees and Services.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94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15. Exhibits, Financial Statement Schedules.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94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9">
              <w:r>
                <w:rPr>
                  <w:rFonts w:ascii="Arial" w:cs="Arial" w:eastAsia="Arial" w:hAnsi="Arial"/>
                  <w:sz w:val="15"/>
                  <w:szCs w:val="15"/>
                  <w:color w:val="0000FF"/>
                  <w:w w:val="95"/>
                </w:rPr>
                <w:t>95</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This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Over the past ten years, we have grown into a multi-segment facility solutions company, particularly through new service offerings and strategic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98425</wp:posOffset>
            </wp:positionV>
            <wp:extent cx="5848985" cy="2204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acquisition of OneSource in 2007 bolstered ABM as a leader in the janitorial market, while the Linc Group acquisition in 2010 established ABM as a “facility solutions” company with new service offerings, including lighting, mechanical, and electrical “technical solutions.” With demand increasing for industry-specific service providers, in 2012 we purchased Air Serv and established our first industry group, “aviation,” which was previously included in “other.” In recent years, we have strategically acquired companies in the U.K., particularly with the GBM and Westway acquisitions, which expanded overseas both our janitorial and technical solutions businesses. In 2017, we completed the acquisition of GCA Services, a provider of integrated facility services to educational institutions and commercial facilities for $1.3 billion, the largest acquisition in ABM history. As a result of this acquisition, we are now a leading facility solutions provider in the education market. In recent years, we also evaluated all of our service offerings and sold our Security and Government Services businesses as they did not align with ABM’s long-term industry-group focus.</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these strategic acquisitions, we have strengthened our ability to offer janitorial, facilities engineering, parking, and specialized mechanical and electrical technical solutions, on a standalone basis or in combination, and positioned ourselves as a leading integrated facilities management company. Unless otherwise indicated, all references to years are to our fiscal year, which ends on October 31.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three phases: During Phase 1, which we completed on November 1, 2016, we realigned our organization; in Phase 2, which is continuing today, we are focused on improvements to our operational framework to promote efficiencies and process enhancements; and in Phase 3, on the foundation of benefits realized from Phases 1 and 2, we anticipate accelerating growth with our industry-based, go-to-market service model. For additional information on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see Item 7., “Management’s Discussion and Analysis of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Contract Types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generate revenues under several types of contracts, as explained below. Generally, the type of contract is determined by the nature of the services. Although many of our service agreements are cancelable on short notice, we have historically had a high client retention rate and expect to continue maintaining long-term relationships with our clients.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20" w:type="dxa"/>
            <w:vAlign w:val="bottom"/>
            <w:tcBorders>
              <w:top w:val="single" w:sz="8" w:color="auto"/>
              <w:left w:val="single" w:sz="8" w:color="auto"/>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8"/>
                <w:szCs w:val="18"/>
                <w:b w:val="1"/>
                <w:bCs w:val="1"/>
                <w:color w:val="auto"/>
                <w:w w:val="99"/>
              </w:rPr>
              <w:t>Contract Type</w:t>
            </w:r>
          </w:p>
        </w:tc>
        <w:tc>
          <w:tcPr>
            <w:tcW w:w="9340" w:type="dxa"/>
            <w:vAlign w:val="bottom"/>
            <w:tcBorders>
              <w:top w:val="single" w:sz="8" w:color="auto"/>
              <w:bottom w:val="single" w:sz="8" w:color="auto"/>
              <w:right w:val="single" w:sz="8" w:color="auto"/>
            </w:tcBorders>
            <w:shd w:val="clear" w:color="auto" w:fill="BFE4FF"/>
          </w:tcPr>
          <w:p>
            <w:pPr>
              <w:ind w:left="4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These arrangements are contracts in which the client agrees to pay a fixed fee every month over a specified contract</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Monthly Fixed-Price</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term. A variation of a fixed-price arrangement is a square-foot arrangement, under which monthly billings are based</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 the actual square footage serviced. Janitorial contracts are commonly structured as fixed-price arrangements.</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Cost-Plus</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margin. Facilities engineering, janitorial, and catering services are commonly structured as cost-plus arrangements.</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Tag work generally consists of supplemental services requested by clients outside of the standard service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Tag Services</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specification. This contract type is commonly used in janitorial services and includes cleanup after tenant moves,</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construction cleanup, flood cleanup, and snow removal.</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Transaction-Price</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are agreements in which the clients are billed for each transaction performed on a monthly basis (e.g.,</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wheelchair passengers served or aircrafts cleaned).</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Hourly</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is billed a set hourly rate for each labor hour provided. Certain</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Aviation contracts are structured as hourly arrangements.</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Management</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manage a parking facility for a management fee and pass through the</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Reimbursement</w:t>
            </w: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revenue and expenses associated with the facility to the owner.</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generally pay to the property owner a fixed amount of rent, plus a</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Leased Location</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percentage of revenues derived from monthly and transient parkers. We retain all revenues and we are responsible</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 most operating expenses incurred.</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Allowance</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are paid a fixed or hourly fee to provide parking services, and we are</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responsible for certain operating expenses, as specified in the contract.</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Energy Savings</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Contracts and Fixed-</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Under these arrangements, we agree to develop, design, engineer, and construct a project and guarantee that the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Price Repair and</w:t>
            </w:r>
          </w:p>
        </w:tc>
        <w:tc>
          <w:tcPr>
            <w:tcW w:w="9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project will satisfy agreed-upon performance standards.</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Refurbishment</w:t>
            </w:r>
          </w:p>
        </w:tc>
        <w:tc>
          <w:tcPr>
            <w:tcW w:w="9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Franchise</w:t>
            </w:r>
          </w:p>
        </w:tc>
        <w:tc>
          <w:tcPr>
            <w:tcW w:w="9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franchise certain engineering services through individual and area franchises under the Linc Service and TEGG</w:t>
            </w: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brands, which are part of ABM Technical Solutions.</w:t>
            </w: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9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11160" w:type="dxa"/>
            <w:vAlign w:val="bottom"/>
            <w:gridSpan w:val="2"/>
          </w:tcPr>
          <w:p>
            <w:pPr>
              <w:spacing w:after="0"/>
              <w:rPr>
                <w:sz w:val="20"/>
                <w:szCs w:val="20"/>
                <w:color w:val="auto"/>
              </w:rPr>
            </w:pPr>
            <w:r>
              <w:rPr>
                <w:rFonts w:ascii="Arial" w:cs="Arial" w:eastAsia="Arial" w:hAnsi="Arial"/>
                <w:sz w:val="18"/>
                <w:szCs w:val="18"/>
                <w:b w:val="1"/>
                <w:bCs w:val="1"/>
                <w:color w:val="auto"/>
              </w:rPr>
              <w:t>Segment and Geographic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management and financial reporting purposes, our businesses are currently separated into five reportable segments: Business &amp; Industry (“B&amp;I”), Aviation, Emerging Industries Group, Technical Solutions, and the newly acquired GCA Services. Among other changes, once we integrate GCA into our industry group model in 2018, we anticipate our Education industry group will become a reportable segment. We also expect to present a new Technology &amp; Manufacturing reportable segment, that will combine our High Tech industry group and the legacy GCA and ABM Industrial &amp; Manufacturing (“I&amp;M”) businesses. ABM’s legacy I&amp;M business was included in the B&amp;I segment. Our principal operations are in the United States, and in 2017 our U.S. operations generated approximately 94% of our revenues. For segment and geographical financial information, see Note 18, “Segment and Geographic Information,” in the Notes to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2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54875" cy="6165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6165850"/>
                    </a:xfrm>
                    <a:prstGeom prst="rect">
                      <a:avLst/>
                    </a:prstGeom>
                    <a:noFill/>
                  </pic:spPr>
                </pic:pic>
              </a:graphicData>
            </a:graphic>
          </wp:anchor>
        </w:drawing>
        <w:t>ONGOING REPORTABLE SEGMENTS AND DESCRIPTIONS</w:t>
      </w:r>
    </w:p>
    <w:p>
      <w:pPr>
        <w:spacing w:after="0" w:line="200" w:lineRule="exact"/>
        <w:rPr>
          <w:sz w:val="20"/>
          <w:szCs w:val="20"/>
          <w:color w:val="auto"/>
        </w:rPr>
      </w:pPr>
    </w:p>
    <w:p>
      <w:pPr>
        <w:spacing w:after="0" w:line="398" w:lineRule="exact"/>
        <w:rPr>
          <w:sz w:val="20"/>
          <w:szCs w:val="20"/>
          <w:color w:val="auto"/>
        </w:rPr>
      </w:pPr>
    </w:p>
    <w:p>
      <w:pPr>
        <w:jc w:val="both"/>
        <w:ind w:left="3940" w:right="20"/>
        <w:spacing w:after="0" w:line="239"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sports and entertainment venues, and industrial and manufacturing sites. We typically provide these services pursuant to monthly fixed-price and cost-plus arrangements that are obtained through a competitive bid process.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3940" w:right="40"/>
        <w:spacing w:after="0" w:line="237"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air cabin maintenance, and transportation. We typically provide services to clients in this segment under master services agreements. These agreements are typically re-bid upon renewal and are generally structured as fixed-price arrangements, parking reimbursement contracts, transaction-price arrangements, and hourly arrangements. Two clients accounted for approximately 35% of revenues for this segment in 2017.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940" w:right="20"/>
        <w:spacing w:after="0" w:line="238" w:lineRule="auto"/>
        <w:rPr>
          <w:sz w:val="20"/>
          <w:szCs w:val="20"/>
          <w:color w:val="auto"/>
        </w:rPr>
      </w:pPr>
      <w:r>
        <w:rPr>
          <w:rFonts w:ascii="Arial" w:cs="Arial" w:eastAsia="Arial" w:hAnsi="Arial"/>
          <w:sz w:val="18"/>
          <w:szCs w:val="18"/>
          <w:color w:val="auto"/>
        </w:rPr>
        <w:t>Our Emerging Industries Group is comprised of our Education, Healthcare, and High Tech industry groups. Services include janitorial, facilities engineering, and parking services for clients in these industries. The Emerging Industries Group typically provides these services pursuant to monthly fixed-price and cost-plus arrangements that are obtained through a competitive bid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940" w:right="20"/>
        <w:spacing w:after="0" w:line="238" w:lineRule="auto"/>
        <w:rPr>
          <w:sz w:val="20"/>
          <w:szCs w:val="20"/>
          <w:color w:val="auto"/>
        </w:rPr>
      </w:pPr>
      <w:r>
        <w:rPr>
          <w:rFonts w:ascii="Arial" w:cs="Arial" w:eastAsia="Arial" w:hAnsi="Arial"/>
          <w:sz w:val="18"/>
          <w:szCs w:val="18"/>
          <w:color w:val="auto"/>
        </w:rPr>
        <w:t>Technical Solutions provides specialized mechanical and electrical services. These services can also be leveraged for cross-selling within B&amp;I, Aviation, and the Emerging Industries Group, both domestically and internationally. Contracts for this segment are structured as cost-plus arrangements, fixed-price arrangements, energy savings contracts, and franchise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940" w:right="20"/>
        <w:spacing w:after="0"/>
        <w:rPr>
          <w:sz w:val="20"/>
          <w:szCs w:val="20"/>
          <w:color w:val="auto"/>
        </w:rPr>
      </w:pPr>
      <w:r>
        <w:rPr>
          <w:rFonts w:ascii="Arial" w:cs="Arial" w:eastAsia="Arial" w:hAnsi="Arial"/>
          <w:sz w:val="18"/>
          <w:szCs w:val="18"/>
          <w:color w:val="auto"/>
        </w:rPr>
        <w:t>GCA Services is a provider of integrated facility services to educational institutions and commercial facilities. It typically provides these services pursuant to monthly fixed-price and cost-plus arrangements that are obtained through a competitive bid process.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hold various service marks, trademarks, and trade names, such as “ABM,” “ABM Building Value,” “ABM Greencare,” “MPower,” “Linc Service,” and “TEGG,” which we deem important to our marketing activities, our business, and, with respect to certain of these, the franchising activities conducted by our Technical Solutions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Significant Client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2017, 2016, or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9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corporate marketing personnel, and our Center of Excellence teams. These sales and marketing teams perform lead acquisition, lead nurturing, and lead management as well as training in sales tools and proposal systems, all governed by standard operating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 and Environmental Compliance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From time 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October 31, 2017, we employed approximately 140,000 employees, of which approximately 44,000, or 32%, were subject to various local collective bargaining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required to file Annual Reports on Form 10-K, Quarterly Reports on Form 10-Q, Current Reports on Form 8-K, and other information with the Securities and Exchange Commission (“SEC”). The public may read and copy any materials that we file with the SEC at the SEC’s Public Reference Room at 100 F Street, NE, Washington, D.C. 20549. Information on the operation of the Public Reference Room may be obtained by calling the SEC at 1-800-SEC-0330. In addition, the SEC maintains an Internet site at www.sec.gov that contains reports, proxy and information statements, and other information regarding issuers that file electronically with the SEC.</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amendments to those reports filed or furnished pursuant to Section 13(a) or 15(d) of the Securities Exchange Act of 1934 are also available free of charge on our Internet site at www.abm.com as soon as reasonably practicable after such reports are electronically filed with or furnished to the SEC. We provide references to our website for your convenience, but our website does not constitute, and should not be viewed as, a part of this Annual Report, and our website is not incorporated into this or any of our other filings with the SEC.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Officers of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on December 22, 2017</w:t>
      </w:r>
    </w:p>
    <w:p>
      <w:pPr>
        <w:sectPr>
          <w:pgSz w:w="11900" w:h="16838" w:orient="portrait"/>
          <w:cols w:equalWidth="0" w:num="1">
            <w:col w:w="11420"/>
          </w:cols>
          <w:pgMar w:left="240" w:top="522" w:right="2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Scott Salmirs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6"/>
          <w:szCs w:val="16"/>
          <w:b w:val="1"/>
          <w:bCs w:val="1"/>
          <w:color w:val="auto"/>
        </w:rPr>
        <w:t>Principal Occupations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28575</wp:posOffset>
            </wp:positionV>
            <wp:extent cx="724662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68" w:lineRule="exact"/>
        <w:rPr>
          <w:sz w:val="20"/>
          <w:szCs w:val="20"/>
          <w:color w:val="auto"/>
        </w:rPr>
      </w:pPr>
    </w:p>
    <w:p>
      <w:pPr>
        <w:jc w:val="both"/>
        <w:ind w:left="880" w:right="20" w:hanging="795"/>
        <w:spacing w:after="0" w:line="250"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President and Chief Executive Officer of ABM since March 2015; Executive Vice President of ABM from September 2014 to March 2015, with global responsibility for ABM’s Aviation division and all international activities; Executive Vice President of ABM’s Onsite Services division focused on the Northeast from 2003 to September 2014; Member of the Board of Directors of ABM since January 2015.</w:t>
      </w:r>
    </w:p>
    <w:p>
      <w:pPr>
        <w:spacing w:after="0" w:line="41" w:lineRule="exact"/>
        <w:rPr>
          <w:sz w:val="20"/>
          <w:szCs w:val="20"/>
          <w:color w:val="auto"/>
        </w:rPr>
      </w:pPr>
    </w:p>
    <w:p>
      <w:pPr>
        <w:sectPr>
          <w:pgSz w:w="11900" w:h="16838" w:orient="portrait"/>
          <w:cols w:equalWidth="0" w:num="2">
            <w:col w:w="2780" w:space="720"/>
            <w:col w:w="7920"/>
          </w:cols>
          <w:pgMar w:left="240" w:top="522"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580" w:type="dxa"/>
            <w:vAlign w:val="bottom"/>
          </w:tcPr>
          <w:p>
            <w:pPr>
              <w:ind w:left="40"/>
              <w:spacing w:after="0"/>
              <w:rPr>
                <w:sz w:val="20"/>
                <w:szCs w:val="20"/>
                <w:color w:val="auto"/>
              </w:rPr>
            </w:pPr>
            <w:r>
              <w:rPr>
                <w:rFonts w:ascii="Arial" w:cs="Arial" w:eastAsia="Arial" w:hAnsi="Arial"/>
                <w:sz w:val="16"/>
                <w:szCs w:val="16"/>
                <w:color w:val="auto"/>
              </w:rPr>
              <w:t>D. Anthony Scaglione</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45</w:t>
            </w: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and Chief Financial Officer of ABM since April 2015; Senior Vice</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President, Treasurer, and Head of Mergers and Acquisitions of ABM from January 2012 to April</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2015; Vice President and Treasurer of ABM from June 2009 to January 2012; Chairman of the</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Board  of  the  Association  for  Financial  Professionals  (AFP),  the  professional  society  that</w:t>
            </w:r>
          </w:p>
        </w:tc>
      </w:tr>
      <w:tr>
        <w:trPr>
          <w:trHeight w:val="204"/>
        </w:trPr>
        <w:tc>
          <w:tcPr>
            <w:tcW w:w="2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represents finance executives across the globe, from November 2014 to October 2016.</w:t>
            </w:r>
          </w:p>
        </w:tc>
      </w:tr>
      <w:tr>
        <w:trPr>
          <w:trHeight w:val="228"/>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Giacobbe</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w:t>
            </w: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Chief Operating Officer of ABM since November 2017; President of ABM’s U.S. Technical</w:t>
            </w:r>
          </w:p>
        </w:tc>
      </w:tr>
      <w:tr>
        <w:trPr>
          <w:trHeight w:val="214"/>
        </w:trPr>
        <w:tc>
          <w:tcPr>
            <w:tcW w:w="2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Solutions from November 2010 to November 2017.</w:t>
            </w:r>
          </w:p>
        </w:tc>
      </w:tr>
      <w:tr>
        <w:trPr>
          <w:trHeight w:val="218"/>
        </w:trPr>
        <w:tc>
          <w:tcPr>
            <w:tcW w:w="2580" w:type="dxa"/>
            <w:vAlign w:val="bottom"/>
          </w:tcPr>
          <w:p>
            <w:pPr>
              <w:ind w:left="40"/>
              <w:spacing w:after="0"/>
              <w:rPr>
                <w:sz w:val="20"/>
                <w:szCs w:val="20"/>
                <w:color w:val="auto"/>
              </w:rPr>
            </w:pPr>
            <w:r>
              <w:rPr>
                <w:rFonts w:ascii="Arial" w:cs="Arial" w:eastAsia="Arial" w:hAnsi="Arial"/>
                <w:sz w:val="16"/>
                <w:szCs w:val="16"/>
                <w:color w:val="auto"/>
              </w:rPr>
              <w:t>Andrea R. Newborn</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54</w:t>
            </w: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General Counsel, and Corporate Secretary of ABM since July 2017;</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and General Counsel for TravelClick, Inc. from July 2014 to June 2017;</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Senior Vice President, General Counsel, and Secretary of The Reader’s Digest Association, Inc.</w:t>
            </w:r>
          </w:p>
        </w:tc>
      </w:tr>
      <w:tr>
        <w:trPr>
          <w:trHeight w:val="204"/>
        </w:trPr>
        <w:tc>
          <w:tcPr>
            <w:tcW w:w="2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from March 2007 to February 2014.</w:t>
            </w:r>
          </w:p>
        </w:tc>
      </w:tr>
      <w:tr>
        <w:trPr>
          <w:trHeight w:val="228"/>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Dean A. Chin</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w:t>
            </w: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Vice President, Chief Accounting Officer, and Corporate Controller of ABM since June</w:t>
            </w:r>
          </w:p>
        </w:tc>
      </w:tr>
      <w:tr>
        <w:trPr>
          <w:trHeight w:val="214"/>
        </w:trPr>
        <w:tc>
          <w:tcPr>
            <w:tcW w:w="2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2010; Vice President and Assistant Controller of ABM from June 2008 to June 2010.</w:t>
            </w:r>
          </w:p>
        </w:tc>
      </w:tr>
      <w:tr>
        <w:trPr>
          <w:trHeight w:val="218"/>
        </w:trPr>
        <w:tc>
          <w:tcPr>
            <w:tcW w:w="2580" w:type="dxa"/>
            <w:vAlign w:val="bottom"/>
          </w:tcPr>
          <w:p>
            <w:pPr>
              <w:ind w:left="40"/>
              <w:spacing w:after="0"/>
              <w:rPr>
                <w:sz w:val="20"/>
                <w:szCs w:val="20"/>
                <w:color w:val="auto"/>
              </w:rPr>
            </w:pPr>
            <w:r>
              <w:rPr>
                <w:rFonts w:ascii="Arial" w:cs="Arial" w:eastAsia="Arial" w:hAnsi="Arial"/>
                <w:sz w:val="16"/>
                <w:szCs w:val="16"/>
                <w:color w:val="auto"/>
              </w:rPr>
              <w:t>David R. Goodes</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45</w:t>
            </w:r>
          </w:p>
        </w:tc>
        <w:tc>
          <w:tcPr>
            <w:tcW w:w="7340" w:type="dxa"/>
            <w:vAlign w:val="bottom"/>
          </w:tcPr>
          <w:p>
            <w:pPr>
              <w:ind w:left="300"/>
              <w:spacing w:after="0"/>
              <w:rPr>
                <w:sz w:val="20"/>
                <w:szCs w:val="20"/>
                <w:color w:val="auto"/>
              </w:rPr>
            </w:pPr>
            <w:r>
              <w:rPr>
                <w:rFonts w:ascii="Arial" w:cs="Arial" w:eastAsia="Arial" w:hAnsi="Arial"/>
                <w:sz w:val="16"/>
                <w:szCs w:val="16"/>
                <w:color w:val="auto"/>
              </w:rPr>
              <w:t>Senior Vice President and Chief Human Resources Officer of ABM since January 2016;</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Executive Vice President, Human Resources of Hess Retail Corporation during 2014; Vice</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President, Human Resources, Marketing &amp; Refining of Hess Corporation from March 2011 to</w:t>
            </w:r>
          </w:p>
        </w:tc>
      </w:tr>
      <w:tr>
        <w:trPr>
          <w:trHeight w:val="189"/>
        </w:trPr>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December 2013; Director, Human Resources of Hess Corporation from October 2005 to March</w:t>
            </w:r>
          </w:p>
        </w:tc>
      </w:tr>
      <w:tr>
        <w:trPr>
          <w:trHeight w:val="204"/>
        </w:trPr>
        <w:tc>
          <w:tcPr>
            <w:tcW w:w="2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340" w:type="dxa"/>
            <w:vAlign w:val="bottom"/>
          </w:tcPr>
          <w:p>
            <w:pPr>
              <w:ind w:left="300"/>
              <w:spacing w:after="0"/>
              <w:rPr>
                <w:sz w:val="20"/>
                <w:szCs w:val="20"/>
                <w:color w:val="auto"/>
              </w:rPr>
            </w:pPr>
            <w:r>
              <w:rPr>
                <w:rFonts w:ascii="Arial" w:cs="Arial" w:eastAsia="Arial" w:hAnsi="Arial"/>
                <w:sz w:val="16"/>
                <w:szCs w:val="16"/>
                <w:color w:val="auto"/>
              </w:rPr>
              <w:t>2011.</w:t>
            </w:r>
          </w:p>
        </w:tc>
      </w:tr>
      <w:tr>
        <w:trPr>
          <w:trHeight w:val="228"/>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Rene Jacobsen</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w:t>
            </w: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President of ABM’s Business &amp; Industry Group since February 2016; Executive Vice President of</w:t>
            </w:r>
          </w:p>
        </w:tc>
      </w:tr>
      <w:tr>
        <w:trPr>
          <w:trHeight w:val="189"/>
        </w:trPr>
        <w:tc>
          <w:tcPr>
            <w:tcW w:w="25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ABM’s West Region from April 2012 to February 2016; Executive Vice President and Chief</w:t>
            </w:r>
          </w:p>
        </w:tc>
      </w:tr>
      <w:tr>
        <w:trPr>
          <w:trHeight w:val="214"/>
        </w:trPr>
        <w:tc>
          <w:tcPr>
            <w:tcW w:w="2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Officer of Temco Service Industries from November 2007 to April 2012.</w:t>
            </w:r>
          </w:p>
        </w:tc>
      </w:tr>
      <w:tr>
        <w:trPr>
          <w:trHeight w:val="621"/>
        </w:trPr>
        <w:tc>
          <w:tcPr>
            <w:tcW w:w="2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340" w:type="dxa"/>
            <w:vAlign w:val="bottom"/>
          </w:tcPr>
          <w:p>
            <w:pPr>
              <w:ind w:left="15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522"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growth opportunities and cost synergies that are anticipated from the acquisition of GCA.</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The benefits that are expected to result from the acquisition of GCA will depend, in part, on our ability to realize the anticipated growth opportunities and cost synergies from the acquisition. Our success in realizing these growth opportunities and cost synergies, and the timing of this realization, depends on a number of factors. There is a significant degree of difficulty and management distraction inherent in the process of integrating an acquisition as sizable as GCA. The process of integrating operations could cause an interruption of, or loss of momentum in, our activities or the activities of the GCA business. Members of our senior management may be required to devote considerable time to this integration process, which will decrease the time they will have to manage our Company, service existing clients, and attract new clients. In addition, we have not fully implemented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which is expected to generate significant benefits to the Company. Time and distraction relating to the acquisition of GCA could detract from the ability to achieve the benefits anticipated with respect to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If senior management is not able to effectively manage the integration process or if any significant business activities including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are interrupted as a result of the integration process, our business could suffer. There can be no assurance that we will successfully or cost-effectively integrate GCA. The failure to do so could have a material adverse effect on our business, financial condition, or results of operations.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Even if we are able to integrate GCA successfully, this integration may not result in the realization of the full benefits of the growth opportunities and cost synergies we currently expect from this integration, and we cannot guarantee these benefits will be achieved within anticipated time frames or at all. For example, we may not be able to eliminate duplicative costs. Moreover, we may incur substantial expenses in connection with the integration of GCA. While it is anticipated that certain expenses will be incurred to achieve cost synergies, such expenses are difficult to estimate accurately and may exceed current estimates. Accordingly, the benefits from the acquisition may be offset by costs incurred to integrate the business or delays in the integration process. In addition, the overall integration may result in unanticipated problems, expenses, liabilities, competitive responses, loss of client and other relationships, or loss of key employees, any of which may adversely affect our results of operations and may cause our stock price to decline.</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1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acquisition of GCA, on September 1, 2017, we refinanced and replaced our existing credit facility with a new syndicated secured credit facility (the “Credit Facility”) consisting of a $900 million revolving line of credit and an $800 million amortizing term loan with a five-year term. On September 1, 2017, we borrowed approximately $1.3 billion under the Credit Facility. Our ability to make payments on our debt, fund our other liquidity needs, and make planned capital expenditures will depend on our ability to generate cash in the future.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make payments of our debt, fund other liquidity needs, make planned capital expenditures, or continue our dividend.</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degree to which we are currently leveraged could have important consequences for shareholders. For example, it could require us to dedicate a substantial portion of our cash flows from operations to the payment of debt service, reducing the availability of our cash flow to fund working capital, share repurchases,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an increased level of borrowing increases our interest expense, which could negatively impact our profitability. As current interest rates on our credit facility are variable, an increase in prevailing rates would increase our interest costs. 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strategic transformation initiative, including our move to our Enterprise Services Center, may not have the desired</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effects on our financial condition and results of operations.</w:t>
      </w:r>
    </w:p>
    <w:p>
      <w:pPr>
        <w:spacing w:after="0" w:line="1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fourth quarter of 2015, we announced our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intended to differentiate ABM in the marketplace, accelerate revenue growth for certain industry groups, and improve our margin profile. We may not be able to execute on this strategy as a result of numerous factors, such as client resistance to an integrated approach, inability to deliver requested end-to-end services, and difficulty penetrating certain markets. Even if we are able to execute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may not realize the full benefits that we currently expect within the anticipated time frame or at all. For example, although we may be able to leverage scale to manage costs more efficiently and effectively, the realignment of our business operations may not provide us with the anticipated competitive advantage or revenue growth. Moreover, the execution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may result in substantial expenses in excess of what is currently forecast. While we anticipate that certain expenses will be incurred, such expenses are difficult to estimate accurately and may exceed current estimates. Accordingly, the benefits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may be offset by unexpected costs or delays incurred in its execution.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are making significant investments in information technology, but there can be no assurance these investments will have the desired results in improving the delivery of our services. In addition,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may cause substantial disruption to our operations and may not have the anticipated positive effects on our relationships with our employees, clients, and suppliers.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Changes to our business systems and processes, including the migration of many of our financial reporting and other processes to our Enterprise Services Center, may not create the operational efficiencies or cost benefits that we expect and could result in unanticipated consequences. In addition, the move to a shared services environment may create risks relating to the processing of transactions and recording of financial information. During the transition period, we could experience a lapse in the operation of internal controls due to turnover, lack of legacy knowledge, or inappropriate training, which could result in significant deficiencies or material weaknesses.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success depends on our ability to gain profitable business despite competitive pressures and on our ability to preserve long-term client relationships.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and ability to anticipate and respond to industry changes. A majority of our revenue is derived from projects requiring competitive bids.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a competitive advantage in those regards. We also compete indirectly with companies that can perform for themselves one or more of the services we provide. Additionally, many of our contracts provide that our clients pay certain costs at specified rates, such as insurance, healthcare costs, salary and salary-related expenses, petroleum, and other costs. We may experience higher operating costs related to changes in federal, state, or local laws and regulations regarding employee benefits, minimum wages, and other entitlements. If actual costs exceed the rates specified in the contracts, our profitability may be negatively impacted. Further, if we are unable to respond adequately to changing technology, we may lose existing clients and fail to win future business opportunities. These strong competitive pressures could inhibit our success in bidding for profitable business and our ability to increase prices as costs rise, thereby reducing margins.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primarily provide services pursuant to agreements that are cancelable by either party upon 30–90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our profitability could be negatively impacted, even if we gain equivalent revenues from new clients.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depend to a large extent on our relationships with our clients and our reputation for quality integrated facility solutions. As such, adverse publicity stemming from an accident or other incident involving our facility operations related to injury, illness, or death could harm our reputation, result in the cancellation of contracts, and expose us to significant liability.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our ability to attract and retain qualified personnel and senior management.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and on our continued ability to attract and retain qualified personnel. Any unplanned turnover in senior management or inability to attract and retain qualified personnel could have a negative effect on our results of operations. We employ over 130,000 persons and our operations depend on the services of a large and diverse workforce. We must attract, train, and retain a large and growing number of qualified employees, while controlling related labor costs. Our ability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to control labor and benefit costs is subject to numerous internal and external factors, including changes in immigration policy, regulatory changes, prevailing wage rates, and competition we face from other companies for these employees. There is no assurance that we will be able to attract or retain qualified employees in the future, which could have a material adverse effect on our business, financial condition, and results of operations.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use of subcontractors or joint venture partners to perform work under customer contracts exposes us to liability and financial risk.</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A failure, for whatever reason, by one or more of our subcontractors or joint venture partners to perform, or the alleged negligent performance of, the agreed-upon services may expose us to liability. Although we have in place controls and programs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international business involves risks different from those we face in the United States that could have an effect on our results of operations and financial condition.</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business operations in jurisdictions outside of the United States, most significantly in the United Kingdom. Our international operations are subject to risks that are different from those we face in the United States, such as the requirement to comply with national and local regulatory requirements, including, but not limited to: the U.K. Bribery Act and other anti-corruption laws and laws respecting privacy; potential difficulties in staffing and labor disputes; differing local labor laws; credit risk or financial condition of local clients; and local political and social conditions. In addition, the operating results of our non-U.S. subsidiaries are translated into U.S. dollars, and those results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Unfavorable developments in our class and representative actions and other lawsuits alleging various claims could cause us to incur substantial liabilities.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business involves employing tens of thousands of employees, many of whom work at our clients’ facilities. We incur risks relating to our employment of these workers, including, but not limited to: claims of misconduct or negligence on the part of our employees; claims related to the employment of undocumented workers or unlicensed personnel; and claims by our employees of discrimination, harassment, or violations of wage and hour requirements. Some or all of these claims may lead to litigation, including class action litigation, and these matters may cause us to incur negative publicity with respect to these alleged problems.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could, individually or in the aggregate, cause us to incur substantial liabilities that could have a material adverse effect upon our business, reputation, financial condition, or results of operations.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a material charge against our earnings.</w:t>
      </w:r>
    </w:p>
    <w:p>
      <w:pPr>
        <w:spacing w:after="0" w:line="1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4" w:right="239" w:bottom="1440" w:gutter="0" w:footer="0" w:header="0"/>
        </w:sectPr>
      </w:pPr>
    </w:p>
    <w:bookmarkStart w:id="12" w:name="page13"/>
    <w:bookmarkEnd w:id="12"/>
    <w:p>
      <w:pPr>
        <w:jc w:val="both"/>
        <w:spacing w:after="0" w:line="262" w:lineRule="auto"/>
        <w:rPr>
          <w:sz w:val="20"/>
          <w:szCs w:val="20"/>
          <w:color w:val="auto"/>
        </w:rPr>
      </w:pPr>
      <w:r>
        <w:rPr>
          <w:rFonts w:ascii="Arial" w:cs="Arial" w:eastAsia="Arial" w:hAnsi="Arial"/>
          <w:sz w:val="18"/>
          <w:szCs w:val="18"/>
          <w:color w:val="auto"/>
        </w:rPr>
        <w:t>clams for direct or consequential damages. If our insurance coverage proves to be inadequate or unavailable, our business may be negatively impacted.</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determination of required insurance reserves is dependent upon significant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 We have experienced material negative trends in our actuarial estimates and may continue to experience these and other material negative trends in future periods.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we be unable to renew our excess, umbrella, or other commercial insurance policies at competitive rates,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formed a wholly-owned captive insurance company, IFM Assurance Company (“IFM”), which we believe will provide us with increased flexibility in the end-to-end management of our insurance program. There can be no assurance that IFM will bring about the intended benefits or that it will provide us with the desired flexibility in the management of our insurance programs, because we may experience unanticipated events that will reduce or eliminate expected benefits, including anticipated savings related to coverage provided by IFM to our subsidiaries.</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risk management and safety programs may not have the intended effect of reducing our liability for personal injury or property loss.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attempt to mitigate risks relating to personal injury or property loss through the implementation of company-wide safety and loss control efforts designed to decrease the incidence of accidents or events that might increase our liability. It is expected that any such decrease would also have the effect of reducing our insurance costs for our casualty programs. However, incidents involving personal injury or property loss often are caused by multiple factors, a significant number of which are beyond our control. Therefore, there can be no assurance that our risk management and safety programs will have the desired effect of controlling costs and liability exposure.</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Impairment of goodwill and long-lived assets could have a material adverse effect on our financial condition and results of operations.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The assumptions used to determine impairment require significant judgment and the amount of the impairment could have a material adverse effect on our reported financial results for the period in which the charge is taken.</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Changes in general economic conditions, including changes in energy prices, government regulations, and changing consumer preferences, could reduce the demand for facility services and, as a result, reduce our earnings and adversely affect our financial condition.</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certain geographic areas and service lines, our most profitable revenues are related to supplemental services requested by clients outside of the standard service specification. This contract type is commonly used in janitorial services and includes cleanup after tenant moves, construction cleanup, flood cleanup, and snow removal (“tag work”). A decline in occupancy rates could result in a decline in scope of work, including tag work, and depressed prices for our services. Slow domestic and international economic growth or other negative changes in global, national, and local economic conditions could have a negative impact on our business. Specifically, adverse economic conditions may result in clients cutting back on discretionary spending. Additionally, since a significant portion of our aviation services and parking revenues are tied to the number of airline passengers, hotel guests, and sports arena attendees, results for these businesses could be adversely affected by curtailment of business, personal travel, and discretionary spending. The use of ride sharing services and car sharing services may lead to a decline in parking demand at airports and in urban areas.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44" w:right="239" w:bottom="1440" w:gutter="0" w:footer="0" w:header="0"/>
        </w:sectPr>
      </w:pPr>
    </w:p>
    <w:bookmarkStart w:id="13" w:name="page14"/>
    <w:bookmarkEnd w:id="13"/>
    <w:p>
      <w:pPr>
        <w:jc w:val="both"/>
        <w:ind w:firstLine="648"/>
        <w:spacing w:after="0" w:line="252"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As such, downward fluctuations in commodity prices may reduce clients’ demand for our services. We also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business. In some instances, we offer certain of these clients guaranteed energy savings on installed equipment. In the event those guaranteed savings are not achieved, we may be required to pay liquidated or other damages. All of these factors could have an adverse effect on our financial position, results of operations, and cash flows.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may be materially affected by changes to fiscal and tax policies. Negative or unexpected tax consequences could adversely affect our results of operations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of 2017 was approved by Congress on December 20, 2017. When signed into law by President Donald J. Trump, this legislation will make significant changes to the U.S. Internal Revenue Code. Such changes include a reduction in the corporate tax rate and limitations on certain corporate deductions and credits, among other changes. Certain of these changes could have a negative impact on our business. In addition, adverse changes in the underlying profitability and financial outlook of our operations or changes in tax law could lead to changes in our valuation allowances against deferred tax assets on our consolidated balance sheets, which could materially affect our results of operations. Furthermore, we are subject to tax audits by governmental authorities, primarily in the United States and United Kingdom. If we experience unfavorable results from one or more such tax audits, there could be an adverse effect on our tax rate and therefore on our net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cyber-security risks, information technology interruptions, and business continuity risks.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information technology systems and those of our third-party providers could become subject to cyber-attacks, hacking, or other intrusions, which could result in operational disruptions or information misappropriation, such as theft of intellectual property or inappropriate disclosure of confidential information. In addition, to the extent centralized administrative locations are disabled for a long period of time, key business processes, such as accounts payable, information technology, payroll, and general management operations, could be interrupted. Any such operational disruptions and/or misappropriation of information could result in lost sales, negative publicity, or business delays that could have a material adverse effect on our business.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participate in various multiemployer pension plans under union and industry-wide agreements, which provide defined pension benefits and other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under applicable law we could incur material liabilities. We further discuss our participation in multiemployer pension and postretirement plans in Note 13, “Employee Benefit Plans,” in the Notes to Consolidated Financial Statements. In addition, the terms of collective bargaining agreements require us to contribute to health and welfare plans that require us to have appropriate systems in place to track contributions. The failure to make a contribution as a result of a systems failure could have a negative impact on our financial position.</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2017, approximately 32% of our employees were subject to various local collective bargaining agreements, some of which will expire or become subject to renegotiation during 2018. In addition, at any given time we may face a number of union organizing drives. When one or more of our major collective bargaining agreements becomes subject to renegotiation or when we face union organizing drives, we and the union may disagree on important issues that could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4" w:right="239" w:bottom="144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18"/>
          <w:szCs w:val="18"/>
          <w:color w:val="auto"/>
        </w:rPr>
        <w:t>Moreover, negotiating a first time agreement or renegotiating an existing collective bargaining agreement could result in a substantial increase in labor and benefits expenses that we may be unable to pass through to clients.</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in the future, our ability to produce accurate and timely financial statements could be negatively impacted, which could harm our operating results, investors’ perceptions of our Company and, as a result, the value of our common stock.</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Pursuant to Section 404 of the Sarbanes 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We have acquired entities that did not have any publicly traded debt or equity and therefore were not required to conform to the rules and regulations of the SEC, especially as it relates to internal control structure. As such, upon acquisition by us, such entities may not have in place all the necessary controls as required by the Public Company Accounting Oversight Board. The integration of acquired entities into our internal control over financial reporting has required and will continue to require significant time and resources from our management and other personnel and will increase our compliance costs. We are required to include our assessment of the effectiveness of the internal controls over financial reporting of entities we acquire in our overall assessment. We plan to complete the evaluation and integration of internal controls over financial reporting and report our assessment within the required time frame. Failure to maintain an effective internal control environment could have a material adverse effect on our ability to accurately report our financial results, the market’s perception of our business, and our stock price.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negatively impacted by adverse weather conditions.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Weather conditions such as snow storms, heavy flooding, hurricanes, and other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snow can lead to reduced travel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disasters, and terrorist attacks could disrupt our services.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Catastrophic events, disasters, and acts of terrorism may result in reduced revenues, property damage, or economic dislocations throughout the country. These events may increase the volatility of financial results due to unforeseen costs with partial or no corresponding compensation from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of activist investors could disrupt our business.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Public companies have been the target of activist investors. In the event that a third party, such as an activist investor, proposes to change our governance policies, board of directors, or other aspects of our operations, our review and consideration of such proposals may create a significant distraction for our management and employees. This could negatively impact our ability to execute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and may require our management to expend significant time and resources. Such proposals may also create uncertainties with respect to our financial position and operations and may adversely affect our ability to attract and retain key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color w:val="auto"/>
        </w:rPr>
        <w:t>Our principal executive office is located at One Liberty Plaza, 7</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New York 10006.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 2016 we began consolidating our operations to increase efficiency and effectiveness.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Properties as of October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520" w:type="dxa"/>
            <w:vAlign w:val="bottom"/>
          </w:tcPr>
          <w:p>
            <w:pPr>
              <w:jc w:val="center"/>
              <w:ind w:right="97"/>
              <w:spacing w:after="0"/>
              <w:rPr>
                <w:sz w:val="20"/>
                <w:szCs w:val="20"/>
                <w:color w:val="auto"/>
              </w:rPr>
            </w:pPr>
            <w:r>
              <w:rPr>
                <w:rFonts w:ascii="Arial" w:cs="Arial" w:eastAsia="Arial" w:hAnsi="Arial"/>
                <w:sz w:val="18"/>
                <w:szCs w:val="18"/>
                <w:b w:val="1"/>
                <w:bCs w:val="1"/>
                <w:color w:val="auto"/>
              </w:rPr>
              <w:t>Lease Expiration Date,</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rPr>
              <w:t>Location</w:t>
            </w:r>
          </w:p>
        </w:tc>
        <w:tc>
          <w:tcPr>
            <w:tcW w:w="4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Character of Office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Feet</w:t>
            </w:r>
          </w:p>
        </w:tc>
        <w:tc>
          <w:tcPr>
            <w:tcW w:w="252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b w:val="1"/>
                <w:bCs w:val="1"/>
                <w:color w:val="auto"/>
                <w:w w:val="99"/>
              </w:rPr>
              <w:t>Unless Owned</w:t>
            </w:r>
          </w:p>
        </w:tc>
        <w:tc>
          <w:tcPr>
            <w:tcW w:w="4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16"/>
        </w:trPr>
        <w:tc>
          <w:tcPr>
            <w:tcW w:w="2180" w:type="dxa"/>
            <w:vAlign w:val="bottom"/>
            <w:gridSpan w:val="2"/>
            <w:vMerge w:val="restart"/>
            <w:shd w:val="clear" w:color="auto" w:fill="CCEEFF"/>
          </w:tcPr>
          <w:p>
            <w:pPr>
              <w:jc w:val="center"/>
              <w:ind w:left="59"/>
              <w:spacing w:after="0"/>
              <w:rPr>
                <w:sz w:val="20"/>
                <w:szCs w:val="20"/>
                <w:color w:val="auto"/>
              </w:rPr>
            </w:pPr>
            <w:r>
              <w:rPr>
                <w:rFonts w:ascii="Arial" w:cs="Arial" w:eastAsia="Arial" w:hAnsi="Arial"/>
                <w:sz w:val="16"/>
                <w:szCs w:val="16"/>
                <w:color w:val="auto"/>
              </w:rPr>
              <w:t>Alpharetta, Georgia</w:t>
            </w:r>
          </w:p>
        </w:tc>
        <w:tc>
          <w:tcPr>
            <w:tcW w:w="2540" w:type="dxa"/>
            <w:vAlign w:val="bottom"/>
            <w:gridSpan w:val="3"/>
            <w:shd w:val="clear" w:color="auto" w:fill="CCEEFF"/>
          </w:tcPr>
          <w:p>
            <w:pPr>
              <w:jc w:val="center"/>
              <w:ind w:left="39"/>
              <w:spacing w:after="0"/>
              <w:rPr>
                <w:sz w:val="20"/>
                <w:szCs w:val="20"/>
                <w:color w:val="auto"/>
              </w:rPr>
            </w:pPr>
            <w:r>
              <w:rPr>
                <w:rFonts w:ascii="Arial" w:cs="Arial" w:eastAsia="Arial" w:hAnsi="Arial"/>
                <w:sz w:val="16"/>
                <w:szCs w:val="16"/>
                <w:color w:val="auto"/>
                <w:shd w:val="clear" w:color="auto" w:fill="CCEEFF"/>
              </w:rPr>
              <w:t>IT Datacenter and Technical</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25,000</w:t>
            </w:r>
          </w:p>
        </w:tc>
        <w:tc>
          <w:tcPr>
            <w:tcW w:w="2520" w:type="dxa"/>
            <w:vAlign w:val="bottom"/>
            <w:vMerge w:val="restart"/>
            <w:shd w:val="clear" w:color="auto" w:fill="CCEEFF"/>
          </w:tcPr>
          <w:p>
            <w:pPr>
              <w:jc w:val="center"/>
              <w:ind w:right="97"/>
              <w:spacing w:after="0"/>
              <w:rPr>
                <w:sz w:val="20"/>
                <w:szCs w:val="20"/>
                <w:color w:val="auto"/>
              </w:rPr>
            </w:pPr>
            <w:r>
              <w:rPr>
                <w:rFonts w:ascii="Arial" w:cs="Arial" w:eastAsia="Arial" w:hAnsi="Arial"/>
                <w:sz w:val="16"/>
                <w:szCs w:val="16"/>
                <w:color w:val="auto"/>
                <w:w w:val="98"/>
              </w:rPr>
              <w:t>Owned</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shd w:val="clear" w:color="auto" w:fill="CCEEFF"/>
              </w:rPr>
              <w:t>All</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80" w:type="dxa"/>
            <w:vAlign w:val="bottom"/>
            <w:gridSpan w:val="2"/>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shd w:val="clear" w:color="auto" w:fill="CCEEFF"/>
              </w:rPr>
              <w:t>Solutions Headquarters</w:t>
            </w:r>
          </w:p>
        </w:tc>
        <w:tc>
          <w:tcPr>
            <w:tcW w:w="360" w:type="dxa"/>
            <w:vAlign w:val="bottom"/>
            <w:shd w:val="clear" w:color="auto" w:fill="CCEEFF"/>
          </w:tcPr>
          <w:p>
            <w:pPr>
              <w:spacing w:after="0"/>
              <w:rPr>
                <w:sz w:val="8"/>
                <w:szCs w:val="8"/>
                <w:color w:val="auto"/>
              </w:rPr>
            </w:pPr>
          </w:p>
        </w:tc>
        <w:tc>
          <w:tcPr>
            <w:tcW w:w="2180" w:type="dxa"/>
            <w:vAlign w:val="bottom"/>
            <w:vMerge w:val="continue"/>
            <w:shd w:val="clear" w:color="auto" w:fill="CCEEFF"/>
          </w:tcPr>
          <w:p>
            <w:pPr>
              <w:spacing w:after="0"/>
              <w:rPr>
                <w:sz w:val="8"/>
                <w:szCs w:val="8"/>
                <w:color w:val="auto"/>
              </w:rPr>
            </w:pPr>
          </w:p>
        </w:tc>
        <w:tc>
          <w:tcPr>
            <w:tcW w:w="252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CCEEFF"/>
            </w:tcBorders>
            <w:shd w:val="clear" w:color="auto" w:fill="CCEEFF"/>
          </w:tcPr>
          <w:p>
            <w:pPr>
              <w:spacing w:after="0"/>
              <w:rPr>
                <w:sz w:val="8"/>
                <w:szCs w:val="8"/>
                <w:color w:val="auto"/>
              </w:rPr>
            </w:pPr>
          </w:p>
        </w:tc>
        <w:tc>
          <w:tcPr>
            <w:tcW w:w="160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2180" w:type="dxa"/>
            <w:vAlign w:val="bottom"/>
            <w:tcBorders>
              <w:bottom w:val="single" w:sz="8" w:color="CCEEFF"/>
            </w:tcBorders>
            <w:shd w:val="clear" w:color="auto" w:fill="CCEEFF"/>
          </w:tcPr>
          <w:p>
            <w:pPr>
              <w:spacing w:after="0"/>
              <w:rPr>
                <w:sz w:val="8"/>
                <w:szCs w:val="8"/>
                <w:color w:val="auto"/>
              </w:rPr>
            </w:pPr>
          </w:p>
        </w:tc>
        <w:tc>
          <w:tcPr>
            <w:tcW w:w="252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jc w:val="center"/>
              <w:ind w:left="59"/>
              <w:spacing w:after="0"/>
              <w:rPr>
                <w:sz w:val="20"/>
                <w:szCs w:val="20"/>
                <w:color w:val="auto"/>
              </w:rPr>
            </w:pPr>
            <w:r>
              <w:rPr>
                <w:rFonts w:ascii="Arial" w:cs="Arial" w:eastAsia="Arial" w:hAnsi="Arial"/>
                <w:sz w:val="16"/>
                <w:szCs w:val="16"/>
                <w:color w:val="auto"/>
              </w:rPr>
              <w:t>Atlanta, Georgia</w:t>
            </w:r>
          </w:p>
        </w:tc>
        <w:tc>
          <w:tcPr>
            <w:tcW w:w="48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color w:val="auto"/>
              </w:rPr>
              <w:t>Operations Support</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37,000</w:t>
            </w:r>
          </w:p>
        </w:tc>
        <w:tc>
          <w:tcPr>
            <w:tcW w:w="2520" w:type="dxa"/>
            <w:vAlign w:val="bottom"/>
          </w:tcPr>
          <w:p>
            <w:pPr>
              <w:jc w:val="center"/>
              <w:ind w:right="97"/>
              <w:spacing w:after="0"/>
              <w:rPr>
                <w:sz w:val="20"/>
                <w:szCs w:val="20"/>
                <w:color w:val="auto"/>
              </w:rPr>
            </w:pPr>
            <w:r>
              <w:rPr>
                <w:rFonts w:ascii="Arial" w:cs="Arial" w:eastAsia="Arial" w:hAnsi="Arial"/>
                <w:sz w:val="16"/>
                <w:szCs w:val="16"/>
                <w:color w:val="auto"/>
              </w:rPr>
              <w:t>10/31/2027</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center"/>
              <w:ind w:right="1000"/>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356"/>
              <w:spacing w:after="0"/>
              <w:rPr>
                <w:sz w:val="20"/>
                <w:szCs w:val="20"/>
                <w:color w:val="auto"/>
              </w:rPr>
            </w:pPr>
            <w:r>
              <w:rPr>
                <w:rFonts w:ascii="Arial" w:cs="Arial" w:eastAsia="Arial" w:hAnsi="Arial"/>
                <w:sz w:val="16"/>
                <w:szCs w:val="16"/>
                <w:color w:val="auto"/>
                <w:shd w:val="clear" w:color="auto" w:fill="CCEEFF"/>
              </w:rPr>
              <w:t>Cleveland, Ohio</w:t>
            </w:r>
          </w:p>
        </w:tc>
        <w:tc>
          <w:tcPr>
            <w:tcW w:w="254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shd w:val="clear" w:color="auto" w:fill="CCEEFF"/>
              </w:rPr>
              <w:t>GCA Services Headquarters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32,400</w:t>
            </w:r>
          </w:p>
        </w:tc>
        <w:tc>
          <w:tcPr>
            <w:tcW w:w="2520" w:type="dxa"/>
            <w:vAlign w:val="bottom"/>
            <w:tcBorders>
              <w:bottom w:val="single" w:sz="8" w:color="CCEEFF"/>
            </w:tcBorders>
            <w:shd w:val="clear" w:color="auto" w:fill="CCEEFF"/>
          </w:tcPr>
          <w:p>
            <w:pPr>
              <w:jc w:val="center"/>
              <w:ind w:right="77"/>
              <w:spacing w:after="0"/>
              <w:rPr>
                <w:sz w:val="20"/>
                <w:szCs w:val="20"/>
                <w:color w:val="auto"/>
              </w:rPr>
            </w:pPr>
            <w:r>
              <w:rPr>
                <w:rFonts w:ascii="Arial" w:cs="Arial" w:eastAsia="Arial" w:hAnsi="Arial"/>
                <w:sz w:val="16"/>
                <w:szCs w:val="16"/>
                <w:color w:val="auto"/>
              </w:rPr>
              <w:t>1/31/2024</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center"/>
              <w:ind w:right="560"/>
              <w:spacing w:after="0"/>
              <w:rPr>
                <w:sz w:val="20"/>
                <w:szCs w:val="20"/>
                <w:color w:val="auto"/>
              </w:rPr>
            </w:pPr>
            <w:r>
              <w:rPr>
                <w:rFonts w:ascii="Arial" w:cs="Arial" w:eastAsia="Arial" w:hAnsi="Arial"/>
                <w:sz w:val="16"/>
                <w:szCs w:val="16"/>
                <w:color w:val="auto"/>
                <w:w w:val="99"/>
                <w:shd w:val="clear" w:color="auto" w:fill="CCEEFF"/>
              </w:rPr>
              <w:t>GCA Services</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1600" w:type="dxa"/>
            <w:vAlign w:val="bottom"/>
            <w:vMerge w:val="restart"/>
          </w:tcPr>
          <w:p>
            <w:pPr>
              <w:jc w:val="center"/>
              <w:ind w:right="356"/>
              <w:spacing w:after="0"/>
              <w:rPr>
                <w:sz w:val="20"/>
                <w:szCs w:val="20"/>
                <w:color w:val="auto"/>
              </w:rPr>
            </w:pPr>
            <w:r>
              <w:rPr>
                <w:rFonts w:ascii="Arial" w:cs="Arial" w:eastAsia="Arial" w:hAnsi="Arial"/>
                <w:sz w:val="16"/>
                <w:szCs w:val="16"/>
                <w:color w:val="auto"/>
                <w:w w:val="99"/>
              </w:rPr>
              <w:t>Houston, Texas</w:t>
            </w:r>
          </w:p>
        </w:tc>
        <w:tc>
          <w:tcPr>
            <w:tcW w:w="48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6"/>
                <w:szCs w:val="16"/>
                <w:color w:val="auto"/>
              </w:rPr>
              <w:t>Prior COO Divisional</w:t>
            </w:r>
          </w:p>
        </w:tc>
        <w:tc>
          <w:tcPr>
            <w:tcW w:w="2180" w:type="dxa"/>
            <w:vAlign w:val="bottom"/>
            <w:vMerge w:val="restart"/>
          </w:tcPr>
          <w:p>
            <w:pPr>
              <w:jc w:val="center"/>
              <w:spacing w:after="0"/>
              <w:rPr>
                <w:sz w:val="20"/>
                <w:szCs w:val="20"/>
                <w:color w:val="auto"/>
              </w:rPr>
            </w:pPr>
            <w:r>
              <w:rPr>
                <w:rFonts w:ascii="Arial" w:cs="Arial" w:eastAsia="Arial" w:hAnsi="Arial"/>
                <w:sz w:val="16"/>
                <w:szCs w:val="16"/>
                <w:color w:val="auto"/>
                <w:w w:val="98"/>
              </w:rPr>
              <w:t>11,000</w:t>
            </w:r>
          </w:p>
        </w:tc>
        <w:tc>
          <w:tcPr>
            <w:tcW w:w="2520" w:type="dxa"/>
            <w:vAlign w:val="bottom"/>
            <w:vMerge w:val="restart"/>
          </w:tcPr>
          <w:p>
            <w:pPr>
              <w:jc w:val="center"/>
              <w:ind w:right="77"/>
              <w:spacing w:after="0"/>
              <w:rPr>
                <w:sz w:val="20"/>
                <w:szCs w:val="20"/>
                <w:color w:val="auto"/>
              </w:rPr>
            </w:pPr>
            <w:r>
              <w:rPr>
                <w:rFonts w:ascii="Arial" w:cs="Arial" w:eastAsia="Arial" w:hAnsi="Arial"/>
                <w:sz w:val="16"/>
                <w:szCs w:val="16"/>
                <w:color w:val="auto"/>
              </w:rPr>
              <w:t>8/31/2018</w:t>
            </w:r>
          </w:p>
        </w:tc>
        <w:tc>
          <w:tcPr>
            <w:tcW w:w="400" w:type="dxa"/>
            <w:vAlign w:val="bottom"/>
          </w:tcPr>
          <w:p>
            <w:pPr>
              <w:spacing w:after="0"/>
              <w:rPr>
                <w:sz w:val="18"/>
                <w:szCs w:val="18"/>
                <w:color w:val="auto"/>
              </w:rPr>
            </w:pPr>
          </w:p>
        </w:tc>
        <w:tc>
          <w:tcPr>
            <w:tcW w:w="1600" w:type="dxa"/>
            <w:vAlign w:val="bottom"/>
            <w:gridSpan w:val="3"/>
            <w:vMerge w:val="restart"/>
          </w:tcPr>
          <w:p>
            <w:pPr>
              <w:jc w:val="center"/>
              <w:ind w:right="560"/>
              <w:spacing w:after="0"/>
              <w:rPr>
                <w:sz w:val="20"/>
                <w:szCs w:val="20"/>
                <w:color w:val="auto"/>
              </w:rPr>
            </w:pPr>
            <w:r>
              <w:rPr>
                <w:rFonts w:ascii="Arial" w:cs="Arial" w:eastAsia="Arial" w:hAnsi="Arial"/>
                <w:sz w:val="16"/>
                <w:szCs w:val="16"/>
                <w:color w:val="auto"/>
              </w:rPr>
              <w:t>B&amp;I</w:t>
            </w: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060" w:type="dxa"/>
            <w:vAlign w:val="bottom"/>
            <w:gridSpan w:val="2"/>
            <w:vMerge w:val="restart"/>
          </w:tcPr>
          <w:p>
            <w:pPr>
              <w:jc w:val="center"/>
              <w:ind w:right="360"/>
              <w:spacing w:after="0"/>
              <w:rPr>
                <w:sz w:val="20"/>
                <w:szCs w:val="20"/>
                <w:color w:val="auto"/>
              </w:rPr>
            </w:pPr>
            <w:r>
              <w:rPr>
                <w:rFonts w:ascii="Arial" w:cs="Arial" w:eastAsia="Arial" w:hAnsi="Arial"/>
                <w:sz w:val="16"/>
                <w:szCs w:val="16"/>
                <w:color w:val="auto"/>
              </w:rPr>
              <w:t>Headquarters</w:t>
            </w:r>
          </w:p>
        </w:tc>
        <w:tc>
          <w:tcPr>
            <w:tcW w:w="2180" w:type="dxa"/>
            <w:vAlign w:val="bottom"/>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1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1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New York, New York</w:t>
            </w:r>
          </w:p>
        </w:tc>
        <w:tc>
          <w:tcPr>
            <w:tcW w:w="2540" w:type="dxa"/>
            <w:vAlign w:val="bottom"/>
            <w:tcBorders>
              <w:bottom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6"/>
                <w:szCs w:val="16"/>
                <w:color w:val="auto"/>
              </w:rPr>
              <w:t>Corporate Headquarters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44,000</w:t>
            </w:r>
          </w:p>
        </w:tc>
        <w:tc>
          <w:tcPr>
            <w:tcW w:w="2520" w:type="dxa"/>
            <w:vAlign w:val="bottom"/>
            <w:tcBorders>
              <w:bottom w:val="single" w:sz="8" w:color="CCEEFF"/>
            </w:tcBorders>
            <w:shd w:val="clear" w:color="auto" w:fill="CCEEFF"/>
          </w:tcPr>
          <w:p>
            <w:pPr>
              <w:jc w:val="center"/>
              <w:ind w:right="97"/>
              <w:spacing w:after="0"/>
              <w:rPr>
                <w:sz w:val="20"/>
                <w:szCs w:val="20"/>
                <w:color w:val="auto"/>
              </w:rPr>
            </w:pPr>
            <w:r>
              <w:rPr>
                <w:rFonts w:ascii="Arial" w:cs="Arial" w:eastAsia="Arial" w:hAnsi="Arial"/>
                <w:sz w:val="16"/>
                <w:szCs w:val="16"/>
                <w:color w:val="auto"/>
                <w:w w:val="99"/>
              </w:rPr>
              <w:t>1/3/2032</w:t>
            </w:r>
          </w:p>
        </w:tc>
        <w:tc>
          <w:tcPr>
            <w:tcW w:w="200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6"/>
                <w:szCs w:val="16"/>
                <w:color w:val="auto"/>
              </w:rPr>
              <w:t>Corporate, B&amp;I</w:t>
            </w:r>
          </w:p>
        </w:tc>
        <w:tc>
          <w:tcPr>
            <w:tcW w:w="0" w:type="dxa"/>
            <w:vAlign w:val="bottom"/>
          </w:tcPr>
          <w:p>
            <w:pPr>
              <w:spacing w:after="0"/>
              <w:rPr>
                <w:sz w:val="1"/>
                <w:szCs w:val="1"/>
                <w:color w:val="auto"/>
              </w:rPr>
            </w:pPr>
          </w:p>
        </w:tc>
      </w:tr>
      <w:tr>
        <w:trPr>
          <w:trHeight w:val="237"/>
        </w:trPr>
        <w:tc>
          <w:tcPr>
            <w:tcW w:w="2180" w:type="dxa"/>
            <w:vAlign w:val="bottom"/>
            <w:gridSpan w:val="2"/>
          </w:tcPr>
          <w:p>
            <w:pPr>
              <w:jc w:val="center"/>
              <w:ind w:left="59"/>
              <w:spacing w:after="0"/>
              <w:rPr>
                <w:sz w:val="20"/>
                <w:szCs w:val="20"/>
                <w:color w:val="auto"/>
              </w:rPr>
            </w:pPr>
            <w:r>
              <w:rPr>
                <w:rFonts w:ascii="Arial" w:cs="Arial" w:eastAsia="Arial" w:hAnsi="Arial"/>
                <w:sz w:val="16"/>
                <w:szCs w:val="16"/>
                <w:color w:val="auto"/>
              </w:rPr>
              <w:t>Sugar Land, Texas</w:t>
            </w:r>
          </w:p>
        </w:tc>
        <w:tc>
          <w:tcPr>
            <w:tcW w:w="48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color w:val="auto"/>
              </w:rPr>
              <w:t>Enterprise Services</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62,500</w:t>
            </w:r>
          </w:p>
        </w:tc>
        <w:tc>
          <w:tcPr>
            <w:tcW w:w="2520" w:type="dxa"/>
            <w:vAlign w:val="bottom"/>
          </w:tcPr>
          <w:p>
            <w:pPr>
              <w:jc w:val="center"/>
              <w:ind w:right="77"/>
              <w:spacing w:after="0"/>
              <w:rPr>
                <w:sz w:val="20"/>
                <w:szCs w:val="20"/>
                <w:color w:val="auto"/>
              </w:rPr>
            </w:pPr>
            <w:r>
              <w:rPr>
                <w:rFonts w:ascii="Arial" w:cs="Arial" w:eastAsia="Arial" w:hAnsi="Arial"/>
                <w:sz w:val="16"/>
                <w:szCs w:val="16"/>
                <w:color w:val="auto"/>
              </w:rPr>
              <w:t>3/31/2028</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center"/>
              <w:ind w:right="1000"/>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properties, we have other offices, warehouses, and parking facilities in various locations, primarily 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properties are well maintained, in good operating condition, and suitable for the purposes for which they are used.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34"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et al. v. American Commercial Security Services, filed July 12, 2005, in the Superior Court of California, Los Angeles County (the “Augustus case”)</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was a certified class action involving violations of certain California state laws relating to rest breaks. The case centered on whether requiring security guards to remain on call during rest breaks violated Section 226.7 of the California Labor Code. On July 31, 2012, the Superior Court of California, Los Angeles County (the “Superior Court”), entered summary judgment in favor of plaintiffs in the amount of approximately $89.7 million (the “common fund”). Subsequently, the Superior Court also awarded plaintiffs’ attorneys’ fees of approximately $4.5 million in addition to approximately 30% of the common fund. Under California law, post-judgment interest on a judgment accrues at a rate of 10% simple interest per year from the date the judgment is entered until it is satisfied.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The plaintiffs filed a petition for review with the California Supreme Court on March 4, 2015, and on April 29, 2015, the California Supreme Court granted the plaintiffs’ petition. On December 22, 2016, the California Supreme Court rendered its decision, holding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jc w:val="both"/>
        <w:ind w:right="20"/>
        <w:spacing w:after="0" w:line="262" w:lineRule="auto"/>
        <w:rPr>
          <w:sz w:val="20"/>
          <w:szCs w:val="20"/>
          <w:color w:val="auto"/>
        </w:rPr>
      </w:pPr>
      <w:r>
        <w:rPr>
          <w:rFonts w:ascii="Arial" w:cs="Arial" w:eastAsia="Arial" w:hAnsi="Arial"/>
          <w:sz w:val="18"/>
          <w:szCs w:val="18"/>
          <w:color w:val="auto"/>
        </w:rPr>
        <w:t>that on-call and on-duty rest breaks are prohibited by California law, and reversed the Appeals Court judgment on this issue. The amount of post-judgment interest as of December 22, 2016 was approximately $41.2 million.</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On February 6, 2017, ABM Security Services, Inc., a wholly-owned subsidiary of ABM Industries Incorporated, entered into a Class Action Settlement and Release with plaintiffs Jennifer Augustus, Delores Hall, Emanuel Davis, and Carlton Anthony Waite, on behalf of themselves and the settlement class members, to settle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on a class-wide basis for $110.0 million (the “Augustus Settlement Agreement”). On March 17, 2017, the Augustus Settlement Agreement was amended to address certain procedural matters, and it received final approval of the Superior Court on July 6, 2017. The Augustus Settlement Agreement called for two payments of $55.0 million each. The first payment was made on July 19, 2017, and the second payment, plus an additional payment of $4.8 million for payroll taxes, was made on August 29, 2017.</w:t>
      </w:r>
    </w:p>
    <w:p>
      <w:pPr>
        <w:spacing w:after="0" w:line="311"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Karapetyan v. ABM Industries Incorporated and ABM Security Services, Inc., et al., filed on October 23, 2015, pending in the United States District Court for the Central District of California (the “Karapetyan case”)</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was a putative class action in which the plaintiff sought to represent a class of security guards who worked during time periods subsequent to the class period in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The plaintiff alleged that ABM violated certain California state laws relating to meal and rest breaks and other wage and hour claims. On April 17, 2017, ABM Industries Incorporated, ABM Security Services, Inc., ABM Onsite Services, Inc., and ABM Onsite Services – West, Inc. entered into a Class Action Settlement and Release with plaintiff Vardan Karapetyan, on behalf of himself and the settlement class members, to settle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on a class-wide basis for $ 5.0 million. The United States District Court for the Central District of California granted final approval of the settlement on September 7, 2017. The full settlement payment in the amount of $5.0 million, plus an additional $0.2 million in payroll taxes, was made on October 13, 2017.</w:t>
      </w:r>
    </w:p>
    <w:p>
      <w:pPr>
        <w:spacing w:after="0" w:line="31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w:t>
      </w:r>
    </w:p>
    <w:p>
      <w:pPr>
        <w:spacing w:after="0" w:line="131" w:lineRule="exact"/>
        <w:rPr>
          <w:sz w:val="20"/>
          <w:szCs w:val="20"/>
          <w:color w:val="auto"/>
        </w:rPr>
      </w:pPr>
    </w:p>
    <w:p>
      <w:pPr>
        <w:ind w:left="660" w:right="100"/>
        <w:spacing w:after="0" w:line="282" w:lineRule="auto"/>
        <w:rPr>
          <w:sz w:val="20"/>
          <w:szCs w:val="20"/>
          <w:color w:val="auto"/>
        </w:rPr>
      </w:pPr>
      <w:r>
        <w:rPr>
          <w:rFonts w:ascii="Arial" w:cs="Arial" w:eastAsia="Arial" w:hAnsi="Arial"/>
          <w:sz w:val="18"/>
          <w:szCs w:val="18"/>
          <w:i w:val="1"/>
          <w:iCs w:val="1"/>
          <w:color w:val="auto"/>
        </w:rPr>
        <w:t>Hussein and Hirsi v. Air Serv Corporation filed on January 20, 2016, pending in the United States District Court for the Western District of Washington at Seattle (the “Hussein case”) and</w:t>
      </w:r>
    </w:p>
    <w:p>
      <w:pPr>
        <w:spacing w:after="0" w:line="10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Isse et al. v. Air Serv Corporation filed on February 7, 2017, pending in the Superior Court of Washington for King County (the “Isse” case)</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13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lawsuits for a combined total of $8.3 million, inclusive of damages, interest, attorneys’ fees, and employer payroll taxes. Eligible employees will be able to participate in either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or </w:t>
      </w:r>
      <w:r>
        <w:rPr>
          <w:rFonts w:ascii="Arial" w:cs="Arial" w:eastAsia="Arial" w:hAnsi="Arial"/>
          <w:sz w:val="18"/>
          <w:szCs w:val="18"/>
          <w:i w:val="1"/>
          <w:iCs w:val="1"/>
          <w:color w:val="auto"/>
        </w:rPr>
        <w:t>Isse</w:t>
      </w:r>
      <w:r>
        <w:rPr>
          <w:rFonts w:ascii="Arial" w:cs="Arial" w:eastAsia="Arial" w:hAnsi="Arial"/>
          <w:sz w:val="18"/>
          <w:szCs w:val="18"/>
          <w:color w:val="auto"/>
        </w:rPr>
        <w:t xml:space="preserve"> settlements, but cannot recover in both settlements. The settlements in both cases will require court approval because of the nature of the claims being released. We are working with our clients to obtain partial or full reimbursement for the settlements.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4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900"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listed on the New York Stock Exchange (NYSE: ABM). The following table sets forth the high and low sales prices of our common stock on the New York Stock Exchange and quarterly cash dividends declared on shares of common stock for the periods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7"/>
              </w:rPr>
              <w:t>Fiscal Quarter</w:t>
            </w: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6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dollars)</w:t>
            </w:r>
          </w:p>
        </w:tc>
        <w:tc>
          <w:tcPr>
            <w:tcW w:w="3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Second</w:t>
            </w:r>
          </w:p>
        </w:tc>
        <w:tc>
          <w:tcPr>
            <w:tcW w:w="5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2017</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44.68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45.12</w:t>
            </w: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Low</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37.12</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0.170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0.170</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 2016</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40.47</w:t>
            </w: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Low</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28.45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36.63</w:t>
            </w:r>
          </w:p>
        </w:tc>
      </w:tr>
      <w:tr>
        <w:trPr>
          <w:trHeight w:val="25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0.165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0.165</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0.165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0.165</w:t>
            </w:r>
          </w:p>
        </w:tc>
      </w:tr>
    </w:tbl>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paid cash dividends every quarter since 1965. Future dividends will be determined based on our earnings, capital requirements, financial condition, and other factors considered relevant by our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8, 2017, there were 3,275 registered holders of our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Performance Graph</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graph compares the five-year cumulative total return for our common stock against the Standard &amp; Poor’s SmallCap 600 Index (“S&amp;P 600”) and the Standard &amp; Poor’s 500 Index (“S&amp;P 500”).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5848985" cy="4013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INDEXED RETURNS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6"/>
        </w:trPr>
        <w:tc>
          <w:tcPr>
            <w:tcW w:w="3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9"/>
              </w:rPr>
              <w:t>Years Ended October 31,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 / Index</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57"/>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245.4</w:t>
            </w:r>
          </w:p>
        </w:tc>
      </w:tr>
      <w:tr>
        <w:trPr>
          <w:trHeight w:val="263"/>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S&amp;P 500 Index</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202.7</w:t>
            </w:r>
          </w:p>
        </w:tc>
      </w:tr>
      <w:tr>
        <w:trPr>
          <w:trHeight w:val="277"/>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S&amp;P SmallCap 600 Index</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212.7</w:t>
            </w: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performance graph shall not be deemed to be “soliciting material” or “filed” with the Securities and Exchange Commission,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Item 8., “Financial Statements and Supplementary Data.” Unless otherwise indicated, all references to years are to our fiscal year, which ends on October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October 31,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r>
      <w:tr>
        <w:trPr>
          <w:trHeight w:val="216"/>
        </w:trPr>
        <w:tc>
          <w:tcPr>
            <w:tcW w:w="58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Statements of Comprehensive Income Data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5,453.6</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5,144.7</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4,897.8</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4,649.7</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4,427.8</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profit</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62.6</w:t>
            </w:r>
          </w:p>
        </w:tc>
      </w:tr>
      <w:tr>
        <w:trPr>
          <w:trHeight w:val="28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net of taxes</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b w:val="1"/>
                <w:bCs w:val="1"/>
                <w:color w:val="auto"/>
              </w:rPr>
              <w:t>Per Share Data</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 per common share — Basic</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80"/>
        </w:trPr>
        <w:tc>
          <w:tcPr>
            <w:tcW w:w="40" w:type="dxa"/>
            <w:vAlign w:val="bottom"/>
            <w:shd w:val="clear" w:color="auto" w:fill="CCEEFF"/>
          </w:tcPr>
          <w:p>
            <w:pPr>
              <w:spacing w:after="0"/>
              <w:rPr>
                <w:sz w:val="24"/>
                <w:szCs w:val="24"/>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income per common share — Diluted</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60"/>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228"/>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Weighted-average common and common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4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equivalent shares outstanding</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60"/>
        </w:trPr>
        <w:tc>
          <w:tcPr>
            <w:tcW w:w="40" w:type="dxa"/>
            <w:vAlign w:val="bottom"/>
          </w:tcPr>
          <w:p>
            <w:pPr>
              <w:spacing w:after="0"/>
              <w:rPr>
                <w:sz w:val="22"/>
                <w:szCs w:val="22"/>
                <w:color w:val="auto"/>
              </w:rPr>
            </w:pPr>
          </w:p>
        </w:tc>
        <w:tc>
          <w:tcPr>
            <w:tcW w:w="578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54.9</w:t>
            </w:r>
          </w:p>
        </w:tc>
      </w:tr>
      <w:tr>
        <w:trPr>
          <w:trHeight w:val="280"/>
        </w:trPr>
        <w:tc>
          <w:tcPr>
            <w:tcW w:w="40" w:type="dxa"/>
            <w:vAlign w:val="bottom"/>
            <w:shd w:val="clear" w:color="auto" w:fill="CCEEFF"/>
          </w:tcPr>
          <w:p>
            <w:pPr>
              <w:spacing w:after="0"/>
              <w:rPr>
                <w:sz w:val="24"/>
                <w:szCs w:val="24"/>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0.680</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0.660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0.640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0.620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0.600</w:t>
            </w:r>
          </w:p>
        </w:tc>
      </w:tr>
      <w:tr>
        <w:trPr>
          <w:trHeight w:val="28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Statements of Cash Flow Data</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125.2</w:t>
            </w:r>
          </w:p>
        </w:tc>
      </w:tr>
      <w:tr>
        <w:trPr>
          <w:trHeight w:val="28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Cash paid for income taxes, net of refunds received</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0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At October 31,</w:t>
            </w: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230"/>
        </w:trPr>
        <w:tc>
          <w:tcPr>
            <w:tcW w:w="58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3,812.6</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2,278.8</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   2,130.7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2,176.5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2,106.2</w:t>
            </w:r>
          </w:p>
        </w:tc>
      </w:tr>
      <w:tr>
        <w:trPr>
          <w:trHeight w:val="28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Trade accounts receivable, net of allowances</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803.7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633.5</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1,864.2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912.8</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867.5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822.5</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 of accumulated amortization</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Long-term debt, net</w:t>
            </w:r>
            <w:r>
              <w:rPr>
                <w:rFonts w:ascii="Arial" w:cs="Arial" w:eastAsia="Arial" w:hAnsi="Arial"/>
                <w:sz w:val="21"/>
                <w:szCs w:val="21"/>
                <w:color w:val="auto"/>
                <w:vertAlign w:val="superscript"/>
              </w:rPr>
              <w:t>(8)</w:t>
            </w:r>
          </w:p>
        </w:tc>
        <w:tc>
          <w:tcPr>
            <w:tcW w:w="2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1,161.3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268.3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314.9</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Insurance claims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358.0</w:t>
            </w:r>
          </w:p>
        </w:tc>
      </w:tr>
    </w:tbl>
    <w:p>
      <w:pPr>
        <w:spacing w:after="0" w:line="164" w:lineRule="exact"/>
        <w:rPr>
          <w:sz w:val="20"/>
          <w:szCs w:val="20"/>
          <w:color w:val="auto"/>
        </w:rPr>
      </w:pPr>
    </w:p>
    <w:p>
      <w:pPr>
        <w:ind w:left="60" w:firstLine="2"/>
        <w:spacing w:after="0" w:line="210" w:lineRule="auto"/>
        <w:tabs>
          <w:tab w:leader="none" w:pos="261"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Revenues in 2017 included $208.1 million associated with acquisitions, including $169.7 million related to the September 1, 2017 acquisition of GCA Services Group (“GCA”).</w:t>
      </w:r>
    </w:p>
    <w:p>
      <w:pPr>
        <w:spacing w:after="0" w:line="134" w:lineRule="exact"/>
        <w:rPr>
          <w:rFonts w:ascii="Arial" w:cs="Arial" w:eastAsia="Arial" w:hAnsi="Arial"/>
          <w:sz w:val="22"/>
          <w:szCs w:val="22"/>
          <w:color w:val="auto"/>
          <w:vertAlign w:val="superscript"/>
        </w:rPr>
      </w:pPr>
    </w:p>
    <w:p>
      <w:pPr>
        <w:ind w:left="220" w:hanging="158"/>
        <w:spacing w:after="0"/>
        <w:tabs>
          <w:tab w:leader="none" w:pos="22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Factors affecting comparability of operating profit consisted of the following:</w:t>
      </w:r>
    </w:p>
    <w:p>
      <w:pPr>
        <w:spacing w:after="0" w:line="156" w:lineRule="exact"/>
        <w:rPr>
          <w:rFonts w:ascii="Arial" w:cs="Arial" w:eastAsia="Arial" w:hAnsi="Arial"/>
          <w:sz w:val="19"/>
          <w:szCs w:val="19"/>
          <w:color w:val="auto"/>
          <w:vertAlign w:val="superscript"/>
        </w:rPr>
      </w:pPr>
    </w:p>
    <w:p>
      <w:pPr>
        <w:ind w:left="1220" w:hanging="888"/>
        <w:spacing w:after="0" w:line="251" w:lineRule="auto"/>
        <w:tabs>
          <w:tab w:leader="none" w:pos="653"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Operating profit in 2017 was positively impacted by a $17.4 million impairment recovery related to our Government Services business, a $10.9 million lower self-insurance adjustment related to prior year claims, a reduction in restructuring and related expenses, and procurement and organizational savings from our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initiatives. Operating profit in 2017 was unfavorably impacted by $24.2 million of transaction expenses related to the GCA acquisition.</w:t>
      </w:r>
    </w:p>
    <w:p>
      <w:pPr>
        <w:spacing w:after="0" w:line="148"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Operating profit in 2016 was negatively impacted by insurance expense of $49.6 million, consisting of a $32.9 million unfavorable self-insurance adjustment related to prior year claims and $16.7 million of higher insurance expense due to an increase in the rate used to record our insurance reserves during 2016. Operating profit was also unfavorably impacted by $29.0 million of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restructuring and related charges and a $22.5 million impairment charge for the Government Services business, consisting of both goodwill and long-lived asset charges. Operating profit in 2016 was favorably impacted by approximately $22 million in savings from our </w:t>
      </w:r>
      <w:r>
        <w:rPr>
          <w:rFonts w:ascii="Arial" w:cs="Arial" w:eastAsia="Arial" w:hAnsi="Arial"/>
          <w:sz w:val="16"/>
          <w:szCs w:val="16"/>
          <w:b w:val="1"/>
          <w:bCs w:val="1"/>
          <w:color w:val="FF9900"/>
        </w:rPr>
        <w:t>2020</w:t>
      </w:r>
      <w:r>
        <w:rPr>
          <w:rFonts w:ascii="Arial" w:cs="Arial" w:eastAsia="Arial" w:hAnsi="Arial"/>
          <w:sz w:val="16"/>
          <w:szCs w:val="16"/>
          <w:color w:val="auto"/>
        </w:rPr>
        <w:t xml:space="preserve"> </w:t>
      </w:r>
      <w:r>
        <w:rPr>
          <w:rFonts w:ascii="Arial" w:cs="Arial" w:eastAsia="Arial" w:hAnsi="Arial"/>
          <w:sz w:val="16"/>
          <w:szCs w:val="16"/>
          <w:b w:val="1"/>
          <w:bCs w:val="1"/>
          <w:color w:val="0070C0"/>
        </w:rPr>
        <w:t>Vision</w:t>
      </w:r>
      <w:r>
        <w:rPr>
          <w:rFonts w:ascii="Arial" w:cs="Arial" w:eastAsia="Arial" w:hAnsi="Arial"/>
          <w:sz w:val="16"/>
          <w:szCs w:val="16"/>
          <w:color w:val="auto"/>
        </w:rPr>
        <w:t xml:space="preserve"> initiatives.</w:t>
      </w:r>
    </w:p>
    <w:p>
      <w:pPr>
        <w:sectPr>
          <w:pgSz w:w="11900" w:h="16838" w:orient="portrait"/>
          <w:cols w:equalWidth="0" w:num="1">
            <w:col w:w="11420"/>
          </w:cols>
          <w:pgMar w:left="240" w:top="522" w:right="2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22" w:right="239" w:bottom="1440" w:gutter="0" w:footer="0" w:header="0"/>
          <w:type w:val="continuous"/>
        </w:sectPr>
      </w:pPr>
    </w:p>
    <w:bookmarkStart w:id="21" w:name="page22"/>
    <w:bookmarkEnd w:id="21"/>
    <w:p>
      <w:pPr>
        <w:ind w:left="600" w:hanging="328"/>
        <w:spacing w:after="0"/>
        <w:tabs>
          <w:tab w:leader="none" w:pos="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profit in 2015 was negatively impacted by a $35.9 million unfavorable self-insurance adjustment related to prior year claims.</w:t>
      </w:r>
    </w:p>
    <w:p>
      <w:pPr>
        <w:spacing w:after="0" w:line="167" w:lineRule="exact"/>
        <w:rPr>
          <w:rFonts w:ascii="Arial" w:cs="Arial" w:eastAsia="Arial" w:hAnsi="Arial"/>
          <w:sz w:val="16"/>
          <w:szCs w:val="16"/>
          <w:color w:val="auto"/>
        </w:rPr>
      </w:pPr>
    </w:p>
    <w:p>
      <w:pPr>
        <w:ind w:firstLine="2"/>
        <w:spacing w:after="0" w:line="235" w:lineRule="auto"/>
        <w:tabs>
          <w:tab w:leader="none" w:pos="162"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Loss from discontinued operations in 2017 included $120.0 million of settlements related to the Augustus and Karapetyan cases associated with the former Security business. Income from discontinued operations for 2015 reflected the $14.4 million after-tax gain on the sale of the Security business.</w:t>
      </w:r>
    </w:p>
    <w:p>
      <w:pPr>
        <w:spacing w:after="0" w:line="157" w:lineRule="exact"/>
        <w:rPr>
          <w:rFonts w:ascii="Arial" w:cs="Arial" w:eastAsia="Arial" w:hAnsi="Arial"/>
          <w:sz w:val="19"/>
          <w:szCs w:val="19"/>
          <w:color w:val="auto"/>
          <w:vertAlign w:val="superscript"/>
        </w:rPr>
      </w:pPr>
    </w:p>
    <w:p>
      <w:pPr>
        <w:jc w:val="both"/>
        <w:ind w:firstLine="2"/>
        <w:spacing w:after="0" w:line="234" w:lineRule="auto"/>
        <w:tabs>
          <w:tab w:leader="none" w:pos="181"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Cash paid for income taxes was lower by approximately $10 million for both 2017 and 2016 and $20 million during 2015 due to cash tax savings related to coverage provided by IFM Assurance Company, our wholly-owned captive insurance company. During 2014, cash paid for income taxes increased as certain tax assets were substantially utilized.</w:t>
      </w:r>
    </w:p>
    <w:p>
      <w:pPr>
        <w:spacing w:after="0" w:line="133" w:lineRule="exact"/>
        <w:rPr>
          <w:rFonts w:ascii="Arial" w:cs="Arial" w:eastAsia="Arial" w:hAnsi="Arial"/>
          <w:sz w:val="21"/>
          <w:szCs w:val="21"/>
          <w:color w:val="auto"/>
          <w:vertAlign w:val="superscript"/>
        </w:rPr>
      </w:pPr>
    </w:p>
    <w:p>
      <w:pPr>
        <w:ind w:left="160" w:hanging="158"/>
        <w:spacing w:after="0"/>
        <w:tabs>
          <w:tab w:leader="none" w:pos="16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Trade accounts receivable, net of allowances, increased by $118.1 million on September 1, 2017 as a result of the GCA acquisition.</w:t>
      </w:r>
    </w:p>
    <w:p>
      <w:pPr>
        <w:spacing w:after="0" w:line="156" w:lineRule="exact"/>
        <w:rPr>
          <w:rFonts w:ascii="Arial" w:cs="Arial" w:eastAsia="Arial" w:hAnsi="Arial"/>
          <w:sz w:val="19"/>
          <w:szCs w:val="19"/>
          <w:color w:val="auto"/>
          <w:vertAlign w:val="superscript"/>
        </w:rPr>
      </w:pPr>
    </w:p>
    <w:p>
      <w:pPr>
        <w:ind w:firstLine="2"/>
        <w:spacing w:after="0" w:line="210" w:lineRule="auto"/>
        <w:tabs>
          <w:tab w:leader="none" w:pos="197"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Goodwill increased by $933.9 million on September 1, 2017 as a result of the GCA acquisition and by $53.8 million on December 1, 2015 due to the acquisition of Westway Services Holdings (2014) Ltd. (“Westway”).</w:t>
      </w:r>
    </w:p>
    <w:p>
      <w:pPr>
        <w:spacing w:after="0" w:line="111" w:lineRule="exact"/>
        <w:rPr>
          <w:rFonts w:ascii="Arial" w:cs="Arial" w:eastAsia="Arial" w:hAnsi="Arial"/>
          <w:sz w:val="22"/>
          <w:szCs w:val="22"/>
          <w:color w:val="auto"/>
          <w:vertAlign w:val="superscript"/>
        </w:rPr>
      </w:pPr>
    </w:p>
    <w:p>
      <w:pPr>
        <w:ind w:left="180" w:hanging="178"/>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Other intangible assets, net of accumulated amortization, increased by $349.0 million on September 1, 2017 as a result of the GCA acquisition.</w:t>
      </w:r>
    </w:p>
    <w:p>
      <w:pPr>
        <w:spacing w:after="0" w:line="156" w:lineRule="exact"/>
        <w:rPr>
          <w:rFonts w:ascii="Arial" w:cs="Arial" w:eastAsia="Arial" w:hAnsi="Arial"/>
          <w:sz w:val="21"/>
          <w:szCs w:val="21"/>
          <w:color w:val="auto"/>
          <w:vertAlign w:val="superscript"/>
        </w:rPr>
      </w:pPr>
    </w:p>
    <w:p>
      <w:pPr>
        <w:ind w:firstLine="2"/>
        <w:spacing w:after="0" w:line="235" w:lineRule="auto"/>
        <w:tabs>
          <w:tab w:leader="none" w:pos="15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On September 1, 2017, we refinanced and replaced our existing $800.0 million credit facility with a new secured $1.7 billion credit facility, which we used to partially fund the GCA acquisition. During 2015, we used the cash proceeds from the sale of the Security business to pay down a portion of our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300" w:top="54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consolidated financial statements and the accompanying notes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Our future results and financial condition may be materially different from those we currently anticipate.</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Throughout the MD&amp;A, amounts and percentages may not recalculate due to rounding. In addition, we have revised our prior period segment information to reflect ABM’s reorganization and a related reclassification of certain Corporate expenses. Concurrent with the reorganization, we recategorized certain expenses that were historically included in operating expenses to selling, general and administrative expenses. Unless otherwise indicated, all information in the MD&amp;A and references to years are based on our fiscal year, which ends on October 31.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three phases: During Phase 1, which we completed on November 1, 2016, we realigned our organization; in Phase 2, which is continuing today, we are focused on improvements to our operational framework to promote efficiencies and process enhancements; and in Phase 3, on the foundation of benefits realized from Phases 1 and 2, we anticipate accelerating growth with our industry-based, go-to-market service model.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Industry Realignment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848985" cy="866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Consistent Excellence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2017, we conducted a thorough evaluation of our field operations across the country to identify best practices (The “</w:t>
      </w:r>
      <w:r>
        <w:rPr>
          <w:rFonts w:ascii="Arial" w:cs="Arial" w:eastAsia="Arial" w:hAnsi="Arial"/>
          <w:sz w:val="18"/>
          <w:szCs w:val="18"/>
          <w:b w:val="1"/>
          <w:bCs w:val="1"/>
          <w:color w:val="0070C0"/>
        </w:rPr>
        <w:t>ABM</w:t>
      </w:r>
      <w:r>
        <w:rPr>
          <w:rFonts w:ascii="Arial" w:cs="Arial" w:eastAsia="Arial" w:hAnsi="Arial"/>
          <w:sz w:val="18"/>
          <w:szCs w:val="18"/>
          <w:color w:val="auto"/>
        </w:rPr>
        <w:t xml:space="preserve"> </w:t>
      </w:r>
      <w:r>
        <w:rPr>
          <w:rFonts w:ascii="Arial" w:cs="Arial" w:eastAsia="Arial" w:hAnsi="Arial"/>
          <w:sz w:val="18"/>
          <w:szCs w:val="18"/>
          <w:b w:val="1"/>
          <w:bCs w:val="1"/>
          <w:color w:val="FF9900"/>
        </w:rPr>
        <w:t>Way</w:t>
      </w:r>
      <w:r>
        <w:rPr>
          <w:rFonts w:ascii="Arial" w:cs="Arial" w:eastAsia="Arial" w:hAnsi="Arial"/>
          <w:sz w:val="18"/>
          <w:szCs w:val="18"/>
          <w:color w:val="auto"/>
        </w:rPr>
        <w:t xml:space="preserve">”) in account planning, labor management, manager development, and safety and risk management. As a result of this site-by-site review, we began to codify best practices, and throughout our company we are piloting </w:t>
      </w:r>
      <w:r>
        <w:rPr>
          <w:rFonts w:ascii="Arial" w:cs="Arial" w:eastAsia="Arial" w:hAnsi="Arial"/>
          <w:sz w:val="18"/>
          <w:szCs w:val="18"/>
          <w:b w:val="1"/>
          <w:bCs w:val="1"/>
          <w:color w:val="0070C0"/>
        </w:rPr>
        <w:t>ABM</w:t>
      </w:r>
      <w:r>
        <w:rPr>
          <w:rFonts w:ascii="Arial" w:cs="Arial" w:eastAsia="Arial" w:hAnsi="Arial"/>
          <w:sz w:val="18"/>
          <w:szCs w:val="18"/>
          <w:color w:val="auto"/>
        </w:rPr>
        <w:t xml:space="preserve"> </w:t>
      </w:r>
      <w:r>
        <w:rPr>
          <w:rFonts w:ascii="Arial" w:cs="Arial" w:eastAsia="Arial" w:hAnsi="Arial"/>
          <w:sz w:val="18"/>
          <w:szCs w:val="18"/>
          <w:b w:val="1"/>
          <w:bCs w:val="1"/>
          <w:color w:val="FF9900"/>
        </w:rPr>
        <w:t>Way</w:t>
      </w:r>
      <w:r>
        <w:rPr>
          <w:rFonts w:ascii="Arial" w:cs="Arial" w:eastAsia="Arial" w:hAnsi="Arial"/>
          <w:sz w:val="18"/>
          <w:szCs w:val="18"/>
          <w:color w:val="auto"/>
        </w:rPr>
        <w:t xml:space="preserve"> procedures, including initiating team cleaning and instituting a daily moment of safety. We also continue to make investments in technology platforms to help drive and sustain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Cost Optimization</w:t>
      </w:r>
    </w:p>
    <w:p>
      <w:pPr>
        <w:spacing w:after="0" w:line="18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are migrating more of our back office functions to our Enterprise Services Center in Sugar Land, Texas and are continuing to consolidate our procurement activities. Our procurement initiatives resulted in savings of $10.0 million during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One of the key underpinnings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is the investment in people and the development of key personnel. Our Talent Development Group has improved front line leadership training initiatives, began the centralization of talent acquisition for staff and management, and completed a full talent assessment program identifying emerging leaders throughout the Company. By prioritizing these initiatives, we believe we are building a stronger organization that will enable us to be a leader in industry-based facility solutions.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and Beyond</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We will continue to roll out The </w:t>
      </w:r>
      <w:r>
        <w:rPr>
          <w:rFonts w:ascii="Arial" w:cs="Arial" w:eastAsia="Arial" w:hAnsi="Arial"/>
          <w:sz w:val="18"/>
          <w:szCs w:val="18"/>
          <w:b w:val="1"/>
          <w:bCs w:val="1"/>
          <w:color w:val="0070C0"/>
        </w:rPr>
        <w:t>ABM</w:t>
      </w:r>
      <w:r>
        <w:rPr>
          <w:rFonts w:ascii="Arial" w:cs="Arial" w:eastAsia="Arial" w:hAnsi="Arial"/>
          <w:sz w:val="18"/>
          <w:szCs w:val="18"/>
          <w:color w:val="auto"/>
        </w:rPr>
        <w:t xml:space="preserve"> </w:t>
      </w:r>
      <w:r>
        <w:rPr>
          <w:rFonts w:ascii="Arial" w:cs="Arial" w:eastAsia="Arial" w:hAnsi="Arial"/>
          <w:sz w:val="18"/>
          <w:szCs w:val="18"/>
          <w:b w:val="1"/>
          <w:bCs w:val="1"/>
          <w:color w:val="FF9900"/>
        </w:rPr>
        <w:t>Way</w:t>
      </w:r>
      <w:r>
        <w:rPr>
          <w:rFonts w:ascii="Arial" w:cs="Arial" w:eastAsia="Arial" w:hAnsi="Arial"/>
          <w:sz w:val="18"/>
          <w:szCs w:val="18"/>
          <w:color w:val="auto"/>
        </w:rPr>
        <w:t xml:space="preserve"> procedures we began to identify in 2017. In addition, we are in the process of creating a standardized sales culture, focusing on driving long term, profitable sales and effective cross-selling processes. We expect The </w:t>
      </w:r>
      <w:r>
        <w:rPr>
          <w:rFonts w:ascii="Arial" w:cs="Arial" w:eastAsia="Arial" w:hAnsi="Arial"/>
          <w:sz w:val="18"/>
          <w:szCs w:val="18"/>
          <w:b w:val="1"/>
          <w:bCs w:val="1"/>
          <w:color w:val="0070C0"/>
        </w:rPr>
        <w:t>ABM</w:t>
      </w:r>
      <w:r>
        <w:rPr>
          <w:rFonts w:ascii="Arial" w:cs="Arial" w:eastAsia="Arial" w:hAnsi="Arial"/>
          <w:sz w:val="18"/>
          <w:szCs w:val="18"/>
          <w:color w:val="auto"/>
        </w:rPr>
        <w:t xml:space="preserve"> </w:t>
      </w:r>
      <w:r>
        <w:rPr>
          <w:rFonts w:ascii="Arial" w:cs="Arial" w:eastAsia="Arial" w:hAnsi="Arial"/>
          <w:sz w:val="18"/>
          <w:szCs w:val="18"/>
          <w:b w:val="1"/>
          <w:bCs w:val="1"/>
          <w:color w:val="FF9900"/>
        </w:rPr>
        <w:t>Way</w:t>
      </w:r>
      <w:r>
        <w:rPr>
          <w:rFonts w:ascii="Arial" w:cs="Arial" w:eastAsia="Arial" w:hAnsi="Arial"/>
          <w:sz w:val="18"/>
          <w:szCs w:val="18"/>
          <w:color w:val="auto"/>
        </w:rPr>
        <w:t xml:space="preserve"> and our new sales organization will build the foundation upon which we can profitably deliver leading industry-based facility solutions.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and Trends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GCA Services Group</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1, 2017, we acquired GCA Services Group (“GCA”), a provider of integrated facility services to educational institutions and commercial facilities, for approximately $1.3 billion, consisting of $839.9 million in cash and approximately 9.4 million shares of ABM common stock with a fair value of $421.3 million at closing, which amounts exclude shares withheld for taxes.</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expect this acquisition to be transformative and to accelerate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GCA’s client-centric goals and philosophies align closely with those of ABM. As a result of this acquisition, the revenue within our Education industry group is expected to increase from $250 million to approximately $850 million annually. We also estimate a $500 million increase in annual revenue within our other industry groups, including Business &amp; Industry and High Tech. We further anticipate opportunities to cross-sell the services of our Technical Solutions business to GCA’s existing educational base. We expect this acquisition will strengthen all of our industry groups and, in particular, position our Education industry group as a leader in this market segment.</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Due to the timing of the acquisition and integration of GCA’s standalone operations into our industry groups, GCA was separately managed and reported in 2017. Among other changes, once we integrate GCA into our industry group model in 2018, we anticipate our Education industry group will become a reportable segment. We also expect to present a new Technology &amp; Manufacturing reportable segment, that will combine our High Tech industry group and the legacy GCA and ABM Industrial &amp; Manufacturing (“I&amp;M”) businesses. ABM’s legacy I&amp;M business was included in the B&amp;I segment.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cost synergies relating to the GCA acquisition of approximately $20–$30 million annually within two years. In connection with the acquisition, we expect to incur one-time transaction and integration related expenses of approximately $70 million, which includes approximately $19 million of financing costs that are being amortized over the term of the new credit facility. We will also incur higher interest expense as a result of an increased level of debt and higher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95885</wp:posOffset>
            </wp:positionV>
            <wp:extent cx="1612265" cy="1003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Government Services Business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held-for-sale classification of the Government Services business in 2016, we wrote down goodwill and long-lived assets of this business by $22.5 million to reflect our best estimate of fair value less costs to sell, using all information available at that time. During the second quarter of 2017, we received an offer from a strategic buyer to purchase this business for approximately $35.0 million, which was higher than our previous estimate of fair value less costs to sell. As a result, we recorded a $17.4 million impairment recovery to adjust the fair value of certain previously impaired assets to the valuation of the assets as implied by the agreed-upon sales price, less estimated costs to sell. On May 31, 2017, we sold this business for $35.5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On July 6, 2017, ABM Security Services, Inc., a wholly-owned subsidiary of ABM Industries Incorporated, entered into a Class Action Settlement and Release to settle the </w:t>
      </w:r>
      <w:r>
        <w:rPr>
          <w:rFonts w:ascii="Arial" w:cs="Arial" w:eastAsia="Arial" w:hAnsi="Arial"/>
          <w:sz w:val="18"/>
          <w:szCs w:val="18"/>
          <w:i w:val="1"/>
          <w:iCs w:val="1"/>
          <w:color w:val="auto"/>
        </w:rPr>
        <w:t>Consolidated Cases of Augustus, Hall, and Davis, et al. v. American Commercial Security Services</w:t>
      </w:r>
      <w:r>
        <w:rPr>
          <w:rFonts w:ascii="Arial" w:cs="Arial" w:eastAsia="Arial" w:hAnsi="Arial"/>
          <w:sz w:val="18"/>
          <w:szCs w:val="18"/>
          <w:color w:val="auto"/>
        </w:rPr>
        <w:t>, on a class-wide basis for $110.0 million, as approved by the Superior Court of California, Los Angeles County. The first payment of $55.0 million was made on July 19, 2017, and the second payment of $55.0 million, plus an additional payment of $4.8 million for payroll taxes, was made on August 29, 2017, both of which were funded from operating cash flows and borrowings under our credit facility.</w:t>
      </w:r>
    </w:p>
    <w:p>
      <w:pPr>
        <w:spacing w:after="0" w:line="3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connection with </w:t>
      </w:r>
      <w:r>
        <w:rPr>
          <w:rFonts w:ascii="Arial" w:cs="Arial" w:eastAsia="Arial" w:hAnsi="Arial"/>
          <w:sz w:val="18"/>
          <w:szCs w:val="18"/>
          <w:i w:val="1"/>
          <w:iCs w:val="1"/>
          <w:color w:val="auto"/>
        </w:rPr>
        <w:t>Karapetyan v. ABM Industries Incorporated and ABM Security Services,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we entered into a Class Action Settlement and Release with plaintiff Vardan Karapetyan, on behalf of himself and the settlement class members, to settle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on a class-wide basis for $ 5.0 million. The United States District Court for the Central District of California granted final approval of the settlement on September 7, 2017. The full settlement payment in the amount of $5.0 million, plus an additional $0.2 million in payroll taxes, was made on October 13, 2017.</w:t>
      </w:r>
    </w:p>
    <w:p>
      <w:pPr>
        <w:spacing w:after="0" w:line="3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these settlements were related to the former Security business, the amounts are reflected in discontinued operations throughout this MD&amp;A. These settlements are tax deductible and will result in an estimated $50 million in cash tax savings, the majority of which we expect to receive in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2017, we performed actuarial studies of our casualty insurance programs that considered changes in claim developments and claim payment activity for the period commencing May 1, 2016 and ending April 30, 2017 for all policy years in which open claims existed. Based on the results of these studies, which included analyzing recent loss development patterns, comparing the loss development patterns against benchmarks, and applying actuarial projection methods to estimate the ultimate losses, we increased our total reserves for known claims as well as our estimate of the loss amounts associated with claims incurred but not reported (“IBNR Claims”) for years prior to 2017 by $22.0 million during 2017. This adjustment was $10.9 million lower than the total adjustment related to prior year claims of $32.9 million in 2016.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Restructuring and Related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connection with the execution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originally anticipated total pre-tax restructuring and related charges would range from $45 million to $60 million. Additional costs were incurred, mainly related to additional use of external advisors for initial pricing and furthering of procurement efforts to enhance and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As a result, our total pre-tax restructuring and related charges were slightly higher than the range we originally estimated.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expenses in the future.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 October 31,</w:t>
            </w: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2"/>
        </w:trPr>
        <w:tc>
          <w:tcPr>
            <w:tcW w:w="37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50"/>
        </w:trPr>
        <w:tc>
          <w:tcPr>
            <w:tcW w:w="3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External Support Fees</w:t>
            </w:r>
          </w:p>
        </w:tc>
        <w:tc>
          <w:tcPr>
            <w:tcW w:w="37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6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Employee Severance</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3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Project Fees</w:t>
            </w:r>
          </w:p>
        </w:tc>
        <w:tc>
          <w:tcPr>
            <w:tcW w:w="3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6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Lease Exit</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7"/>
        </w:trPr>
        <w:tc>
          <w:tcPr>
            <w:tcW w:w="3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w:t>
            </w:r>
          </w:p>
        </w:tc>
        <w:tc>
          <w:tcPr>
            <w:tcW w:w="324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4"/>
        </w:trPr>
        <w:tc>
          <w:tcPr>
            <w:tcW w:w="37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37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62.5</w:t>
            </w:r>
          </w:p>
        </w:tc>
      </w:tr>
      <w:tr>
        <w:trPr>
          <w:trHeight w:val="62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40" w:type="dxa"/>
            <w:vAlign w:val="bottom"/>
          </w:tcPr>
          <w:p>
            <w:pPr>
              <w:jc w:val="right"/>
              <w:ind w:right="1050"/>
              <w:spacing w:after="0"/>
              <w:rPr>
                <w:sz w:val="20"/>
                <w:szCs w:val="20"/>
                <w:color w:val="auto"/>
              </w:rPr>
            </w:pPr>
            <w:r>
              <w:rPr>
                <w:rFonts w:ascii="Arial" w:cs="Arial" w:eastAsia="Arial" w:hAnsi="Arial"/>
                <w:sz w:val="18"/>
                <w:szCs w:val="18"/>
                <w:color w:val="auto"/>
              </w:rPr>
              <w:t>22</w:t>
            </w:r>
          </w:p>
        </w:tc>
        <w:tc>
          <w:tcPr>
            <w:tcW w:w="5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United States Tax Reform</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of 2017 was approved by Congress on December 20, 2017, and as of the filing of this report, it is awaiting signature by President Donald J. Trump. The law includes significant changes to the U.S. corporate income tax system, including a Federal corporate rate reduction from 35% to 21%, limitations on the deductibility of interest expense and executive compensation, and the transition of U.S. international taxation from a worldwide tax system to a territorial tax system. This change may result in a U.S. tax liability on those earnings which have not previously been repatriated to the U.S., with future foreign earnings potentially not subject to U.S. income taxes when repatriated. The majority of the provisions will have an impact on ABM beginning in fiscal years 2018 and 2019. We are in the process of analyzing the final legislation and determining an estimate of the financial impact.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Highlights</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increased by $308.9 million, or 6.0%, during 2017, as compared to 2016. Organic revenue increased 2.0%.</w:t>
      </w:r>
    </w:p>
    <w:p>
      <w:pPr>
        <w:spacing w:after="0" w:line="17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Operating profit increased by $47.2 million, or 86.2%, during 2017, as compared to 2016. The increase in operating profit is primarily attributable to the impairment recovery related to our Government Services business, a lower self-insurance adjustment, a reduction in restructuring and related expenses, and procurement and 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increase was partially offset by a contract termination within our Aviation business and $24.2 million of transaction expenses related to the GCA acquisition.</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$101.7 million during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Dividends of $39.5 million were paid to shareholders, and dividends totaling $0.680 per common share were declared during 2017.</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October 31, 2017, total outstanding borrowings under our credit facility were $1.2 billion, and we had up to $350.8 million of borrowing capacity under our line of credit, subject to covenant restrictions that may limit the amount we can borrow.</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Year Ended October 31, 2017 Compared with the Year Ended October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3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5,453.6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5,144.7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308.9</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6.0%</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4,881.2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4,603.4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277.8</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6.0%</w:t>
            </w: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4"/>
                <w:szCs w:val="14"/>
                <w:i w:val="1"/>
                <w:iCs w:val="1"/>
                <w:color w:val="auto"/>
              </w:rPr>
              <w:t>—</w:t>
            </w:r>
          </w:p>
        </w:tc>
        <w:tc>
          <w:tcPr>
            <w:tcW w:w="1360" w:type="dxa"/>
            <w:vAlign w:val="bottom"/>
            <w:shd w:val="clear" w:color="auto" w:fill="CCEEFF"/>
          </w:tcPr>
          <w:p>
            <w:pPr>
              <w:spacing w:after="0"/>
              <w:rPr>
                <w:sz w:val="24"/>
                <w:szCs w:val="24"/>
                <w:color w:val="auto"/>
              </w:rPr>
            </w:pP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6.5%</w:t>
            </w: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related expenses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(28.1)%</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26.5%</w:t>
            </w: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Impairment (recovery) loss</w:t>
            </w: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86.2%</w:t>
            </w: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(44.6)%</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36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w w:val="99"/>
              </w:rPr>
              <w:t>(84.3)%</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67.3%</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Income tax (provision) benefit</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36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25.3%</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Loss from discontinued operations, net of taxes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36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(93.3)%</w:t>
            </w:r>
          </w:p>
        </w:tc>
      </w:tr>
      <w:tr>
        <w:trPr>
          <w:trHeight w:val="254"/>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 net of taxes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36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(50.5)%</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increased by $308.9 million, or 6.0%, during 2017, as compared to 2016. The increase in revenues was primarily attributable to $ 208.1 million of incremental revenues from acquisitions, including GCA, and organic growth of $121.0 million in Aviation and $38.5 million in Business &amp; Industry (“B&amp;I”). This increase was partially offset by the sale of our Government Services business on May 31, 2017, the loss of certain contracts in our Emerging Industries Group, and the completion of a large energy savings performance contract (“ESPC”).</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expenses increased by $277.8 million, or 6.0%, during 2017, as compared to 2016. Gross margin remained flat at 10.5% in 2017 and 2016. Gross margin was positively impacted by a lower self-insurance adjustment related to prior year claims and savings from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color w:val="000000"/>
        </w:rPr>
        <w:t>initiatives. However, gross margin was negatively impacted by a contract termination within our Aviation business and the loss of a</w:t>
      </w:r>
      <w:r>
        <w:rPr>
          <w:rFonts w:ascii="Arial" w:cs="Arial" w:eastAsia="Arial" w:hAnsi="Arial"/>
          <w:sz w:val="18"/>
          <w:szCs w:val="18"/>
          <w:b w:val="1"/>
          <w:bCs w:val="1"/>
          <w:color w:val="FF9900"/>
        </w:rPr>
        <w:t xml:space="preserve"> </w:t>
      </w:r>
      <w:r>
        <w:rPr>
          <w:rFonts w:ascii="Arial" w:cs="Arial" w:eastAsia="Arial" w:hAnsi="Arial"/>
          <w:sz w:val="18"/>
          <w:szCs w:val="18"/>
          <w:color w:val="000000"/>
        </w:rPr>
        <w:t>multi-location janitorial account in our Emerging Industries Group.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$26.5 million, or 6.5%, during 2017, as compared to 2016.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$24.2 million of transaction expenses related to the GCA acquisition;</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 $8.1 million increase in costs associated with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technology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2" w:right="239" w:bottom="1440" w:gutter="0" w:footer="0" w:header="0"/>
        </w:sectPr>
      </w:pPr>
    </w:p>
    <w:bookmarkStart w:id="27" w:name="page28"/>
    <w:bookmarkEnd w:id="27"/>
    <w:p>
      <w:pPr>
        <w:ind w:left="660" w:right="20" w:hanging="328"/>
        <w:spacing w:after="0" w:line="28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$5.8 million of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which was reduced by a reversal of certain expenses related to incentive plans;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$4.1 million of incremental selling, general and administrative expenses related to the GCA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$2.3 million increase in legal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right="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$8.8 million reduction in bad debt expense primarily associated with the absence of specific reserves for certain client receivables that were recorded in 2016;</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$3.2 million reimbursement during 2017 of previously expensed fees associated with a concluded internal investigation into a foreign entity formerly affiliated with a joint venture;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$2.7 million decrease in sales tax reserve compared with the sales tax reserve in 2016; and</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Restructuring and related costs decreased by $8.1 million, or 28.1%, during 2017, as compared to 2016,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 and related employee severance in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Recovery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 In connection with the sale, we recorded a pre-tax gain of approximately $1.2 million, which is reflected as part of impairment (recovery) loss in the results of operations table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Interest expense increased by $8.8 million, or 84.3%, during 2017, as compared to 2016, primarily related to increased borrowings and higher relative interest rates under our new credit facility to fund the GCA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2017, we had an income tax provision of $8.8 million, compared with an income tax benefit of $10.4 million in the prior year. In 2017 we benefited from $17.8 million related to expiring statutes of limitations for an uncertain tax position, compared with $20.8 million in 2016. The 2017 period also benefited from $3.6 million of excess tax benefits related to the vesting of share-based compensation awards and $1.9 million of tax credits for energy efficient government buildings, compared with $2.2 million and $1.2 million in 2016, respectively. Additionally, in 2016 we benefited from Work Opportunity Tax Credits (“WOTC”) of $5.1 million from the retroactive reinstatement of the WOTC for calendar year 2015. Both periods benefited from in-year WOTC.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 Net of Taxes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 xml:space="preserve">Loss from discontinued operations, net of taxes was $74.3 million during 2017 related to a legal reserve established in connection with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settlement agreements. Refer to </w:t>
      </w:r>
      <w:r>
        <w:rPr>
          <w:rFonts w:ascii="Arial" w:cs="Arial" w:eastAsia="Arial" w:hAnsi="Arial"/>
          <w:sz w:val="18"/>
          <w:szCs w:val="18"/>
          <w:i w:val="1"/>
          <w:iCs w:val="1"/>
          <w:color w:val="auto"/>
        </w:rPr>
        <w:t>“</w:t>
      </w:r>
      <w:r>
        <w:rPr>
          <w:rFonts w:ascii="Arial" w:cs="Arial" w:eastAsia="Arial" w:hAnsi="Arial"/>
          <w:sz w:val="18"/>
          <w:szCs w:val="18"/>
          <w:color w:val="auto"/>
        </w:rPr>
        <w:t>Developments and Trends—Legal,” above, for additional details.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9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2017 we recognized as a component of our comprehensive income a foreign currency translation gain of $9.7 million compared with a loss of $26.3 million during 2016. This change was related to the U.S. Dollar (“USD”) weakening against the Great Britain Pound (“GBP”) during 2017. Future gains and losses on foreign currency translation will be dependent upon changes in the relative value of foreign currencies to the USD and the extent of our foreign assets and liabilities.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reportable segments consist of B&amp;I, Aviation, Emerging Industries Group, Technical Solutions, and the newly acquired GCA Services. As the Government Services business has been sold and is no longer part of our ongoing operations, we have excluded a discussion of its 2017 results in this report. We have also excluded a discussion of the GCA Services segment based on the timing of the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0" w:type="dxa"/>
            <w:vAlign w:val="bottom"/>
            <w:gridSpan w:val="10"/>
          </w:tcPr>
          <w:p>
            <w:pPr>
              <w:ind w:left="80"/>
              <w:spacing w:after="0"/>
              <w:rPr>
                <w:sz w:val="20"/>
                <w:szCs w:val="20"/>
                <w:color w:val="auto"/>
              </w:rPr>
            </w:pPr>
            <w:r>
              <w:rPr>
                <w:rFonts w:ascii="Arial" w:cs="Arial" w:eastAsia="Arial" w:hAnsi="Arial"/>
                <w:sz w:val="16"/>
                <w:szCs w:val="16"/>
                <w:b w:val="1"/>
                <w:bCs w:val="1"/>
                <w:color w:val="auto"/>
              </w:rPr>
              <w:t>Years Ended October 31,</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gridSpan w:val="3"/>
          </w:tcPr>
          <w:p>
            <w:pPr>
              <w:ind w:left="220"/>
              <w:spacing w:after="0"/>
              <w:rPr>
                <w:sz w:val="20"/>
                <w:szCs w:val="20"/>
                <w:color w:val="auto"/>
              </w:rPr>
            </w:pPr>
            <w:r>
              <w:rPr>
                <w:rFonts w:ascii="Arial" w:cs="Arial" w:eastAsia="Arial" w:hAnsi="Arial"/>
                <w:sz w:val="16"/>
                <w:szCs w:val="16"/>
                <w:b w:val="1"/>
                <w:bCs w:val="1"/>
                <w:color w:val="auto"/>
              </w:rPr>
              <w:t>Increase / (Decrease)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2,992.5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4"/>
          </w:tcPr>
          <w:p>
            <w:pPr>
              <w:jc w:val="right"/>
              <w:ind w:right="139"/>
              <w:spacing w:after="0"/>
              <w:rPr>
                <w:sz w:val="20"/>
                <w:szCs w:val="20"/>
                <w:color w:val="auto"/>
              </w:rPr>
            </w:pPr>
            <w:r>
              <w:rPr>
                <w:rFonts w:ascii="Arial" w:cs="Arial" w:eastAsia="Arial" w:hAnsi="Arial"/>
                <w:sz w:val="16"/>
                <w:szCs w:val="16"/>
                <w:color w:val="auto"/>
              </w:rPr>
              <w:t>2,949.1</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400" w:type="dxa"/>
            <w:vAlign w:val="bottom"/>
          </w:tcPr>
          <w:p>
            <w:pPr>
              <w:spacing w:after="0"/>
              <w:rPr>
                <w:sz w:val="22"/>
                <w:szCs w:val="22"/>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w w:val="98"/>
              </w:rPr>
              <w:t>1.5%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988.1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851.8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136.3</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ind w:right="198"/>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777.1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3"/>
          </w:tcPr>
          <w:p>
            <w:pPr>
              <w:jc w:val="right"/>
              <w:ind w:right="139"/>
              <w:spacing w:after="0"/>
              <w:rPr>
                <w:sz w:val="20"/>
                <w:szCs w:val="20"/>
                <w:color w:val="auto"/>
              </w:rPr>
            </w:pPr>
            <w:r>
              <w:rPr>
                <w:rFonts w:ascii="Arial" w:cs="Arial" w:eastAsia="Arial" w:hAnsi="Arial"/>
                <w:sz w:val="16"/>
                <w:szCs w:val="16"/>
                <w:color w:val="auto"/>
              </w:rPr>
              <w:t>801.9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w:t>
            </w:r>
          </w:p>
        </w:tc>
        <w:tc>
          <w:tcPr>
            <w:tcW w:w="400" w:type="dxa"/>
            <w:vAlign w:val="bottom"/>
          </w:tcPr>
          <w:p>
            <w:pPr>
              <w:spacing w:after="0"/>
              <w:rPr>
                <w:sz w:val="22"/>
                <w:szCs w:val="22"/>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439.6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425.3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ind w:right="218"/>
              <w:spacing w:after="0"/>
              <w:rPr>
                <w:sz w:val="20"/>
                <w:szCs w:val="20"/>
                <w:color w:val="auto"/>
              </w:rPr>
            </w:pPr>
            <w:r>
              <w:rPr>
                <w:rFonts w:ascii="Arial" w:cs="Arial" w:eastAsia="Arial" w:hAnsi="Arial"/>
                <w:sz w:val="16"/>
                <w:szCs w:val="16"/>
                <w:color w:val="auto"/>
                <w:w w:val="98"/>
              </w:rPr>
              <w:t>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GCA Services</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169.7</w:t>
            </w:r>
          </w:p>
        </w:tc>
        <w:tc>
          <w:tcPr>
            <w:tcW w:w="400" w:type="dxa"/>
            <w:vAlign w:val="bottom"/>
          </w:tcPr>
          <w:p>
            <w:pPr>
              <w:spacing w:after="0"/>
              <w:rPr>
                <w:sz w:val="22"/>
                <w:szCs w:val="22"/>
                <w:color w:val="auto"/>
              </w:rPr>
            </w:pPr>
          </w:p>
        </w:tc>
        <w:tc>
          <w:tcPr>
            <w:tcW w:w="1060" w:type="dxa"/>
            <w:vAlign w:val="bottom"/>
          </w:tcPr>
          <w:p>
            <w:pPr>
              <w:ind w:left="22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ind w:right="218"/>
              <w:spacing w:after="0"/>
              <w:rPr>
                <w:sz w:val="20"/>
                <w:szCs w:val="20"/>
                <w:color w:val="auto"/>
              </w:rPr>
            </w:pPr>
            <w:r>
              <w:rPr>
                <w:rFonts w:ascii="Arial" w:cs="Arial" w:eastAsia="Arial" w:hAnsi="Arial"/>
                <w:sz w:val="16"/>
                <w:szCs w:val="16"/>
                <w:color w:val="auto"/>
                <w:w w:val="99"/>
              </w:rPr>
              <w:t>(25.8)%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5,453.6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4"/>
          </w:tcPr>
          <w:p>
            <w:pPr>
              <w:jc w:val="right"/>
              <w:ind w:right="139"/>
              <w:spacing w:after="0"/>
              <w:rPr>
                <w:sz w:val="20"/>
                <w:szCs w:val="20"/>
                <w:color w:val="auto"/>
              </w:rPr>
            </w:pPr>
            <w:r>
              <w:rPr>
                <w:rFonts w:ascii="Arial" w:cs="Arial" w:eastAsia="Arial" w:hAnsi="Arial"/>
                <w:sz w:val="16"/>
                <w:szCs w:val="16"/>
                <w:color w:val="auto"/>
              </w:rPr>
              <w:t>5,144.7</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308.9</w:t>
            </w:r>
          </w:p>
        </w:tc>
        <w:tc>
          <w:tcPr>
            <w:tcW w:w="400" w:type="dxa"/>
            <w:vAlign w:val="bottom"/>
          </w:tcPr>
          <w:p>
            <w:pPr>
              <w:spacing w:after="0"/>
              <w:rPr>
                <w:sz w:val="24"/>
                <w:szCs w:val="24"/>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w w:val="98"/>
              </w:rPr>
              <w:t>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1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80" w:type="dxa"/>
            <w:vAlign w:val="bottom"/>
            <w:gridSpan w:val="3"/>
          </w:tcPr>
          <w:p>
            <w:pPr>
              <w:jc w:val="right"/>
              <w:ind w:right="1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400" w:type="dxa"/>
            <w:vAlign w:val="bottom"/>
          </w:tcPr>
          <w:p>
            <w:pPr>
              <w:spacing w:after="0"/>
              <w:rPr>
                <w:sz w:val="22"/>
                <w:szCs w:val="22"/>
                <w:color w:val="auto"/>
              </w:rPr>
            </w:pPr>
          </w:p>
        </w:tc>
        <w:tc>
          <w:tcPr>
            <w:tcW w:w="1060" w:type="dxa"/>
            <w:vAlign w:val="bottom"/>
          </w:tcPr>
          <w:p>
            <w:pPr>
              <w:jc w:val="center"/>
              <w:ind w:right="198"/>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i w:val="1"/>
                <w:iCs w:val="1"/>
                <w:color w:val="auto"/>
              </w:rPr>
              <w:t>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i w:val="1"/>
                <w:iCs w:val="1"/>
                <w:color w:val="auto"/>
              </w:rPr>
              <w:t>56 bps</w:t>
            </w:r>
          </w:p>
        </w:tc>
        <w:tc>
          <w:tcPr>
            <w:tcW w:w="106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3"/>
          </w:tcPr>
          <w:p>
            <w:pPr>
              <w:jc w:val="right"/>
              <w:ind w:right="1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22"/>
                <w:szCs w:val="22"/>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w w:val="98"/>
              </w:rPr>
              <w:t>3.8%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i w:val="1"/>
                <w:iCs w:val="1"/>
                <w:color w:val="auto"/>
              </w:rPr>
              <w:t>(34) bps</w:t>
            </w:r>
          </w:p>
        </w:tc>
        <w:tc>
          <w:tcPr>
            <w:tcW w:w="106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3"/>
          </w:tcPr>
          <w:p>
            <w:pPr>
              <w:jc w:val="right"/>
              <w:ind w:right="13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w:t>
            </w:r>
          </w:p>
        </w:tc>
        <w:tc>
          <w:tcPr>
            <w:tcW w:w="400" w:type="dxa"/>
            <w:vAlign w:val="bottom"/>
          </w:tcPr>
          <w:p>
            <w:pPr>
              <w:spacing w:after="0"/>
              <w:rPr>
                <w:sz w:val="22"/>
                <w:szCs w:val="22"/>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w w:val="99"/>
              </w:rPr>
              <w:t>(24.9)%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i w:val="1"/>
                <w:iCs w:val="1"/>
                <w:color w:val="auto"/>
              </w:rPr>
              <w:t>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i w:val="1"/>
                <w:iCs w:val="1"/>
                <w:color w:val="auto"/>
              </w:rPr>
              <w:t>(171) bps</w:t>
            </w:r>
          </w:p>
        </w:tc>
        <w:tc>
          <w:tcPr>
            <w:tcW w:w="106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3"/>
          </w:tcPr>
          <w:p>
            <w:pPr>
              <w:jc w:val="right"/>
              <w:ind w:right="1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22"/>
                <w:szCs w:val="22"/>
                <w:color w:val="auto"/>
              </w:rPr>
            </w:pPr>
          </w:p>
        </w:tc>
        <w:tc>
          <w:tcPr>
            <w:tcW w:w="1060" w:type="dxa"/>
            <w:vAlign w:val="bottom"/>
          </w:tcPr>
          <w:p>
            <w:pPr>
              <w:jc w:val="center"/>
              <w:ind w:right="198"/>
              <w:spacing w:after="0"/>
              <w:rPr>
                <w:sz w:val="20"/>
                <w:szCs w:val="20"/>
                <w:color w:val="auto"/>
              </w:rPr>
            </w:pPr>
            <w:r>
              <w:rPr>
                <w:rFonts w:ascii="Arial" w:cs="Arial" w:eastAsia="Arial" w:hAnsi="Arial"/>
                <w:sz w:val="16"/>
                <w:szCs w:val="16"/>
                <w:color w:val="auto"/>
              </w:rPr>
              <w:t>34.8%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i w:val="1"/>
                <w:iCs w:val="1"/>
                <w:color w:val="auto"/>
              </w:rPr>
              <w:t>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i w:val="1"/>
                <w:iCs w:val="1"/>
                <w:color w:val="auto"/>
              </w:rPr>
              <w:t>207 bps</w:t>
            </w:r>
          </w:p>
        </w:tc>
        <w:tc>
          <w:tcPr>
            <w:tcW w:w="106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GCA Services</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400" w:type="dxa"/>
            <w:vAlign w:val="bottom"/>
          </w:tcPr>
          <w:p>
            <w:pPr>
              <w:spacing w:after="0"/>
              <w:rPr>
                <w:sz w:val="22"/>
                <w:szCs w:val="22"/>
                <w:color w:val="auto"/>
              </w:rPr>
            </w:pPr>
          </w:p>
        </w:tc>
        <w:tc>
          <w:tcPr>
            <w:tcW w:w="1060" w:type="dxa"/>
            <w:vAlign w:val="bottom"/>
          </w:tcPr>
          <w:p>
            <w:pPr>
              <w:ind w:left="22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NM*</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i w:val="1"/>
                <w:iCs w:val="1"/>
                <w:color w:val="auto"/>
              </w:rPr>
              <w:t>NM*</w:t>
            </w:r>
          </w:p>
        </w:tc>
        <w:tc>
          <w:tcPr>
            <w:tcW w:w="106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3"/>
          </w:tcPr>
          <w:p>
            <w:pPr>
              <w:jc w:val="right"/>
              <w:ind w:right="7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45.2</w:t>
            </w:r>
          </w:p>
        </w:tc>
        <w:tc>
          <w:tcPr>
            <w:tcW w:w="400" w:type="dxa"/>
            <w:vAlign w:val="bottom"/>
          </w:tcPr>
          <w:p>
            <w:pPr>
              <w:spacing w:after="0"/>
              <w:rPr>
                <w:sz w:val="22"/>
                <w:szCs w:val="22"/>
                <w:color w:val="auto"/>
              </w:rPr>
            </w:pPr>
          </w:p>
        </w:tc>
        <w:tc>
          <w:tcPr>
            <w:tcW w:w="1060" w:type="dxa"/>
            <w:vAlign w:val="bottom"/>
          </w:tcPr>
          <w:p>
            <w:pPr>
              <w:ind w:left="22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(loss) margin</w:t>
            </w: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(20.1)%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i w:val="1"/>
                <w:iCs w:val="1"/>
                <w:color w:val="auto"/>
              </w:rPr>
              <w:t>NM*</w:t>
            </w:r>
          </w:p>
        </w:tc>
        <w:tc>
          <w:tcPr>
            <w:tcW w:w="106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gridSpan w:val="3"/>
          </w:tcPr>
          <w:p>
            <w:pPr>
              <w:jc w:val="right"/>
              <w:ind w:right="79"/>
              <w:spacing w:after="0"/>
              <w:rPr>
                <w:sz w:val="20"/>
                <w:szCs w:val="20"/>
                <w:color w:val="auto"/>
              </w:rPr>
            </w:pPr>
            <w:r>
              <w:rPr>
                <w:rFonts w:ascii="Arial" w:cs="Arial" w:eastAsia="Arial" w:hAnsi="Arial"/>
                <w:sz w:val="16"/>
                <w:szCs w:val="16"/>
                <w:color w:val="auto"/>
                <w:w w:val="98"/>
              </w:rPr>
              <w:t>(167.2)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w:t>
            </w:r>
          </w:p>
        </w:tc>
        <w:tc>
          <w:tcPr>
            <w:tcW w:w="400" w:type="dxa"/>
            <w:vAlign w:val="bottom"/>
          </w:tcPr>
          <w:p>
            <w:pPr>
              <w:spacing w:after="0"/>
              <w:rPr>
                <w:sz w:val="22"/>
                <w:szCs w:val="22"/>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w w:val="99"/>
              </w:rPr>
              <w:t>(10.7)%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82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Aviation and Government Services</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98"/>
              <w:spacing w:after="0"/>
              <w:rPr>
                <w:sz w:val="20"/>
                <w:szCs w:val="20"/>
                <w:color w:val="auto"/>
              </w:rPr>
            </w:pPr>
            <w:r>
              <w:rPr>
                <w:rFonts w:ascii="Arial" w:cs="Arial" w:eastAsia="Arial" w:hAnsi="Arial"/>
                <w:sz w:val="16"/>
                <w:szCs w:val="16"/>
                <w:color w:val="auto"/>
              </w:rPr>
              <w:t>37.3%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gridSpan w:val="6"/>
          </w:tcPr>
          <w:p>
            <w:pPr>
              <w:ind w:left="40"/>
              <w:spacing w:after="0"/>
              <w:rPr>
                <w:sz w:val="20"/>
                <w:szCs w:val="20"/>
                <w:color w:val="auto"/>
              </w:rPr>
            </w:pPr>
            <w:r>
              <w:rPr>
                <w:rFonts w:ascii="Arial" w:cs="Arial" w:eastAsia="Arial" w:hAnsi="Arial"/>
                <w:sz w:val="16"/>
                <w:szCs w:val="16"/>
                <w:color w:val="auto"/>
              </w:rPr>
              <w:t>Adjustment for tax credits for energy efficient government buildings,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included in Technical Solutions</w:t>
            </w:r>
          </w:p>
        </w:tc>
        <w:tc>
          <w:tcPr>
            <w:tcW w:w="4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ind w:right="218"/>
              <w:spacing w:after="0"/>
              <w:rPr>
                <w:sz w:val="20"/>
                <w:szCs w:val="20"/>
                <w:color w:val="auto"/>
              </w:rPr>
            </w:pPr>
            <w:r>
              <w:rPr>
                <w:rFonts w:ascii="Arial" w:cs="Arial" w:eastAsia="Arial" w:hAnsi="Arial"/>
                <w:sz w:val="16"/>
                <w:szCs w:val="16"/>
                <w:color w:val="auto"/>
                <w:w w:val="99"/>
              </w:rPr>
              <w:t>(52.9)%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47.2</w:t>
            </w: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right="198"/>
              <w:spacing w:after="0"/>
              <w:rPr>
                <w:sz w:val="20"/>
                <w:szCs w:val="20"/>
                <w:color w:val="auto"/>
              </w:rPr>
            </w:pPr>
            <w:r>
              <w:rPr>
                <w:rFonts w:ascii="Arial" w:cs="Arial" w:eastAsia="Arial" w:hAnsi="Arial"/>
                <w:sz w:val="16"/>
                <w:szCs w:val="16"/>
                <w:color w:val="auto"/>
              </w:rPr>
              <w:t>86.2%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color w:val="auto"/>
              </w:rPr>
              <w:t>* Not meaningful</w:t>
            </w:r>
          </w:p>
        </w:tc>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1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Business &amp; Industry</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right"/>
              <w:ind w:right="497"/>
              <w:spacing w:after="0"/>
              <w:rPr>
                <w:sz w:val="20"/>
                <w:szCs w:val="20"/>
                <w:color w:val="auto"/>
              </w:rPr>
            </w:pPr>
            <w:r>
              <w:rPr>
                <w:rFonts w:ascii="Arial" w:cs="Arial" w:eastAsia="Arial" w:hAnsi="Arial"/>
                <w:sz w:val="18"/>
                <w:szCs w:val="18"/>
                <w:b w:val="1"/>
                <w:bCs w:val="1"/>
                <w:color w:val="auto"/>
              </w:rPr>
              <w:t>Years Ended October 31,</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9"/>
                <w:szCs w:val="19"/>
                <w:color w:val="auto"/>
              </w:rPr>
            </w:pPr>
          </w:p>
        </w:tc>
        <w:tc>
          <w:tcPr>
            <w:tcW w:w="1820" w:type="dxa"/>
            <w:vAlign w:val="bottom"/>
            <w:gridSpan w:val="6"/>
          </w:tcPr>
          <w:p>
            <w:pPr>
              <w:jc w:val="right"/>
              <w:ind w:right="437"/>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ind w:left="540"/>
              <w:spacing w:after="0"/>
              <w:rPr>
                <w:sz w:val="20"/>
                <w:szCs w:val="20"/>
                <w:color w:val="auto"/>
              </w:rPr>
            </w:pPr>
            <w:r>
              <w:rPr>
                <w:rFonts w:ascii="Arial" w:cs="Arial" w:eastAsia="Arial" w:hAnsi="Arial"/>
                <w:sz w:val="18"/>
                <w:szCs w:val="18"/>
                <w:b w:val="1"/>
                <w:bCs w:val="1"/>
                <w:color w:val="auto"/>
              </w:rPr>
              <w:t>Increase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2,992.5</w:t>
            </w:r>
          </w:p>
        </w:tc>
        <w:tc>
          <w:tcPr>
            <w:tcW w:w="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2,949.1</w:t>
            </w:r>
          </w:p>
        </w:tc>
        <w:tc>
          <w:tcPr>
            <w:tcW w:w="680" w:type="dxa"/>
            <w:vAlign w:val="bottom"/>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60"/>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22"/>
                <w:szCs w:val="22"/>
                <w:color w:val="auto"/>
              </w:rPr>
            </w:pPr>
          </w:p>
        </w:tc>
        <w:tc>
          <w:tcPr>
            <w:tcW w:w="1060" w:type="dxa"/>
            <w:vAlign w:val="bottom"/>
          </w:tcPr>
          <w:p>
            <w:pPr>
              <w:jc w:val="right"/>
              <w:ind w:right="298"/>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i w:val="1"/>
                <w:iCs w:val="1"/>
                <w:color w:val="auto"/>
              </w:rPr>
              <w:t>56 bps</w:t>
            </w: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B&amp;I revenues increased by $43.4 million, or 1.5%, during 2017, as compared to 2016. The increase was primarily attributable to new janitorial business, including new contract wins in the U.K. and additional tag revenue, as well as expansion of existing facility services accounts. Management reimbursement revenues for this segment totaled $234.2 million and $227.8 million during 2017 and 2016, respectively.</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profit increased by $18.6 million, or 13.7%, during 2017, as compared to 2016. Operating profit margin increased by 56 bps to 5.1% in 2017 from 4.6% in 2016. The increase in operating profit margin was primarily</w:t>
      </w:r>
    </w:p>
    <w:p>
      <w:pPr>
        <w:sectPr>
          <w:pgSz w:w="11900" w:h="16838" w:orient="portrait"/>
          <w:cols w:equalWidth="0" w:num="1">
            <w:col w:w="11420"/>
          </w:cols>
          <w:pgMar w:left="240" w:top="522"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22" w:right="239" w:bottom="1440" w:gutter="0" w:footer="0" w:header="0"/>
          <w:type w:val="continuous"/>
        </w:sectPr>
      </w:pPr>
    </w:p>
    <w:bookmarkStart w:id="29" w:name="page30"/>
    <w:bookmarkEnd w:id="29"/>
    <w:p>
      <w:pPr>
        <w:jc w:val="both"/>
        <w:spacing w:after="0" w:line="269" w:lineRule="auto"/>
        <w:rPr>
          <w:sz w:val="20"/>
          <w:szCs w:val="20"/>
          <w:color w:val="auto"/>
        </w:rPr>
      </w:pPr>
      <w:r>
        <w:rPr>
          <w:rFonts w:ascii="Arial" w:cs="Arial" w:eastAsia="Arial" w:hAnsi="Arial"/>
          <w:sz w:val="18"/>
          <w:szCs w:val="18"/>
          <w:color w:val="auto"/>
        </w:rPr>
        <w:t xml:space="preserve">associated with higher margin revenues, cost control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lower legal settlement costs. This increase was partially offset by reserves recorded for multiemployer union benefit obligations from previous years and by lower profit margins associated with certain leased location arrangements.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Aviation</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988.1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851.8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136.3</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16.0%</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3.8%</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(34) bps</w:t>
            </w:r>
          </w:p>
        </w:tc>
        <w:tc>
          <w:tcPr>
            <w:tcW w:w="15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Aviation revenues increased by $136.3 million, or 16.0%, during 2017, as compared to 2016. The increase was primarily attributable to organic growth in parking, transportation, passenger services, cabin cleaning, and facility services. Management reimbursement revenues for this segment totaled $80.4 million and $78.2 million during 2017 and 2016, respectively.</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profit increased by $1.1 million, or 3.8%, during 2017, as compared to 2016. Operating profit margin decreased by 34 bps to 2.9% in 2017 from 3.3% in 2016. The decrease in operating profit margin was primarily attributable to a contract termination during 2017 and operational issues in certain geographic markets. This decrease was partially offset by lower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absence of both a penalty imposed by a regulatory agency and a specific reserve established for a client receivable in 2016.</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Emerging Industries Group</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Decrease</w:t>
            </w:r>
          </w:p>
        </w:tc>
        <w:tc>
          <w:tcPr>
            <w:tcW w:w="12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777.1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801.9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(24.8)</w:t>
            </w:r>
          </w:p>
        </w:tc>
        <w:tc>
          <w:tcPr>
            <w:tcW w:w="12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(3.1)%</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514"/>
              <w:spacing w:after="0"/>
              <w:rPr>
                <w:sz w:val="20"/>
                <w:szCs w:val="20"/>
                <w:color w:val="auto"/>
              </w:rPr>
            </w:pPr>
            <w:r>
              <w:rPr>
                <w:rFonts w:ascii="Arial" w:cs="Arial" w:eastAsia="Arial" w:hAnsi="Arial"/>
                <w:sz w:val="18"/>
                <w:szCs w:val="18"/>
                <w:color w:val="auto"/>
              </w:rPr>
              <w:t>(15.1)</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(24.9)%</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74"/>
              <w:spacing w:after="0"/>
              <w:rPr>
                <w:sz w:val="20"/>
                <w:szCs w:val="20"/>
                <w:color w:val="auto"/>
              </w:rPr>
            </w:pPr>
            <w:r>
              <w:rPr>
                <w:rFonts w:ascii="Arial" w:cs="Arial" w:eastAsia="Arial" w:hAnsi="Arial"/>
                <w:sz w:val="14"/>
                <w:szCs w:val="14"/>
                <w:i w:val="1"/>
                <w:iCs w:val="1"/>
                <w:color w:val="auto"/>
              </w:rPr>
              <w:t>(171) bps</w:t>
            </w:r>
          </w:p>
        </w:tc>
        <w:tc>
          <w:tcPr>
            <w:tcW w:w="12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Emerging Industries Group revenues decreased by $24.8 million, or 3.1%, during 2017, as compared to 2016. The decrease was primarily related to the losses of certain High Tech and Education facility services accounts. The decrease in revenues for this segment was partially offset by net new janitorial business in the Healthcare and Education industry groups.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profit decreased by $15.1 million, or 24.9%, during 2017, as compared to 2016. Operating profit margin decreased by 171 bps to 5.9% in 2017 from 7.6% in 2016. The decrease in operating profit margin was primarily attributable to lower contribution margin from certain High Tech contracts, including the loss of a multi-location janitorial account, higher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reserves recorded for multiemployer union benefit obligations from previous years.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Technical Solutions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425.3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14.3</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3.4%</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10.1</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34.8%</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6.8%</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594"/>
              <w:spacing w:after="0"/>
              <w:rPr>
                <w:sz w:val="20"/>
                <w:szCs w:val="20"/>
                <w:color w:val="auto"/>
              </w:rPr>
            </w:pPr>
            <w:r>
              <w:rPr>
                <w:rFonts w:ascii="Arial" w:cs="Arial" w:eastAsia="Arial" w:hAnsi="Arial"/>
                <w:sz w:val="14"/>
                <w:szCs w:val="14"/>
                <w:i w:val="1"/>
                <w:iCs w:val="1"/>
                <w:color w:val="auto"/>
              </w:rPr>
              <w:t>207 bps</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increased by $ 14.3 million, or 3.4%, during 2017, as compared to 2016. The increase was primarily attributable to incremental revenues from acquisitions of $18.1 million and higher project revenues, partially offset by the completion of a large ESPC project.</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increased by $10.1 million, or 34.8%, during 2017, as compared to 2016. Operating profit margin increased by 207 bps to 8.9% in 2017 from 6.8% in 2016. The increase in operating profit margin was primarily attributable to the completion of a relatively lower margin ESPC project that started in 2016, the management of our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2" w:right="239" w:bottom="1440" w:gutter="0" w:footer="0" w:header="0"/>
        </w:sectPr>
      </w:pPr>
    </w:p>
    <w:bookmarkStart w:id="30" w:name="page31"/>
    <w:bookmarkEnd w:id="30"/>
    <w:p>
      <w:pPr>
        <w:spacing w:after="0" w:line="262" w:lineRule="auto"/>
        <w:rPr>
          <w:sz w:val="20"/>
          <w:szCs w:val="20"/>
          <w:color w:val="auto"/>
        </w:rPr>
      </w:pPr>
      <w:r>
        <w:rPr>
          <w:rFonts w:ascii="Arial" w:cs="Arial" w:eastAsia="Arial" w:hAnsi="Arial"/>
          <w:sz w:val="18"/>
          <w:szCs w:val="18"/>
          <w:color w:val="auto"/>
        </w:rPr>
        <w:t>selling, general and administrative expenses, a reduction in bad debt, and higher operational tax credits for energy efficient government building projects.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Corporate</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83"/>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3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Corporate expenses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17.8</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10.7%</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$17.8 million, or 10.7%, during 2017, as compared to 2016. The increase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$24.2 million of transaction expenses related to the GCA acquisition;</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 $8.1 million increase in costs associated with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technology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 $5.8 million increase in other costs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$5.1 million increase in legal settlement costs, including a settlement relating to a case alleging certain minimum wage violations;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increase in legal expenses.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$10.9 million decrease in self-insurance expense related to prior year claims as a result of an actuarial evaluation completed during 2017;</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$7.8 million decrease in restructuring and related costs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1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a $5.2 million specific reserve established during 2016 for a portion of a client receivable that is the subject of ongoing litigation;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$3.2 million reimbursement during 2017 of previously expensed fees associated with a concluded internal investigation into a foreign entity formerly affiliated with a joint venture;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$1.9 million decrease in sales tax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44" w:right="239" w:bottom="1440" w:gutter="0" w:footer="0" w:header="0"/>
        </w:sectPr>
      </w:pPr>
    </w:p>
    <w:bookmarkStart w:id="31" w:name="page32"/>
    <w:bookmarkEnd w:id="31"/>
    <w:p>
      <w:pPr>
        <w:ind w:right="4380"/>
        <w:spacing w:after="0" w:line="475" w:lineRule="auto"/>
        <w:rPr>
          <w:sz w:val="20"/>
          <w:szCs w:val="20"/>
          <w:color w:val="auto"/>
        </w:rPr>
      </w:pPr>
      <w:r>
        <w:rPr>
          <w:rFonts w:ascii="Arial" w:cs="Arial" w:eastAsia="Arial" w:hAnsi="Arial"/>
          <w:sz w:val="18"/>
          <w:szCs w:val="18"/>
          <w:b w:val="1"/>
          <w:bCs w:val="1"/>
          <w:i w:val="1"/>
          <w:iCs w:val="1"/>
          <w:color w:val="auto"/>
        </w:rPr>
        <w:t>The Year Ended October 31, 2016 Compared with the Year Ended October 31, 2015 Consolidated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3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5,144.7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4,897.8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246.9</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5.0%</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4,603.4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4,392.3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211.1</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4.8%</w:t>
            </w:r>
          </w:p>
        </w:tc>
      </w:tr>
      <w:tr>
        <w:trPr>
          <w:trHeight w:val="264"/>
        </w:trPr>
        <w:tc>
          <w:tcPr>
            <w:tcW w:w="40" w:type="dxa"/>
            <w:vAlign w:val="bottom"/>
          </w:tcPr>
          <w:p>
            <w:pPr>
              <w:spacing w:after="0"/>
              <w:rPr>
                <w:sz w:val="22"/>
                <w:szCs w:val="22"/>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i w:val="1"/>
                <w:iCs w:val="1"/>
                <w:color w:val="auto"/>
              </w:rPr>
              <w:t>Gross margin</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4"/>
                <w:szCs w:val="14"/>
                <w:i w:val="1"/>
                <w:iCs w:val="1"/>
                <w:color w:val="auto"/>
              </w:rPr>
              <w:t>20 bps</w:t>
            </w:r>
          </w:p>
        </w:tc>
        <w:tc>
          <w:tcPr>
            <w:tcW w:w="1360" w:type="dxa"/>
            <w:vAlign w:val="bottom"/>
          </w:tcPr>
          <w:p>
            <w:pPr>
              <w:spacing w:after="0"/>
              <w:rPr>
                <w:sz w:val="22"/>
                <w:szCs w:val="22"/>
                <w:color w:val="auto"/>
              </w:rPr>
            </w:pPr>
          </w:p>
        </w:tc>
      </w:tr>
      <w:tr>
        <w:trPr>
          <w:trHeight w:val="276"/>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3.8%</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Restructuring and related expenses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3.1%</w:t>
            </w:r>
          </w:p>
        </w:tc>
      </w:tr>
      <w:tr>
        <w:trPr>
          <w:trHeight w:val="264"/>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Impairment loss</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rPr>
              <w:t>100.0%</w:t>
            </w:r>
          </w:p>
        </w:tc>
      </w:tr>
      <w:tr>
        <w:trPr>
          <w:trHeight w:val="257"/>
        </w:trPr>
        <w:tc>
          <w:tcPr>
            <w:tcW w:w="53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54.7</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73.6</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360" w:type="dxa"/>
            <w:vAlign w:val="bottom"/>
            <w:tcBorders>
              <w:top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(25.6)%</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(15.2)%</w:t>
            </w:r>
          </w:p>
        </w:tc>
      </w:tr>
      <w:tr>
        <w:trPr>
          <w:trHeight w:val="273"/>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(2.3)%</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(28.3)%</w:t>
            </w:r>
          </w:p>
        </w:tc>
      </w:tr>
      <w:tr>
        <w:trPr>
          <w:trHeight w:val="273"/>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15.2%</w:t>
            </w:r>
          </w:p>
        </w:tc>
      </w:tr>
      <w:tr>
        <w:trPr>
          <w:trHeight w:val="28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net of taxes</w:t>
            </w: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r>
      <w:tr>
        <w:trPr>
          <w:trHeight w:val="24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36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w w:val="99"/>
              </w:rPr>
              <w:t>(25.0)%</w:t>
            </w:r>
          </w:p>
        </w:tc>
      </w:tr>
      <w:tr>
        <w:trPr>
          <w:trHeight w:val="270"/>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260" w:type="dxa"/>
            <w:vAlign w:val="bottom"/>
            <w:gridSpan w:val="2"/>
          </w:tcPr>
          <w:p>
            <w:pPr>
              <w:ind w:left="240"/>
              <w:spacing w:after="0"/>
              <w:rPr>
                <w:sz w:val="20"/>
                <w:szCs w:val="20"/>
                <w:color w:val="auto"/>
              </w:rPr>
            </w:pPr>
            <w:r>
              <w:rPr>
                <w:rFonts w:ascii="Arial" w:cs="Arial" w:eastAsia="Arial" w:hAnsi="Arial"/>
                <w:sz w:val="16"/>
                <w:szCs w:val="16"/>
                <w:color w:val="auto"/>
              </w:rPr>
              <w:t>Foreign currency translation</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 of taxes</w:t>
            </w: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89.1%</w:t>
            </w:r>
          </w:p>
        </w:tc>
      </w:tr>
      <w:tr>
        <w:trPr>
          <w:trHeight w:val="234"/>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(58.5)%</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$246.9 million, or 5.0%, during 2016, as compared to 2015. The increase in revenues was attributable to organic growth in Aviation, B&amp;I, Technical Solutions, and Emerging Industries Group and to $101.9 million of incremental revenues from acquisitions. This increase was partially offset by the completion of certain Government Services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expenses increased by $211.1 million, or 4.8%, during 2016, as compared to 2015. Gross margin increased by 20 bps to 10.5% in 2016 from 10.3% in 2015. The increase in gross margin was primarily attributable to higher revenue contribution from our Technical Solutions business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related timing of open positions. This increase was partially offset by higher insurance expense due to an increase in the rate used to record our insurance reserves and one more working day during 2016.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$15.1 million, or 3.8%, during 2016, as compared to 2015.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$12.9 million of incremental selling, general and administrative expenses related to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$10.1 million increase in bad debt expense primarily associated with specific reserves established for client receivables;</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$3.9 million higher outside services costs as a result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$3.3 million increase in sales tax reserve for certain sales tax audits.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increase was partially offset by:</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departures of our former CEO and CFO;</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$4.0 million lower compensation and related expenses primarily related to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and</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$2.4 million decrease in legal fees and settlement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Restructuring and related costs increased by $16.3 million during 2016, as compared to 2015,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a $22.5 million impairment loss during 2016 associated with the Government Services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income taxes for 2016 were favorably impacted by a benefit of $20.8 million related to expiring statutes of limitations for an uncertain tax position, $ 6.7 million of WOTC related to new hires in 2016, $5.1 million of WOTC from the retroactive reinstatement of the WOTC for calendar year 2015, $2.2 million of excess tax benefits related to the vesting of share-based compensation awards, and $1.2 million of tax credits for energy efficient government buildings.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 Net of Taxes</w:t>
      </w:r>
    </w:p>
    <w:p>
      <w:pPr>
        <w:spacing w:after="0" w:line="19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Loss from discontinued operations, net of taxes was $5.1 million in 2016, a deterioration of $27.3 million, as compared to income from discontinued operations, net of taxes of $22.2 million during 2015. We sold our Security business in 2015 and recognized a corresponding gain on the sale. The loss in 2016 was associated with costs related to this disposed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9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2016 we recognized as a component of our comprehensive income a foreign currency translation loss of $ 26.3 million compared with a loss of $2.2 million during 2015. This change was related to the GBP weakening against the USD.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4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8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2,949.1</w:t>
            </w:r>
          </w:p>
        </w:tc>
        <w:tc>
          <w:tcPr>
            <w:tcW w:w="1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2,890.3</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58.8</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2.0%</w:t>
            </w:r>
          </w:p>
        </w:tc>
        <w:tc>
          <w:tcPr>
            <w:tcW w:w="0" w:type="dxa"/>
            <w:vAlign w:val="bottom"/>
          </w:tcPr>
          <w:p>
            <w:pPr>
              <w:spacing w:after="0"/>
              <w:rPr>
                <w:sz w:val="1"/>
                <w:szCs w:val="1"/>
                <w:color w:val="auto"/>
              </w:rPr>
            </w:pPr>
          </w:p>
        </w:tc>
      </w:tr>
      <w:tr>
        <w:trPr>
          <w:trHeight w:val="280"/>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851.8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790.0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61.8</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7.8%</w:t>
            </w:r>
          </w:p>
        </w:tc>
        <w:tc>
          <w:tcPr>
            <w:tcW w:w="0" w:type="dxa"/>
            <w:vAlign w:val="bottom"/>
          </w:tcPr>
          <w:p>
            <w:pPr>
              <w:spacing w:after="0"/>
              <w:rPr>
                <w:sz w:val="1"/>
                <w:szCs w:val="1"/>
                <w:color w:val="auto"/>
              </w:rPr>
            </w:pPr>
          </w:p>
        </w:tc>
      </w:tr>
      <w:tr>
        <w:trPr>
          <w:trHeight w:val="260"/>
        </w:trPr>
        <w:tc>
          <w:tcPr>
            <w:tcW w:w="528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38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801.9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777.0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3.2%</w:t>
            </w:r>
          </w:p>
        </w:tc>
        <w:tc>
          <w:tcPr>
            <w:tcW w:w="0" w:type="dxa"/>
            <w:vAlign w:val="bottom"/>
          </w:tcPr>
          <w:p>
            <w:pPr>
              <w:spacing w:after="0"/>
              <w:rPr>
                <w:sz w:val="1"/>
                <w:szCs w:val="1"/>
                <w:color w:val="auto"/>
              </w:rPr>
            </w:pPr>
          </w:p>
        </w:tc>
      </w:tr>
      <w:tr>
        <w:trPr>
          <w:trHeight w:val="280"/>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425.3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296.9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128.4</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36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w w:val="99"/>
              </w:rPr>
              <w:t>(18.8)%</w:t>
            </w:r>
          </w:p>
        </w:tc>
        <w:tc>
          <w:tcPr>
            <w:tcW w:w="0" w:type="dxa"/>
            <w:vAlign w:val="bottom"/>
          </w:tcPr>
          <w:p>
            <w:pPr>
              <w:spacing w:after="0"/>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5,144.7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4,897.8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246.9</w:t>
            </w:r>
          </w:p>
        </w:tc>
        <w:tc>
          <w:tcPr>
            <w:tcW w:w="136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80" w:type="dxa"/>
            <w:vAlign w:val="bottom"/>
            <w:gridSpan w:val="3"/>
            <w:vMerge w:val="continue"/>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Business &amp; Industry</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135.4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(44)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(39)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Emerging Industries Group</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112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14"/>
                <w:szCs w:val="14"/>
                <w:i w:val="1"/>
                <w:iCs w:val="1"/>
                <w:color w:val="auto"/>
              </w:rPr>
              <w:t>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85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Government Services</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3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(20.1)%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NM*</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8"/>
        </w:trPr>
        <w:tc>
          <w:tcPr>
            <w:tcW w:w="528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24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380" w:type="dxa"/>
            <w:vAlign w:val="bottom"/>
          </w:tcPr>
          <w:p>
            <w:pPr>
              <w:spacing w:after="0"/>
              <w:rPr>
                <w:sz w:val="17"/>
                <w:szCs w:val="17"/>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(28.2)%</w:t>
            </w:r>
          </w:p>
        </w:tc>
        <w:tc>
          <w:tcPr>
            <w:tcW w:w="0" w:type="dxa"/>
            <w:vAlign w:val="bottom"/>
          </w:tcPr>
          <w:p>
            <w:pPr>
              <w:spacing w:after="0"/>
              <w:rPr>
                <w:sz w:val="1"/>
                <w:szCs w:val="1"/>
                <w:color w:val="auto"/>
              </w:rPr>
            </w:pPr>
          </w:p>
        </w:tc>
      </w:tr>
      <w:tr>
        <w:trPr>
          <w:trHeight w:val="228"/>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Adjustment for tax credits for energy efficient government buildings,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included in Technical Solutions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0.8</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(38.2)%</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(25.6)%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gridSpan w:val="3"/>
          </w:tcPr>
          <w:p>
            <w:pPr>
              <w:spacing w:after="0"/>
              <w:rPr>
                <w:sz w:val="20"/>
                <w:szCs w:val="20"/>
                <w:color w:val="auto"/>
              </w:rPr>
            </w:pPr>
            <w:r>
              <w:rPr>
                <w:rFonts w:ascii="Arial" w:cs="Arial" w:eastAsia="Arial" w:hAnsi="Arial"/>
                <w:sz w:val="14"/>
                <w:szCs w:val="14"/>
                <w:color w:val="auto"/>
              </w:rPr>
              <w:t>*Not meaningful</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5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Business &amp; Industry</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2,949.1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2,890.3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58.8</w:t>
            </w:r>
          </w:p>
        </w:tc>
        <w:tc>
          <w:tcPr>
            <w:tcW w:w="14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2.0%</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294"/>
              <w:spacing w:after="0"/>
              <w:rPr>
                <w:sz w:val="20"/>
                <w:szCs w:val="20"/>
                <w:color w:val="auto"/>
              </w:rPr>
            </w:pPr>
            <w:r>
              <w:rPr>
                <w:rFonts w:ascii="Arial" w:cs="Arial" w:eastAsia="Arial" w:hAnsi="Arial"/>
                <w:sz w:val="18"/>
                <w:szCs w:val="18"/>
                <w:color w:val="auto"/>
              </w:rPr>
              <w:t>(10.1)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(6.9)%</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4"/>
                <w:szCs w:val="14"/>
                <w:i w:val="1"/>
                <w:iCs w:val="1"/>
                <w:color w:val="auto"/>
              </w:rPr>
              <w:t>(44) bps</w:t>
            </w:r>
          </w:p>
        </w:tc>
        <w:tc>
          <w:tcPr>
            <w:tcW w:w="14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Business &amp; Industry revenues increased by $58.8 million, or 2.0%, during 2016, as compared to 2015. The increase was primarily attributable to the expansion of existing janitorial accounts, including additional tag revenue. Management reimbursement revenues for this segment totaled $227.8 million and $216.6 million during 2016 and 2015, respectively.</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profit decreased by $10.1 million, or 6.9%, during 2016, as compared to 2015. Operating profit margin decreased by 44 bps to 4.6% in 2016 from 5.0% in 2015. The decrease in operating profit margin was primarily attributable to higher insurance expense, lower profit margins associated with certain leased location arrangements, one more working day during 2016, and the absence of a gain from a property sale. This decrease was partially offset by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related timing of open positions.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Aviation</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851.8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61.8</w:t>
            </w:r>
          </w:p>
        </w:tc>
        <w:tc>
          <w:tcPr>
            <w:tcW w:w="14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7.8%</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jc w:val="right"/>
              <w:ind w:right="294"/>
              <w:spacing w:after="0"/>
              <w:rPr>
                <w:sz w:val="20"/>
                <w:szCs w:val="20"/>
                <w:color w:val="auto"/>
              </w:rPr>
            </w:pPr>
            <w:r>
              <w:rPr>
                <w:rFonts w:ascii="Arial" w:cs="Arial" w:eastAsia="Arial" w:hAnsi="Arial"/>
                <w:sz w:val="18"/>
                <w:szCs w:val="18"/>
                <w:color w:val="auto"/>
              </w:rPr>
              <w:t>(1.1)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(3.8)%</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4"/>
                <w:szCs w:val="14"/>
                <w:i w:val="1"/>
                <w:iCs w:val="1"/>
                <w:color w:val="auto"/>
              </w:rPr>
              <w:t>(39) bps</w:t>
            </w:r>
          </w:p>
        </w:tc>
        <w:tc>
          <w:tcPr>
            <w:tcW w:w="14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Aviation revenues increased by $61.8 million, or 7.8%, during 2016, as compared to 2015. The increase was primarily attributable to organic growth in parking, cabin cleaning, and passenger services. Management reimbursement revenues for this segment totaled $78.2 million and $71.7 million during 2016 and 2015, respectively.</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$1.1 million, or 3.8%, during 2016, as compared to 2015. Operating profit margin decreased by 39 bps to 3.3% in 2016 from 3.7% in 2015. The decrease in operating profit margin was primarily attributable to higher insurance expense and a penalty imposed by a regulatory agency. Also negatively impacting operating profit margin was the operations in one region of a large multi-regional contract during the three months ended January 31, 2016. Through corrective steps, we improved the profitability of this contract within the impacted region. This decrease in operating profit margin was partially offset by lower amortization expense of intangible assets.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Emerging Industries Group</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801.9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777.0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24.9</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10.6</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21.1%</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594"/>
              <w:spacing w:after="0"/>
              <w:rPr>
                <w:sz w:val="20"/>
                <w:szCs w:val="20"/>
                <w:color w:val="auto"/>
              </w:rPr>
            </w:pPr>
            <w:r>
              <w:rPr>
                <w:rFonts w:ascii="Arial" w:cs="Arial" w:eastAsia="Arial" w:hAnsi="Arial"/>
                <w:sz w:val="14"/>
                <w:szCs w:val="14"/>
                <w:i w:val="1"/>
                <w:iCs w:val="1"/>
                <w:color w:val="auto"/>
              </w:rPr>
              <w:t>112 bps</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Emerging Industries Group revenues increased by $24.9 million, or 3.2%, during 2016, as compared to 2015. The increase was primarily related to net new Education and High Tech business, partially offset by the completion of certain Healthcare contracts.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Operating profit increased by $10.6 million, or 21.1%, during 2016, as compared to 2015. Operating profit margin increased by 112 bps to 7.6% in 2016 from 6.5% in 2015. This increase in operating profit margin was primarily attributable to improved margins on existing Healthcare contracts, higher contribution margin from certain High Tech accounts,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related timing of open positions. This increase was partially offset by higher insurance expense and one more working day during 2016.</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Technical Solutions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Pr>
          <w:p>
            <w:pPr>
              <w:jc w:val="right"/>
              <w:ind w:right="57"/>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128.4</w:t>
            </w: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43.3%</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40" w:type="dxa"/>
            <w:vAlign w:val="bottom"/>
          </w:tcPr>
          <w:p>
            <w:pPr>
              <w:jc w:val="right"/>
              <w:ind w:right="597"/>
              <w:spacing w:after="0"/>
              <w:rPr>
                <w:sz w:val="20"/>
                <w:szCs w:val="20"/>
                <w:color w:val="auto"/>
              </w:rPr>
            </w:pPr>
            <w:r>
              <w:rPr>
                <w:rFonts w:ascii="Arial" w:cs="Arial" w:eastAsia="Arial" w:hAnsi="Arial"/>
                <w:sz w:val="18"/>
                <w:szCs w:val="18"/>
                <w:color w:val="auto"/>
              </w:rPr>
              <w:t>11.2</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63.8%</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597"/>
              <w:spacing w:after="0"/>
              <w:rPr>
                <w:sz w:val="20"/>
                <w:szCs w:val="20"/>
                <w:color w:val="auto"/>
              </w:rPr>
            </w:pPr>
            <w:r>
              <w:rPr>
                <w:rFonts w:ascii="Arial" w:cs="Arial" w:eastAsia="Arial" w:hAnsi="Arial"/>
                <w:sz w:val="13"/>
                <w:szCs w:val="13"/>
                <w:i w:val="1"/>
                <w:iCs w:val="1"/>
                <w:color w:val="auto"/>
              </w:rPr>
              <w:t>85 bps</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Technical Solutions revenues increased by $ 128.4 million, or 43.3%, during 2016, as compared to 2015. The increase was primarily attributable to incremental revenues from acquisitions of $97.0 million and a large ESPC project.</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Operating profit increased by $11.2 million, or 63.8% during 2016, as compared to 2015. Operating profit margin increased by 85 bps to 6.8% in 2016 from 5.8% in 2015. The increase in operating profit margin was attributable to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Government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5"/>
          </w:tcPr>
          <w:p>
            <w:pPr>
              <w:ind w:left="38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4140" w:type="dxa"/>
            <w:vAlign w:val="bottom"/>
            <w:gridSpan w:val="3"/>
          </w:tcPr>
          <w:p>
            <w:pPr>
              <w:ind w:left="40"/>
              <w:spacing w:after="0" w:line="183" w:lineRule="exact"/>
              <w:rPr>
                <w:sz w:val="20"/>
                <w:szCs w:val="20"/>
                <w:color w:val="auto"/>
              </w:rPr>
            </w:pPr>
            <w:r>
              <w:rPr>
                <w:rFonts w:ascii="Arial" w:cs="Arial" w:eastAsia="Arial" w:hAnsi="Arial"/>
                <w:sz w:val="16"/>
                <w:szCs w:val="16"/>
                <w:i w:val="1"/>
                <w:iCs w:val="1"/>
                <w:u w:val="single" w:color="auto"/>
                <w:color w:val="auto"/>
              </w:rPr>
              <w:t>(</w:t>
            </w:r>
            <w:r>
              <w:rPr>
                <w:rFonts w:ascii="Arial" w:cs="Arial" w:eastAsia="Arial" w:hAnsi="Arial"/>
                <w:sz w:val="16"/>
                <w:szCs w:val="16"/>
                <w:i w:val="1"/>
                <w:iCs w:val="1"/>
                <w:color w:val="auto"/>
              </w:rPr>
              <w:t>$ in millions)</w:t>
            </w: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635"/>
              <w:spacing w:after="0" w:line="182" w:lineRule="exact"/>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597"/>
              <w:spacing w:after="0" w:line="182"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jc w:val="right"/>
              <w:ind w:right="14"/>
              <w:spacing w:after="0" w:line="182" w:lineRule="exact"/>
              <w:rPr>
                <w:sz w:val="20"/>
                <w:szCs w:val="20"/>
                <w:color w:val="auto"/>
              </w:rPr>
            </w:pPr>
            <w:r>
              <w:rPr>
                <w:rFonts w:ascii="Arial" w:cs="Arial" w:eastAsia="Arial" w:hAnsi="Arial"/>
                <w:sz w:val="18"/>
                <w:szCs w:val="18"/>
                <w:b w:val="1"/>
                <w:bCs w:val="1"/>
                <w:color w:val="auto"/>
              </w:rPr>
              <w:t>Decrease</w:t>
            </w:r>
          </w:p>
        </w:tc>
        <w:tc>
          <w:tcPr>
            <w:tcW w:w="1240" w:type="dxa"/>
            <w:vAlign w:val="bottom"/>
          </w:tcPr>
          <w:p>
            <w:pPr>
              <w:spacing w:after="0"/>
              <w:rPr>
                <w:sz w:val="17"/>
                <w:szCs w:val="17"/>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20" w:type="dxa"/>
            <w:vAlign w:val="bottom"/>
            <w:tcBorders>
              <w:top w:val="single" w:sz="8" w:color="auto"/>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(27.0)</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(18.8)%</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(loss) profit</w:t>
            </w:r>
          </w:p>
        </w:tc>
        <w:tc>
          <w:tcPr>
            <w:tcW w:w="420" w:type="dxa"/>
            <w:vAlign w:val="bottom"/>
          </w:tcPr>
          <w:p>
            <w:pPr>
              <w:spacing w:after="0"/>
              <w:rPr>
                <w:sz w:val="22"/>
                <w:szCs w:val="22"/>
                <w:color w:val="auto"/>
              </w:rPr>
            </w:pPr>
          </w:p>
        </w:tc>
        <w:tc>
          <w:tcPr>
            <w:tcW w:w="1400" w:type="dxa"/>
            <w:vAlign w:val="bottom"/>
          </w:tcPr>
          <w:p>
            <w:pPr>
              <w:jc w:val="right"/>
              <w:ind w:right="95"/>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7"/>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0" w:type="dxa"/>
            <w:vAlign w:val="bottom"/>
          </w:tcPr>
          <w:p>
            <w:pPr>
              <w:jc w:val="right"/>
              <w:ind w:right="514"/>
              <w:spacing w:after="0"/>
              <w:rPr>
                <w:sz w:val="20"/>
                <w:szCs w:val="20"/>
                <w:color w:val="auto"/>
              </w:rPr>
            </w:pPr>
            <w:r>
              <w:rPr>
                <w:rFonts w:ascii="Arial" w:cs="Arial" w:eastAsia="Arial" w:hAnsi="Arial"/>
                <w:sz w:val="18"/>
                <w:szCs w:val="18"/>
                <w:color w:val="auto"/>
              </w:rPr>
              <w:t>(26.3)</w:t>
            </w:r>
          </w:p>
        </w:tc>
        <w:tc>
          <w:tcPr>
            <w:tcW w:w="1240" w:type="dxa"/>
            <w:vAlign w:val="bottom"/>
          </w:tcPr>
          <w:p>
            <w:pPr>
              <w:jc w:val="center"/>
              <w:ind w:right="350"/>
              <w:spacing w:after="0"/>
              <w:rPr>
                <w:sz w:val="20"/>
                <w:szCs w:val="20"/>
                <w:color w:val="auto"/>
              </w:rPr>
            </w:pPr>
            <w:r>
              <w:rPr>
                <w:rFonts w:ascii="Arial" w:cs="Arial" w:eastAsia="Arial" w:hAnsi="Arial"/>
                <w:sz w:val="18"/>
                <w:szCs w:val="18"/>
                <w:color w:val="auto"/>
              </w:rPr>
              <w:t>NM*</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574"/>
              <w:spacing w:after="0"/>
              <w:rPr>
                <w:sz w:val="20"/>
                <w:szCs w:val="20"/>
                <w:color w:val="auto"/>
              </w:rPr>
            </w:pPr>
            <w:r>
              <w:rPr>
                <w:rFonts w:ascii="Arial" w:cs="Arial" w:eastAsia="Arial" w:hAnsi="Arial"/>
                <w:sz w:val="14"/>
                <w:szCs w:val="14"/>
                <w:i w:val="1"/>
                <w:iCs w:val="1"/>
                <w:color w:val="auto"/>
              </w:rPr>
              <w:t>NM*</w:t>
            </w:r>
          </w:p>
        </w:tc>
        <w:tc>
          <w:tcPr>
            <w:tcW w:w="1240" w:type="dxa"/>
            <w:vAlign w:val="bottom"/>
            <w:shd w:val="clear" w:color="auto" w:fill="CCEEFF"/>
          </w:tcPr>
          <w:p>
            <w:pPr>
              <w:spacing w:after="0"/>
              <w:rPr>
                <w:sz w:val="24"/>
                <w:szCs w:val="24"/>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from our Government Services segment decreased by $27.0 million, or 18.8%, during 2016, as compared to 2015. The decrease was primarily attributable to the completion of certain healthcare projects.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loss was $23.4 million during 2016, a decrease of $26.3 million, as compared to operating profit of $ 2.9 million during 2015. The decrease in operating profit was primarily attributable to the $22.5 million impairment charge associated with the held-for-sale classification.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8"/>
                <w:szCs w:val="18"/>
                <w:b w:val="1"/>
                <w:bCs w:val="1"/>
                <w:color w:val="auto"/>
              </w:rPr>
              <w:t>Years Ended October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Corporate expenses</w:t>
            </w:r>
          </w:p>
        </w:tc>
        <w:tc>
          <w:tcPr>
            <w:tcW w:w="1140" w:type="dxa"/>
            <w:vAlign w:val="bottom"/>
            <w:shd w:val="clear" w:color="auto" w:fill="CCEEFF"/>
          </w:tcPr>
          <w:p>
            <w:pPr>
              <w:jc w:val="right"/>
              <w:ind w:right="933"/>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160.7</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34"/>
              <w:spacing w:after="0"/>
              <w:rPr>
                <w:sz w:val="20"/>
                <w:szCs w:val="20"/>
                <w:color w:val="auto"/>
              </w:rPr>
            </w:pPr>
            <w:r>
              <w:rPr>
                <w:rFonts w:ascii="Arial" w:cs="Arial" w:eastAsia="Arial" w:hAnsi="Arial"/>
                <w:sz w:val="16"/>
                <w:szCs w:val="16"/>
                <w:color w:val="auto"/>
              </w:rPr>
              <w:t>6.5</w:t>
            </w:r>
          </w:p>
        </w:tc>
        <w:tc>
          <w:tcPr>
            <w:tcW w:w="12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4.1%</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$6.5 million, or 4.1%, during 2016, as compared to 2015.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$16.9 million increase in restructuring and related costs, net of the reversal of share-based compensation expense,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$5.2 million increase in bad debt expense related to a specific reserve established for a client receivable that is the subject of ongoing litigation;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$3.4 million increase in compensation and related expenses primarily due to the impact of annual salary increases and the absence of a bonus reversal related to certain incentive plans in the prior year;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$3.3 million increase in sales tax reserve for certain sales tax audits; and</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$1.7 million higher outside services costs incurred as a result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$4.7 million decrease in legal fees and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departures of our former CEO and CFO;</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$4.1 million in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and</w:t>
      </w:r>
    </w:p>
    <w:p>
      <w:pPr>
        <w:spacing w:after="0" w:line="1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$3.0 million year-over-year decrease in self-insurance expense related to prior year claims as a result of actuarial evaluations completed in 2016.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integration costs related to the GCA acquisition. We anticipate long-term cash uses will also include strategic acquisitions and share repurchases.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credit facility for any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We had accelerated cash tax savings related to coverage provided by IFM of approximately $10 million in both 2017 and 2016 and approximately $20 million in 2015. We project accelerated cash tax savings for 2018 to be approximately $10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refinanced and replaced our existing $800.0 million credit facility with a new senior, secured five -year syndicated credit facility (the “Credit Facility”), consisting of a $900.0 million revolving line of credit and an $800.0 million amortizing term loan, scheduled to mature on September 1, 2022. The line of credit reduces to $800.0 million after one year. Borrowings under the Credit Facility were used to finance, in part, the cash portion of the purchase price related to the GCA acquisition, refinance certain existing indebtedness of ABM, and pay transaction costs.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2017, the total outstanding borrowings under our Credit Facility in the form of cash borrowings and standby letters of credit were $1.2 billion and $146.4 million, respectively. At October 31, 2017, we had up to $350.8 million of borrowing capacity under the Credit Facility, however covenant restrictions limited our borrowing capacity to $282.0 million.</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draw down available capacity under the Credit Facility is subject to, and limited by, compliance with certain financial covenants, which include a maximum leverage ratio of 4.75 to 1.0 that steps down to 3.50 to 1.0 by July 2020 and a minimum fixed charge coverage ratio of 1.50 to 1.0. Other covenants under the Credit Facility include limitations on liens, dispositions, fundamental changes, investments, and certain transactions and payments. At October 31, 2017, we were in compliance with these covenants and expect to be in compliance in the foreseeable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Reinvestment of Foreign Earnings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reinvest our foreign earnings to fund future non-U.S. growth and expansion. As a result, we do not anticipate remitting such earnings to the United States and have not provided for federal and state income taxes or foreign withholding taxes that may result if such earnings of our foreign subsidiaries are remitted to the United States. We believe that our cash on hand in the United States, along with our Credit Facility and future domestic cash flows, are sufficient to satisfy our domestic liquidity requirements.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Proceeds from Federal Energy Savings Performance Contracts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part of our Technical Solutions business, we enter into ESPCs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 and Environmental Compliance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In addition, from time to time we are involved in environmental matters at certain of our locations or in connection with our operations. Historically, the cost of complying with environmental laws or resolving environmental issues relating to locations or operations in the United States or abroad has not had a material adverse effect on our financial position, results of operations, or cash flows. We do not believe that the resolution of matters known at this time will be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October 31, 2017, authorization for $134.1 million of repurchases remained under our share repurchase program. We do not anticipate additional repurchases in the near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Activity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rPr>
              <w:t>Years Ended October 31,</w:t>
            </w:r>
          </w:p>
        </w:tc>
        <w:tc>
          <w:tcPr>
            <w:tcW w:w="1420" w:type="dxa"/>
            <w:vAlign w:val="bottom"/>
            <w:tcBorders>
              <w:bottom w:val="single" w:sz="8" w:color="auto"/>
            </w:tcBorders>
          </w:tcPr>
          <w:p>
            <w:pPr>
              <w:spacing w:after="0"/>
              <w:rPr>
                <w:sz w:val="21"/>
                <w:szCs w:val="21"/>
                <w:color w:val="auto"/>
              </w:rPr>
            </w:pPr>
          </w:p>
        </w:tc>
      </w:tr>
      <w:tr>
        <w:trPr>
          <w:trHeight w:val="230"/>
        </w:trPr>
        <w:tc>
          <w:tcPr>
            <w:tcW w:w="4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4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1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6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40.07</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30.72</w:t>
            </w:r>
          </w:p>
        </w:tc>
      </w:tr>
      <w:tr>
        <w:trPr>
          <w:trHeight w:val="277"/>
        </w:trPr>
        <w:tc>
          <w:tcPr>
            <w:tcW w:w="4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621"/>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$101.7 million during 2017.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Years Ended October 31,</w:t>
            </w:r>
          </w:p>
        </w:tc>
        <w:tc>
          <w:tcPr>
            <w:tcW w:w="1040" w:type="dxa"/>
            <w:vAlign w:val="bottom"/>
            <w:tcBorders>
              <w:bottom w:val="single" w:sz="8" w:color="auto"/>
            </w:tcBorders>
          </w:tcPr>
          <w:p>
            <w:pPr>
              <w:spacing w:after="0"/>
              <w:rPr>
                <w:sz w:val="19"/>
                <w:szCs w:val="19"/>
                <w:color w:val="auto"/>
              </w:rPr>
            </w:pPr>
          </w:p>
        </w:tc>
      </w:tr>
      <w:tr>
        <w:trPr>
          <w:trHeight w:val="230"/>
        </w:trPr>
        <w:tc>
          <w:tcPr>
            <w:tcW w:w="70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145.5</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provided by operating activities of discontinued operations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146.4</w:t>
            </w:r>
          </w:p>
        </w:tc>
      </w:tr>
      <w:tr>
        <w:trPr>
          <w:trHeight w:val="29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 of continuing operations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Net cash (used in) provided by investing activities of discontinued operations</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130.9</w:t>
            </w:r>
          </w:p>
        </w:tc>
      </w:tr>
      <w:tr>
        <w:trPr>
          <w:trHeight w:val="257"/>
        </w:trPr>
        <w:tc>
          <w:tcPr>
            <w:tcW w:w="70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90.4</w:t>
            </w:r>
          </w:p>
        </w:tc>
      </w:tr>
      <w:tr>
        <w:trPr>
          <w:trHeight w:val="32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decreased by $8.8 million during 2017, as compared to 2016. The decrease was primarily related to the timing of client receivable collections and income taxes payable, but was partially offset by the timing of vendor payments.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decreased by $35.0 million during 2016, as compared to 2015. The decrease was primarily related to the timing of ESPC projects and trade receivable collections, as well as the timing of vendor payments. This decrease was partially offset by the timing of tax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discontinued operations increased by $ 69.1 million during 2017, as compared to 2016. This increase was primarily attributable to the payment of $120.0 million to settle the Augustus and Karapetyan cases, compared to the $20.0 million in taxes paid related to the sale of the Security business in 2016.</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operating activities of discontinued operations increased by $27.9 million during 2016, as compared to 2015. This increase was primarily attributable to $20.0 million in taxes paid related to the sale of the Security business in 2016.</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of continuing operations increased by $ 740.1 million during 2017, as compared to 2016. The increase was primarily related to a $757.6 million year-over-year increase in cash paid, net of cash acquired, for acquisitions, largely due to the GCA acquisition.</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investing activities of continuing operations increased by $91.2 million during 2016, as compared to 2015. The increase was primarily related to a $76.8 million year-over-year increase in cash paid, net of cash acquired, for acquisitions.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22"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Investing Activities of Discontinued Operations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investing activities of discontinued operations decreased by $3.1 million during 2017, as compared to 2016. The decrease was related to the absence of the final working capital adjustment from the sale of the Security business.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used in investing activities of discontinued operations was $3.1 million in 2016, a decrease of $134.0 million, as compared to net cash provided by investing activities of discontinued operations of $130.9 million during 2015. We sold our Security business in 2015 and recognized $131.0 million of cash proceeds from the sale. The cash used in 2016 was associated with the payment of $3.1 million in settlement of the final working capital adjustment from the sale.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increased by $821.4 million during 2017, as compared to 2016. The increase was primarily related to higher net borrowings of $812.6 million associated with greater financing activity in the fourth quarter of 2017 to fund the GCA acquisition and $38.7 million in lower common stock repurchases. This increase was offset by $18.7 million of deferred financing costs paid on the new credit facility and $15.8 million of lower proceeds from ESPC projects during 2017.</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change in net cash provided by financing activities was $269.5 million in 2016 when compared to 2015. During 2016, our net cash provided by financing activities of $52.6 million was primarily a result of borrowings from our line of credit to fund two acquisitions made in 2016. During 2015, our net cash used in financing activities of $216.9 million was a result of the repayment of borrowings from our line of credit primarily resulting from the cash proceeds from the sale of our Security business. Also contributing to the change in net cash provided by financing activities was a $17.4 million increase in proceeds from ESPC projects, partially offset by higher common stock repurchases of $15.2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13, 2017, we announced a quarterly cash dividend of $0.175 per share on our common stock, payable on February 5, 2018. We declared a quarterly cash dividend on our common stock every quarter during 2017, 2016, and 2015. We paid total annual dividends of $39.5 million, $36.9 million, and $36.0 million during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2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gridSpan w:val="4"/>
          </w:tcPr>
          <w:p>
            <w:pPr>
              <w:ind w:left="40"/>
              <w:spacing w:after="0"/>
              <w:rPr>
                <w:sz w:val="20"/>
                <w:szCs w:val="20"/>
                <w:color w:val="auto"/>
              </w:rPr>
            </w:pPr>
            <w:r>
              <w:rPr>
                <w:rFonts w:ascii="Arial" w:cs="Arial" w:eastAsia="Arial" w:hAnsi="Arial"/>
                <w:sz w:val="13"/>
                <w:szCs w:val="13"/>
                <w:i w:val="1"/>
                <w:iCs w:val="1"/>
                <w:color w:val="auto"/>
              </w:rPr>
              <w:t>(in millions)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8"/>
          </w:tcPr>
          <w:p>
            <w:pPr>
              <w:ind w:left="420"/>
              <w:spacing w:after="0"/>
              <w:rPr>
                <w:sz w:val="20"/>
                <w:szCs w:val="20"/>
                <w:color w:val="auto"/>
              </w:rPr>
            </w:pPr>
            <w:r>
              <w:rPr>
                <w:rFonts w:ascii="Arial" w:cs="Arial" w:eastAsia="Arial" w:hAnsi="Arial"/>
                <w:sz w:val="16"/>
                <w:szCs w:val="16"/>
                <w:b w:val="1"/>
                <w:bCs w:val="1"/>
                <w:color w:val="auto"/>
              </w:rPr>
              <w:t>Commitments Due By Period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5260" w:type="dxa"/>
            <w:vAlign w:val="bottom"/>
            <w:gridSpan w:val="4"/>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2019-2020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2021-2022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8"/>
              <w:spacing w:after="0"/>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2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Borrowings under term loan</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Borrowings under line of credit</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Fixed interest related to interest rate swaps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Operating leases and other similar commitments</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84.8</w:t>
            </w:r>
          </w:p>
        </w:tc>
      </w:tr>
      <w:tr>
        <w:trPr>
          <w:trHeight w:val="270"/>
        </w:trPr>
        <w:tc>
          <w:tcPr>
            <w:tcW w:w="52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Capital leases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0.3</w:t>
            </w:r>
          </w:p>
        </w:tc>
      </w:tr>
      <w:tr>
        <w:trPr>
          <w:trHeight w:val="270"/>
        </w:trPr>
        <w:tc>
          <w:tcPr>
            <w:tcW w:w="5260" w:type="dxa"/>
            <w:vAlign w:val="bottom"/>
            <w:gridSpan w:val="4"/>
          </w:tcPr>
          <w:p>
            <w:pPr>
              <w:ind w:left="40"/>
              <w:spacing w:after="0"/>
              <w:rPr>
                <w:sz w:val="20"/>
                <w:szCs w:val="20"/>
                <w:color w:val="auto"/>
              </w:rPr>
            </w:pPr>
            <w:r>
              <w:rPr>
                <w:rFonts w:ascii="Arial" w:cs="Arial" w:eastAsia="Arial" w:hAnsi="Arial"/>
                <w:sz w:val="16"/>
                <w:szCs w:val="16"/>
                <w:color w:val="auto"/>
              </w:rPr>
              <w:t>Information technology service agreements</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Benefit obligations</w:t>
            </w:r>
            <w:r>
              <w:rPr>
                <w:rFonts w:ascii="Arial" w:cs="Arial" w:eastAsia="Arial" w:hAnsi="Arial"/>
                <w:sz w:val="21"/>
                <w:szCs w:val="21"/>
                <w:color w:val="auto"/>
                <w:vertAlign w:val="superscript"/>
              </w:rPr>
              <w:t>(5)</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13.7</w:t>
            </w:r>
          </w:p>
        </w:tc>
      </w:tr>
      <w:tr>
        <w:trPr>
          <w:trHeight w:val="234"/>
        </w:trPr>
        <w:tc>
          <w:tcPr>
            <w:tcW w:w="526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1,624.8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131.8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231.0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1,163.4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98.8</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Borrowings under our term loan and line of credit are presented at face value.</w:t>
      </w:r>
    </w:p>
    <w:p>
      <w:pPr>
        <w:spacing w:after="0" w:line="156" w:lineRule="exact"/>
        <w:rPr>
          <w:rFonts w:ascii="Arial" w:cs="Arial" w:eastAsia="Arial" w:hAnsi="Arial"/>
          <w:sz w:val="21"/>
          <w:szCs w:val="21"/>
          <w:color w:val="auto"/>
          <w:vertAlign w:val="superscript"/>
        </w:rPr>
      </w:pPr>
    </w:p>
    <w:p>
      <w:pPr>
        <w:jc w:val="both"/>
        <w:ind w:firstLine="8"/>
        <w:spacing w:after="0"/>
        <w:tabs>
          <w:tab w:leader="none" w:pos="184"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Our estimates of future interest payments are calculated based on our hedged borrowings under our Credit Facility, using the fixed rates under our interest rate swap agreements for the applicable notional amounts. See Note 12, “Credit Facility,” in the Financial Statements for additional disclosure related to our interest rate swaps. We exclude interest payments on our remaining borrowings from this table because the cash outlay for the interest is unknown. The interest payments on the borrowings under the Credit Facility will be determined based upon the average outstanding balance of our borrowings and the prevailing interest rate during that time.</w:t>
      </w:r>
    </w:p>
    <w:p>
      <w:pPr>
        <w:spacing w:after="0" w:line="348" w:lineRule="exact"/>
        <w:rPr>
          <w:rFonts w:ascii="Arial" w:cs="Arial" w:eastAsia="Arial" w:hAnsi="Arial"/>
          <w:sz w:val="21"/>
          <w:szCs w:val="21"/>
          <w:color w:val="auto"/>
          <w:vertAlign w:val="superscript"/>
        </w:rPr>
      </w:pPr>
    </w:p>
    <w:p>
      <w:pPr>
        <w:ind w:firstLine="8"/>
        <w:spacing w:after="0" w:line="210" w:lineRule="auto"/>
        <w:tabs>
          <w:tab w:leader="none" w:pos="203"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under non-cancelable operating leases, capital lease agreements, and other similar commitments for various facilities, vehicles, and other equipment.</w:t>
      </w:r>
    </w:p>
    <w:p>
      <w:pPr>
        <w:spacing w:after="0" w:line="157" w:lineRule="exact"/>
        <w:rPr>
          <w:rFonts w:ascii="Arial" w:cs="Arial" w:eastAsia="Arial" w:hAnsi="Arial"/>
          <w:sz w:val="22"/>
          <w:szCs w:val="22"/>
          <w:color w:val="auto"/>
          <w:vertAlign w:val="superscript"/>
        </w:rPr>
      </w:pPr>
    </w:p>
    <w:p>
      <w:pPr>
        <w:ind w:firstLine="8"/>
        <w:spacing w:after="0"/>
        <w:tabs>
          <w:tab w:leader="none" w:pos="226"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Reflects our contractual obligations to make future payments for outsourced services and licensing costs pursuant to our information technology agreements.</w:t>
      </w:r>
    </w:p>
    <w:p>
      <w:pPr>
        <w:spacing w:after="0" w:line="287" w:lineRule="exact"/>
        <w:rPr>
          <w:rFonts w:ascii="Arial" w:cs="Arial" w:eastAsia="Arial" w:hAnsi="Arial"/>
          <w:sz w:val="22"/>
          <w:szCs w:val="22"/>
          <w:color w:val="auto"/>
          <w:vertAlign w:val="superscript"/>
        </w:rPr>
      </w:pPr>
    </w:p>
    <w:p>
      <w:pPr>
        <w:ind w:firstLine="8"/>
        <w:spacing w:after="0" w:line="263" w:lineRule="auto"/>
        <w:tabs>
          <w:tab w:leader="none" w:pos="162"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Reflects future expected payments relating to our defined benefit, postretirement, and deferred compensation plans. These amounts are based on expected future service and were calculated using the same assumptions used to measure our benefit obligation at October 31, 2017.</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to our company sponsored plans, we participate in certain multiemployer pension and other postretirement plans. The cost of these plans is equal to the annual required contributions determined in accordance with the provisions of negotiated collective bargaining arrangements. During 2017, 2016, and 2015, contributions made to these plans were $316.4 million, $290.4 million, and $282.1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As the amount of future contributions that we would be contractually obligated to make pursuant to these plans cannot be reasonably estimated, such amounts have been excluded from the above table. See Note 13, “Employee Benefit Plans,” in the Financial Statements for more information.</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2017, our total liability for unrecognized tax benefits was $16.3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1" w:name="page42"/>
    <w:bookmarkEnd w:id="41"/>
    <w:p>
      <w:pPr>
        <w:jc w:val="both"/>
        <w:ind w:firstLine="232"/>
        <w:spacing w:after="0" w:line="252" w:lineRule="auto"/>
        <w:rPr>
          <w:sz w:val="20"/>
          <w:szCs w:val="20"/>
          <w:color w:val="auto"/>
        </w:rPr>
      </w:pPr>
      <w:r>
        <w:rPr>
          <w:rFonts w:ascii="Arial" w:cs="Arial" w:eastAsia="Arial" w:hAnsi="Arial"/>
          <w:sz w:val="18"/>
          <w:szCs w:val="18"/>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bonds typically remain in force for one to five years and may include optional renewal periods. As of October 31, 2017, these letters of credit and surety bonds totaled $146.4 million and $486.2 million, respectively. Included in the total amount of surety bonds is $2.5 million of bonds with an effective date starting after October 31, 2017. Neither of these arrangements has a material current effect, or is reasonably likely to have a material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4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preparation of consolidated financial statements in accordance with United States generally accepted accounting principles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We believe the following critical accounting policies govern the more significant judgments and estimates used in the preparation of our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Doubtful Accounts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300" w:space="720"/>
            <w:col w:w="7400"/>
          </w:cols>
          <w:pgMar w:left="240" w:top="522" w:right="239" w:bottom="1440" w:gutter="0" w:footer="0" w:header="0"/>
          <w:type w:val="continuous"/>
        </w:sectPr>
      </w:pPr>
    </w:p>
    <w:p>
      <w:pPr>
        <w:spacing w:after="0" w:line="14" w:lineRule="exact"/>
        <w:rPr>
          <w:sz w:val="20"/>
          <w:szCs w:val="20"/>
          <w:color w:val="auto"/>
        </w:rPr>
      </w:pPr>
    </w:p>
    <w:p>
      <w:pPr>
        <w:ind w:left="40"/>
        <w:spacing w:after="0" w:line="250" w:lineRule="auto"/>
        <w:rPr>
          <w:sz w:val="20"/>
          <w:szCs w:val="20"/>
          <w:color w:val="auto"/>
        </w:rPr>
      </w:pPr>
      <w:r>
        <w:rPr>
          <w:rFonts w:ascii="Arial" w:cs="Arial" w:eastAsia="Arial" w:hAnsi="Arial"/>
          <w:sz w:val="16"/>
          <w:szCs w:val="16"/>
          <w:color w:val="auto"/>
        </w:rPr>
        <w:t>We estimate the allowance for doubtful accounts based on a variety of factors, including an analysis of the historical rate of credit losses or write-offs, specific client concerns, and known or expected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1208405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Customer Relationships</w:t>
      </w:r>
    </w:p>
    <w:p>
      <w:pPr>
        <w:spacing w:after="0" w:line="20" w:lineRule="exact"/>
        <w:rPr>
          <w:sz w:val="20"/>
          <w:szCs w:val="20"/>
          <w:color w:val="auto"/>
        </w:rPr>
      </w:pPr>
      <w:r>
        <w:rPr>
          <w:sz w:val="20"/>
          <w:szCs w:val="20"/>
          <w:color w:val="auto"/>
        </w:rPr>
        <w:br w:type="column"/>
      </w:r>
    </w:p>
    <w:p>
      <w:pPr>
        <w:ind w:right="160"/>
        <w:spacing w:after="0" w:line="250" w:lineRule="auto"/>
        <w:rPr>
          <w:sz w:val="20"/>
          <w:szCs w:val="20"/>
          <w:color w:val="auto"/>
        </w:rPr>
      </w:pPr>
      <w:r>
        <w:rPr>
          <w:rFonts w:ascii="Arial" w:cs="Arial" w:eastAsia="Arial" w:hAnsi="Arial"/>
          <w:sz w:val="16"/>
          <w:szCs w:val="16"/>
          <w:color w:val="auto"/>
        </w:rPr>
        <w:t>The determination of our allowance for doubtful accounts contains uncertainties because it requires our management to make assumptions and apply judgment about future uncollectible accounts.</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Actual write-offs and adjustments could differ from the allowance estimates due to unanticipated changes in the business environment as well as factors and risks associated with specific clients.</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addition, adverse developments in negotiations or legal proceedings to obtain payment could result in the actual loss exceeding the estimated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6"/>
          <w:szCs w:val="16"/>
          <w:color w:val="auto"/>
        </w:rPr>
        <w:t>We have not made any changes in the accounting methodology used to record our allowance for doubtful accounts during the past three years.</w:t>
      </w:r>
    </w:p>
    <w:p>
      <w:pPr>
        <w:spacing w:after="0" w:line="174" w:lineRule="exact"/>
        <w:rPr>
          <w:sz w:val="20"/>
          <w:szCs w:val="20"/>
          <w:color w:val="auto"/>
        </w:rPr>
      </w:pPr>
    </w:p>
    <w:p>
      <w:pPr>
        <w:jc w:val="both"/>
        <w:ind w:right="440"/>
        <w:spacing w:after="0" w:line="253" w:lineRule="auto"/>
        <w:rPr>
          <w:sz w:val="20"/>
          <w:szCs w:val="20"/>
          <w:color w:val="auto"/>
        </w:rPr>
      </w:pPr>
      <w:r>
        <w:rPr>
          <w:rFonts w:ascii="Arial" w:cs="Arial" w:eastAsia="Arial" w:hAnsi="Arial"/>
          <w:sz w:val="16"/>
          <w:szCs w:val="16"/>
          <w:color w:val="auto"/>
        </w:rPr>
        <w:t>A 10% change in our allowance for doubtful accounts would have affected net income by approximately $1.5 million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967105</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929" w:lineRule="exact"/>
        <w:rPr>
          <w:sz w:val="20"/>
          <w:szCs w:val="20"/>
          <w:color w:val="auto"/>
        </w:rPr>
      </w:pPr>
    </w:p>
    <w:p>
      <w:pPr>
        <w:sectPr>
          <w:pgSz w:w="11900" w:h="16838" w:orient="portrait"/>
          <w:cols w:equalWidth="0" w:num="3">
            <w:col w:w="3840" w:space="200"/>
            <w:col w:w="3600" w:space="160"/>
            <w:col w:w="3620"/>
          </w:cols>
          <w:pgMar w:left="240" w:top="522" w:right="239" w:bottom="1440" w:gutter="0" w:footer="0" w:header="0"/>
          <w:type w:val="continuous"/>
        </w:sectPr>
      </w:pPr>
    </w:p>
    <w:p>
      <w:pPr>
        <w:spacing w:after="0" w:line="14"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6"/>
          <w:szCs w:val="16"/>
          <w:color w:val="auto"/>
        </w:rPr>
        <w:t>When we acquire a company, we determine the fair value on the acquisition date of assets acquired and liabilities assumed.</w:t>
      </w:r>
    </w:p>
    <w:p>
      <w:pPr>
        <w:spacing w:after="0" w:line="174" w:lineRule="exact"/>
        <w:rPr>
          <w:sz w:val="20"/>
          <w:szCs w:val="20"/>
          <w:color w:val="auto"/>
        </w:rPr>
      </w:pPr>
    </w:p>
    <w:p>
      <w:pPr>
        <w:ind w:left="40" w:right="160"/>
        <w:spacing w:after="0" w:line="253" w:lineRule="auto"/>
        <w:rPr>
          <w:sz w:val="20"/>
          <w:szCs w:val="20"/>
          <w:color w:val="auto"/>
        </w:rPr>
      </w:pPr>
      <w:r>
        <w:rPr>
          <w:rFonts w:ascii="Arial" w:cs="Arial" w:eastAsia="Arial" w:hAnsi="Arial"/>
          <w:sz w:val="16"/>
          <w:szCs w:val="16"/>
          <w:color w:val="auto"/>
        </w:rPr>
        <w:t>We anticipate that for most acquisitions we will exercise significant judgment in estimating the fair value of intangible assets.</w:t>
      </w:r>
    </w:p>
    <w:p>
      <w:pPr>
        <w:spacing w:after="0" w:line="174" w:lineRule="exact"/>
        <w:rPr>
          <w:sz w:val="20"/>
          <w:szCs w:val="20"/>
          <w:color w:val="auto"/>
        </w:rPr>
      </w:pPr>
    </w:p>
    <w:p>
      <w:pPr>
        <w:ind w:left="40"/>
        <w:spacing w:after="0" w:line="249" w:lineRule="auto"/>
        <w:rPr>
          <w:sz w:val="20"/>
          <w:szCs w:val="20"/>
          <w:color w:val="auto"/>
        </w:rPr>
      </w:pPr>
      <w:r>
        <w:rPr>
          <w:rFonts w:ascii="Arial" w:cs="Arial" w:eastAsia="Arial" w:hAnsi="Arial"/>
          <w:sz w:val="16"/>
          <w:szCs w:val="16"/>
          <w:color w:val="auto"/>
        </w:rPr>
        <w:t>In a typical acquisition, customer relationships are our most significant definite-lived intangible asset. In valuing these relationships, we engage a third-party valuation expert to fair value these assets using a version of the income approach known as the “excess earnings method.”</w:t>
      </w:r>
    </w:p>
    <w:p>
      <w:pPr>
        <w:spacing w:after="0" w:line="178" w:lineRule="exact"/>
        <w:rPr>
          <w:sz w:val="20"/>
          <w:szCs w:val="20"/>
          <w:color w:val="auto"/>
        </w:rPr>
      </w:pPr>
    </w:p>
    <w:p>
      <w:pPr>
        <w:ind w:left="40" w:right="60"/>
        <w:spacing w:after="0" w:line="250" w:lineRule="auto"/>
        <w:rPr>
          <w:sz w:val="20"/>
          <w:szCs w:val="20"/>
          <w:color w:val="auto"/>
        </w:rPr>
      </w:pPr>
      <w:r>
        <w:rPr>
          <w:rFonts w:ascii="Arial" w:cs="Arial" w:eastAsia="Arial" w:hAnsi="Arial"/>
          <w:sz w:val="16"/>
          <w:szCs w:val="16"/>
          <w:color w:val="auto"/>
        </w:rPr>
        <w:t>This method uses a discounted cash flow approach that is derived from historical information, future revenue and operating profit margins, contributory asset charges, and the selection of an appropriate discount rate.</w:t>
      </w:r>
    </w:p>
    <w:p>
      <w:pPr>
        <w:spacing w:after="0" w:line="176" w:lineRule="exact"/>
        <w:rPr>
          <w:sz w:val="20"/>
          <w:szCs w:val="20"/>
          <w:color w:val="auto"/>
        </w:rPr>
      </w:pPr>
    </w:p>
    <w:p>
      <w:pPr>
        <w:ind w:left="40" w:right="120"/>
        <w:spacing w:after="0" w:line="251" w:lineRule="auto"/>
        <w:rPr>
          <w:sz w:val="20"/>
          <w:szCs w:val="20"/>
          <w:color w:val="auto"/>
        </w:rPr>
      </w:pPr>
      <w:r>
        <w:rPr>
          <w:rFonts w:ascii="Arial" w:cs="Arial" w:eastAsia="Arial" w:hAnsi="Arial"/>
          <w:sz w:val="16"/>
          <w:szCs w:val="16"/>
          <w:color w:val="auto"/>
        </w:rPr>
        <w:t>We consider this approach the most appropriate valuation technique because the inherent value of these assets is their ability to generate current and future income.</w:t>
      </w:r>
    </w:p>
    <w:p>
      <w:pPr>
        <w:spacing w:after="0" w:line="20" w:lineRule="exact"/>
        <w:rPr>
          <w:sz w:val="20"/>
          <w:szCs w:val="20"/>
          <w:color w:val="auto"/>
        </w:rPr>
      </w:pPr>
      <w:r>
        <w:rPr>
          <w:sz w:val="20"/>
          <w:szCs w:val="20"/>
          <w:color w:val="auto"/>
        </w:rPr>
        <w:br w:type="column"/>
      </w:r>
    </w:p>
    <w:p>
      <w:pPr>
        <w:ind w:right="40"/>
        <w:spacing w:after="0" w:line="248" w:lineRule="auto"/>
        <w:rPr>
          <w:sz w:val="20"/>
          <w:szCs w:val="20"/>
          <w:color w:val="auto"/>
        </w:rPr>
      </w:pPr>
      <w:r>
        <w:rPr>
          <w:rFonts w:ascii="Arial" w:cs="Arial" w:eastAsia="Arial" w:hAnsi="Arial"/>
          <w:sz w:val="16"/>
          <w:szCs w:val="16"/>
          <w:color w:val="auto"/>
        </w:rPr>
        <w:t>The customer attrition rate and expected revenue growth are two significant estimates used to derive the projected revenues and profitability in the customer relationships valuation. Both of these estimates are influenced by many factors, including historical financial information, estimated retention rates, and management's expectations for future customer growth as a combined company.</w:t>
      </w:r>
    </w:p>
    <w:p>
      <w:pPr>
        <w:spacing w:after="0" w:line="18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Another estimate that impacts the valuation is the contributory charge for the acquired workforce, which involves management assumptions based on historical experience, including interview time and new hire productivity.</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estimated life is determined by calculating the number of years necessary to obtain 90% of the value of the discounted cash flows of the relationships and is directly tied to the accuracy of the above assumptions.</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6"/>
          <w:szCs w:val="16"/>
          <w:color w:val="auto"/>
        </w:rPr>
        <w:t>We have not made any changes in the accounting methodology used to determine the fair value of customer relationships during the last three years.</w:t>
      </w:r>
    </w:p>
    <w:p>
      <w:pPr>
        <w:spacing w:after="0" w:line="174" w:lineRule="exact"/>
        <w:rPr>
          <w:sz w:val="20"/>
          <w:szCs w:val="20"/>
          <w:color w:val="auto"/>
        </w:rPr>
      </w:pPr>
    </w:p>
    <w:p>
      <w:pPr>
        <w:jc w:val="both"/>
        <w:ind w:right="360"/>
        <w:spacing w:after="0" w:line="249" w:lineRule="auto"/>
        <w:rPr>
          <w:sz w:val="20"/>
          <w:szCs w:val="20"/>
          <w:color w:val="auto"/>
        </w:rPr>
      </w:pPr>
      <w:r>
        <w:rPr>
          <w:rFonts w:ascii="Arial" w:cs="Arial" w:eastAsia="Arial" w:hAnsi="Arial"/>
          <w:sz w:val="16"/>
          <w:szCs w:val="16"/>
          <w:color w:val="auto"/>
        </w:rPr>
        <w:t>If the subsequent actual results and updated projections of the underlying business activity change compared with the assumptions and projections used to develop the values of the identifiable intangible assets, we could record material impairment losses.</w:t>
      </w:r>
    </w:p>
    <w:p>
      <w:pPr>
        <w:spacing w:after="0" w:line="17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With other assumptions held constant, a 10% increase in the calculated fair value of the GCA customer relationships would increase the annual amortization expense by $4.2 million in 2018.</w:t>
      </w:r>
    </w:p>
    <w:p>
      <w:pPr>
        <w:spacing w:after="0" w:line="160"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w:t>
      </w:r>
      <w:r>
        <w:rPr>
          <w:rFonts w:ascii="Arial" w:cs="Arial" w:eastAsia="Arial" w:hAnsi="Arial"/>
          <w:sz w:val="16"/>
          <w:szCs w:val="16"/>
          <w:color w:val="auto"/>
        </w:rPr>
        <w:t>Amortization and Impairment of Long-Lived Assets” critical accounting policy for information about impairment evaluations.</w:t>
      </w:r>
    </w:p>
    <w:p>
      <w:pPr>
        <w:spacing w:after="0" w:line="1323" w:lineRule="exact"/>
        <w:rPr>
          <w:sz w:val="20"/>
          <w:szCs w:val="20"/>
          <w:color w:val="auto"/>
        </w:rPr>
      </w:pPr>
    </w:p>
    <w:p>
      <w:pPr>
        <w:sectPr>
          <w:pgSz w:w="11900" w:h="16838" w:orient="portrait"/>
          <w:cols w:equalWidth="0" w:num="3">
            <w:col w:w="3780" w:space="260"/>
            <w:col w:w="3580" w:space="180"/>
            <w:col w:w="3620"/>
          </w:cols>
          <w:pgMar w:left="240" w:top="522" w:right="2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22" w:right="239" w:bottom="1440" w:gutter="0" w:footer="0" w:header="0"/>
          <w:type w:val="continuous"/>
        </w:sectPr>
      </w:pPr>
    </w:p>
    <w:bookmarkStart w:id="43" w:name="page44"/>
    <w:bookmarkEnd w:id="43"/>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Amortization and Impairment of Long-Lived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596" w:lineRule="exact"/>
        <w:rPr>
          <w:sz w:val="20"/>
          <w:szCs w:val="20"/>
          <w:color w:val="auto"/>
        </w:rPr>
      </w:pPr>
    </w:p>
    <w:p>
      <w:pPr>
        <w:sectPr>
          <w:pgSz w:w="11900" w:h="16838" w:orient="portrait"/>
          <w:cols w:equalWidth="0" w:num="2">
            <w:col w:w="3360" w:space="620"/>
            <w:col w:w="7400"/>
          </w:cols>
          <w:pgMar w:left="280" w:top="689" w:right="239" w:bottom="1440" w:gutter="0" w:footer="0" w:header="0"/>
        </w:sectPr>
      </w:pPr>
    </w:p>
    <w:p>
      <w:pPr>
        <w:ind w:right="360"/>
        <w:spacing w:after="0" w:line="260" w:lineRule="auto"/>
        <w:rPr>
          <w:sz w:val="20"/>
          <w:szCs w:val="20"/>
          <w:color w:val="auto"/>
        </w:rPr>
      </w:pPr>
      <w:r>
        <w:rPr>
          <w:rFonts w:ascii="Arial" w:cs="Arial" w:eastAsia="Arial" w:hAnsi="Arial"/>
          <w:sz w:val="16"/>
          <w:szCs w:val="16"/>
          <w:color w:val="auto"/>
        </w:rPr>
        <w:t>Our long-lived assets include property, plant and equipment and amortizable intangible assets.</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estimate the depreciable lives of our long-lived assets. For depreciable fixed assets, these depreciable lives are based on our accounting policy, which is intended to mirror the expected useful life of the asset.</w:t>
      </w:r>
    </w:p>
    <w:p>
      <w:pPr>
        <w:spacing w:after="0" w:line="17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determining the estimated useful life of amortizable intangible assets, such as customer relationships, we consider historical and projected revenues and related customer attrition rates, as well as historical experience and industry norms as a benchmark.</w:t>
      </w:r>
    </w:p>
    <w:p>
      <w:pPr>
        <w:spacing w:after="0" w:line="36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evaluate our long-lived assets for impairment whenever events or changes in circumstances indicate that the carrying amount of such assets may not be recoverable. These events and circumstances include, but are not limited to: higher than expected attrition for customer relationships; a current expectation that a long-lived asset will be disposed of significantly before the end of its previously estimated useful life, such as when we classify a business as held for sale; a significant adverse change in the extent or manner in which we use a long-lived asset; or a change in its physical condition.</w:t>
      </w:r>
    </w:p>
    <w:p>
      <w:pPr>
        <w:spacing w:after="0" w:line="18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When one of these occurs, a recoverability test is performed that compares the projected undiscounted cash flows from the use and eventual disposition of an asset or asset group to its carrying amount. If the projected undiscounted cash flows are less than the carrying amount, we calculate an impairment loss. The impairment loss calculation compares the fair value, which is based on projected discounted cash flows, to the carrying value. We record an impairment loss if the carrying value exceeds the fair value.</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If we recognize an impairment loss, the adjusted carrying amount of the asset becomes the new cost basis.</w:t>
      </w:r>
    </w:p>
    <w:p>
      <w:pPr>
        <w:spacing w:after="0" w:line="174"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For a depreciable long-lived asset, the new cost basis will be depreciated (amortized) over the remaining estimated useful life of that asset.</w:t>
      </w:r>
    </w:p>
    <w:p>
      <w:pPr>
        <w:spacing w:after="0" w:line="20" w:lineRule="exact"/>
        <w:rPr>
          <w:sz w:val="20"/>
          <w:szCs w:val="20"/>
          <w:color w:val="auto"/>
        </w:rPr>
      </w:pPr>
      <w:r>
        <w:rPr>
          <w:sz w:val="20"/>
          <w:szCs w:val="20"/>
          <w:color w:val="auto"/>
        </w:rPr>
        <w:br w:type="column"/>
      </w:r>
    </w:p>
    <w:p>
      <w:pPr>
        <w:ind w:right="40"/>
        <w:spacing w:after="0" w:line="248" w:lineRule="auto"/>
        <w:rPr>
          <w:sz w:val="20"/>
          <w:szCs w:val="20"/>
          <w:color w:val="auto"/>
        </w:rPr>
      </w:pPr>
      <w:r>
        <w:rPr>
          <w:rFonts w:ascii="Arial" w:cs="Arial" w:eastAsia="Arial" w:hAnsi="Arial"/>
          <w:sz w:val="16"/>
          <w:szCs w:val="16"/>
          <w:color w:val="auto"/>
        </w:rPr>
        <w:t>Our impairment evaluations require us to apply judgment in determining whether a triggering event has occurred, including the evaluation of whether it is more likely than not that a long-lived asset will be disposed of significantly before the end of its previously estimated useful life. Incorrect estimation of useful lives may result in inaccurate depreciation and amortization charges over future periods leading to future impairment.</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determination of fair value for held-for-sale businesses involves significant judgments and assumptions. Development of estimates of fair values in this circumstance is complex and is dependent upon, among other factors, the composition of assets in the disposal group, the comparability of the disposal group to similar market transactions, and negotiations with third-party purchasers. Such factors bear directly on the range of potential fair values and the selection of the best estimates.</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6"/>
          <w:szCs w:val="16"/>
          <w:color w:val="auto"/>
        </w:rPr>
        <w:t>We have not made any changes in the accounting methodology used to evaluate the impairment of long-lived assets during the last three years.</w:t>
      </w:r>
    </w:p>
    <w:p>
      <w:pPr>
        <w:spacing w:after="0" w:line="17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Additionally, we have not made any changes to the estimated useful lives of our long-lived assets during the last three years.</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If actual results are not consistent with the estimates and assumptions we used to calculate estimated future cash flows for impairment evaluations, we may be exposed to future impairment losses that could be material or subsequent impairment recoveries, leading to income statement volatility.</w:t>
      </w:r>
    </w:p>
    <w:p>
      <w:pPr>
        <w:spacing w:after="0" w:line="18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During 2016, when we classified our Government Services business as held for sale, we were required to measure that business at the lower of its carrying value or fair value less estimated costs to sell. As a result of significant underperformance relative to expected operating results, we determined the fair value of this business was less than the carrying amount, which resulted in the recognition of a long-lived asset impairment charge of $15.3 million in 2016.</w:t>
      </w:r>
    </w:p>
    <w:p>
      <w:pPr>
        <w:spacing w:after="0" w:line="17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During the second quarter of 2017, we received an offer from a strategic buyer to purchase this business for approximately $35.0 million, which was higher than our estimate of fair value less costs to sell. As a result, we recorded an $11.4 million impairment recovery to adjust the fair value of certain previously impaired assets to the valuation of the assets as implied by the agreed-upon sales price, less estimated costs to sell. We completed the sale for $35.5 million, therefore we did not recognize a material gain on sale.</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w:t>
      </w:r>
      <w:r>
        <w:rPr>
          <w:rFonts w:ascii="Arial" w:cs="Arial" w:eastAsia="Arial" w:hAnsi="Arial"/>
          <w:sz w:val="16"/>
          <w:szCs w:val="16"/>
          <w:color w:val="auto"/>
        </w:rPr>
        <w:t xml:space="preserve">Impairment of Goodwill” critical accounting policy, below, for details about the Government Services goodwill impairment </w:t>
      </w:r>
      <w:r>
        <w:rPr>
          <w:rFonts w:ascii="Arial" w:cs="Arial" w:eastAsia="Arial" w:hAnsi="Arial"/>
          <w:sz w:val="15"/>
          <w:szCs w:val="15"/>
          <w:color w:val="auto"/>
        </w:rPr>
        <w:t>charge</w:t>
      </w:r>
    </w:p>
    <w:p>
      <w:pPr>
        <w:spacing w:after="0"/>
        <w:rPr>
          <w:sz w:val="20"/>
          <w:szCs w:val="20"/>
          <w:color w:val="auto"/>
        </w:rPr>
      </w:pPr>
      <w:r>
        <w:rPr>
          <w:rFonts w:ascii="Arial" w:cs="Arial" w:eastAsia="Arial" w:hAnsi="Arial"/>
          <w:sz w:val="16"/>
          <w:szCs w:val="16"/>
          <w:color w:val="auto"/>
        </w:rPr>
        <w:t>and subsequent recovery.</w:t>
      </w:r>
    </w:p>
    <w:p>
      <w:pPr>
        <w:spacing w:after="0" w:line="972" w:lineRule="exact"/>
        <w:rPr>
          <w:sz w:val="20"/>
          <w:szCs w:val="20"/>
          <w:color w:val="auto"/>
        </w:rPr>
      </w:pPr>
    </w:p>
    <w:p>
      <w:pPr>
        <w:sectPr>
          <w:pgSz w:w="11900" w:h="16838" w:orient="portrait"/>
          <w:cols w:equalWidth="0" w:num="3">
            <w:col w:w="3820" w:space="180"/>
            <w:col w:w="3580" w:space="180"/>
            <w:col w:w="3620"/>
          </w:cols>
          <w:pgMar w:left="280" w:top="689" w:right="23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80" w:top="689" w:right="239" w:bottom="1440" w:gutter="0" w:footer="0" w:header="0"/>
          <w:type w:val="continuous"/>
        </w:sectPr>
      </w:pPr>
    </w:p>
    <w:bookmarkStart w:id="44" w:name="page45"/>
    <w:bookmarkEnd w:id="44"/>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470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Goodwill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260" w:space="720"/>
            <w:col w:w="7400"/>
          </w:cols>
          <w:pgMar w:left="280" w:top="689" w:right="239" w:bottom="1440" w:gutter="0" w:footer="0" w:header="0"/>
        </w:sectPr>
      </w:pPr>
    </w:p>
    <w:p>
      <w:pPr>
        <w:spacing w:after="0" w:line="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elected to make the first day of our fourth quarter, August 1st, the annual impairment assessment date for goodwill. However, we could be required to evaluate the recoverability of goodwill more frequently if certain triggering events occur, such as a significant change in the business climate or the classification of a significant portion of our business as held for sale.</w:t>
      </w:r>
    </w:p>
    <w:p>
      <w:pPr>
        <w:spacing w:after="0" w:line="18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test the carrying value of goodwill for impairment at a “reporting unit” level by comparing the fair value of a reporting unit to its carrying amount. If the fair value of a reporting unit is less than its carrying value, an impairment charge will be recorded for the difference between the fair value and carrying value, but it is limited to the carrying value of the reporting unit’s goodwill.</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making these estimates, the weighted average cost of capital is utilized to calculate the present value of future cash flows and terminal value. Many variables go into estimating future cash flows, including our future sales growth and operating results. When estimating our projected revenue growth and future operating results, we consider industry trends, economic data, and our competitive advantage.</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market approach estimates fair value by using market comparables for reasonably similar public companies.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the anticipated future economic and operating conditions.</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6"/>
          <w:szCs w:val="16"/>
          <w:color w:val="auto"/>
        </w:rPr>
        <w:t xml:space="preserve">We have not made any changes in the accounting methodology used to evaluate impairment of goodwill during the last three years, other than early adopting Accounting Standards Update 2017-04, </w:t>
      </w:r>
      <w:r>
        <w:rPr>
          <w:rFonts w:ascii="Arial" w:cs="Arial" w:eastAsia="Arial" w:hAnsi="Arial"/>
          <w:sz w:val="16"/>
          <w:szCs w:val="16"/>
          <w:i w:val="1"/>
          <w:iCs w:val="1"/>
          <w:color w:val="auto"/>
        </w:rPr>
        <w:t>Intangibles—Goodwill and Other (Topic</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i w:val="1"/>
          <w:iCs w:val="1"/>
          <w:color w:val="auto"/>
        </w:rPr>
        <w:t>350): Simplifying the Test for Goodwill Impairment</w:t>
      </w:r>
      <w:r>
        <w:rPr>
          <w:rFonts w:ascii="Arial" w:cs="Arial" w:eastAsia="Arial" w:hAnsi="Arial"/>
          <w:sz w:val="16"/>
          <w:szCs w:val="16"/>
          <w:color w:val="auto"/>
        </w:rPr>
        <w:t>. In addition, on November 1, 2016,</w:t>
      </w:r>
      <w:r>
        <w:rPr>
          <w:rFonts w:ascii="Arial" w:cs="Arial" w:eastAsia="Arial" w:hAnsi="Arial"/>
          <w:sz w:val="16"/>
          <w:szCs w:val="16"/>
          <w:i w:val="1"/>
          <w:iCs w:val="1"/>
          <w:color w:val="auto"/>
        </w:rPr>
        <w:t xml:space="preserve"> </w:t>
      </w:r>
      <w:r>
        <w:rPr>
          <w:rFonts w:ascii="Arial" w:cs="Arial" w:eastAsia="Arial" w:hAnsi="Arial"/>
          <w:sz w:val="16"/>
          <w:szCs w:val="16"/>
          <w:color w:val="auto"/>
        </w:rPr>
        <w:t>we reorganized our reportable segments and goodwill reporting units to reflect how we now manage our business by industry group.</w:t>
      </w:r>
    </w:p>
    <w:p>
      <w:pPr>
        <w:spacing w:after="0" w:line="176"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At October 31, 2017, we had $1,864.2 million of goodwill. Our goodwill is included in the following segments: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$473.3 million — B&amp;I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$124.2 million — Aviation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$152.8 million — Emerging Industries Group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$180.0 million — Technical Solutions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$933.9 — Newly acquired GCA Services</w:t>
      </w:r>
    </w:p>
    <w:p>
      <w:pPr>
        <w:spacing w:after="0" w:line="19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 goodwill impairment analysis was performed for each of our reporting units on both November 1, 2016 and August 1, 2017. Based on these studies, the implied fair value of each of our reporting units was substantially in excess of its carrying value. Therefore, we concluded there were no indicators of impairment. A 10% decrease in the estimated fair value of any of our reporting units would not have resulted in a different conclusion.</w:t>
      </w:r>
    </w:p>
    <w:p>
      <w:pPr>
        <w:spacing w:after="0" w:line="179"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An impairment analysis was performed for our Government Services business when it was classified as held for sale at October 31, 2016, resulting in an impairment charge of $6.0 million, based upon the estimated fair value of the business at the time of the assessment. As described in the "Amortization and Impairment of Long-Lived-Assets" critical accounting policy, above, during the second quarter of 2017 we received an offer from a strategic buyer to purchase this business for an amount in excess of our original estimate of fair value less costs to sell. In accordance with the held-for-sale accounting guidance, we recorded a full impairment recovery of the aforementioned $6.0 million goodwill impairment in 2017.</w:t>
      </w:r>
    </w:p>
    <w:p>
      <w:pPr>
        <w:spacing w:after="0" w:line="200" w:lineRule="exact"/>
        <w:rPr>
          <w:sz w:val="20"/>
          <w:szCs w:val="20"/>
          <w:color w:val="auto"/>
        </w:rPr>
      </w:pPr>
    </w:p>
    <w:p>
      <w:pPr>
        <w:sectPr>
          <w:pgSz w:w="11900" w:h="16838" w:orient="portrait"/>
          <w:cols w:equalWidth="0" w:num="3">
            <w:col w:w="3760" w:space="240"/>
            <w:col w:w="3520" w:space="240"/>
            <w:col w:w="3620"/>
          </w:cols>
          <w:pgMar w:left="280" w:top="689" w:right="239" w:bottom="1440" w:gutter="0" w:footer="0" w:header="0"/>
          <w:type w:val="continuous"/>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80" w:top="689" w:right="239" w:bottom="1440" w:gutter="0" w:footer="0" w:header="0"/>
          <w:type w:val="continuous"/>
        </w:sectPr>
      </w:pPr>
    </w:p>
    <w:bookmarkStart w:id="45" w:name="page46"/>
    <w:bookmarkEnd w:id="45"/>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470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260" w:space="720"/>
            <w:col w:w="7400"/>
          </w:cols>
          <w:pgMar w:left="280" w:top="689" w:right="239" w:bottom="1440" w:gutter="0" w:footer="0" w:header="0"/>
        </w:sectPr>
      </w:pPr>
    </w:p>
    <w:p>
      <w:pPr>
        <w:spacing w:after="0" w:line="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automobile liability, property damage, and other insurable risks.</w:t>
      </w:r>
    </w:p>
    <w:p>
      <w:pPr>
        <w:spacing w:after="0" w:line="17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18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third-party claims administrators establish the case reserves based upon known factors related to the type and severity of the claims, demographic factors, legislative matters, and case law, as appropriate.</w:t>
      </w:r>
    </w:p>
    <w:p>
      <w:pPr>
        <w:spacing w:after="0" w:line="17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compare actual trends to expected trends and monitor claims developments.</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IBNR Claims.</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jc w:val="both"/>
        <w:ind w:right="40"/>
        <w:spacing w:after="0" w:line="260" w:lineRule="auto"/>
        <w:rPr>
          <w:sz w:val="20"/>
          <w:szCs w:val="20"/>
          <w:color w:val="auto"/>
        </w:rPr>
      </w:pPr>
      <w:r>
        <w:rPr>
          <w:rFonts w:ascii="Arial" w:cs="Arial" w:eastAsia="Arial" w:hAnsi="Arial"/>
          <w:sz w:val="16"/>
          <w:szCs w:val="16"/>
          <w:color w:val="auto"/>
        </w:rPr>
        <w:t>Our self-insurance liabilities contain uncertainties due to assumptions required and judgment used.</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Costs to settle our obligations, including legal and healthcare costs, could fluctuate and cause estimates of our self-insurance liabilities to change.</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Incident rates, including frequency and severity, could fluctuate and cause the estimates in our self-insurance liabilities to change.</w:t>
      </w:r>
    </w:p>
    <w:p>
      <w:pPr>
        <w:spacing w:after="0" w:line="17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These estimates are subject to: changes in the regulatory environment; fluctuations in projected exposures, including payroll, revenues, and the number of vehicle units; and the frequency, lag, and severity of claims.</w:t>
      </w:r>
    </w:p>
    <w:p>
      <w:pPr>
        <w:spacing w:after="0" w:line="17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 fully determined for several years.</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if the reserves related to self-insurance or high deductible programs from acquired businesses are not adequate to cover damages resulting from future accidents or other incidents, we may be exposed to substantial losses arising from future developments of the claims.</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174"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After analyzing the recent loss development patterns, comparing the loss development patterns against benchmarks, and applying actuarial projection methods to estimate the ultimate losses, we increased our total reserves for known claims as well as our estimate of the loss amounts associated with IBNR Claims for prior years by $22.0 million, $32.9 million, and $35.9 million during 2017, 2016, and 2015, respectively.</w:t>
      </w:r>
    </w:p>
    <w:p>
      <w:pPr>
        <w:spacing w:after="0" w:line="17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$25.1 million for 2017.</w:t>
      </w:r>
    </w:p>
    <w:p>
      <w:pPr>
        <w:spacing w:after="0" w:line="4360" w:lineRule="exact"/>
        <w:rPr>
          <w:sz w:val="20"/>
          <w:szCs w:val="20"/>
          <w:color w:val="auto"/>
        </w:rPr>
      </w:pPr>
    </w:p>
    <w:p>
      <w:pPr>
        <w:sectPr>
          <w:pgSz w:w="11900" w:h="16838" w:orient="portrait"/>
          <w:cols w:equalWidth="0" w:num="3">
            <w:col w:w="3800" w:space="200"/>
            <w:col w:w="3560" w:space="200"/>
            <w:col w:w="3620"/>
          </w:cols>
          <w:pgMar w:left="280" w:top="689"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80"/>
          </w:cols>
          <w:pgMar w:left="280" w:top="689" w:right="239" w:bottom="1440" w:gutter="0" w:footer="0" w:header="0"/>
          <w:type w:val="continuous"/>
        </w:sectPr>
      </w:pPr>
    </w:p>
    <w:bookmarkStart w:id="46" w:name="page47"/>
    <w:bookmarkEnd w:id="46"/>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470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83" w:lineRule="exact"/>
        <w:rPr>
          <w:sz w:val="20"/>
          <w:szCs w:val="20"/>
          <w:color w:val="auto"/>
        </w:rPr>
      </w:pPr>
    </w:p>
    <w:p>
      <w:pPr>
        <w:sectPr>
          <w:pgSz w:w="11900" w:h="16838" w:orient="portrait"/>
          <w:cols w:equalWidth="0" w:num="2">
            <w:col w:w="3260" w:space="720"/>
            <w:col w:w="7400"/>
          </w:cols>
          <w:pgMar w:left="280" w:top="689" w:right="239" w:bottom="1440" w:gutter="0" w:footer="0" w:header="0"/>
        </w:sectPr>
      </w:pPr>
    </w:p>
    <w:p>
      <w:pPr>
        <w:ind w:right="20"/>
        <w:spacing w:after="0" w:line="231" w:lineRule="auto"/>
        <w:rPr>
          <w:sz w:val="20"/>
          <w:szCs w:val="20"/>
          <w:color w:val="auto"/>
        </w:rPr>
      </w:pPr>
      <w:r>
        <w:rPr>
          <w:rFonts w:ascii="Arial" w:cs="Arial" w:eastAsia="Arial" w:hAnsi="Arial"/>
          <w:sz w:val="16"/>
          <w:szCs w:val="16"/>
          <w:color w:val="auto"/>
        </w:rPr>
        <w:t>We earn revenue under various types of service contracts. In all forms of service we provide, revenue is recognized when persuasive evidence of an arrangement exists, services have been rendered, the fee is fixed or determinable, and collectability is reasonably assured. The various types of service contracts are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Monthly Fixed-Price</w:t>
      </w:r>
    </w:p>
    <w:p>
      <w:pPr>
        <w:spacing w:after="0" w:line="1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These arrangements are contracts in which the client agrees to pay a fixed fee every month over a specified contract term. A variation of a fixed-price arrangement is a square-foot arrangement, under which monthly billings are based on the actual square footage serviced.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Cost-Plus</w:t>
      </w:r>
    </w:p>
    <w:p>
      <w:pPr>
        <w:spacing w:after="0" w:line="10"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These arrangements are contracts in which the clients reimburse us for the agreed-upon amount of wages and benefits, payroll taxes, insurance charges, and other expenses associated with the contracted work, plus a profit margin.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Tag Services</w:t>
      </w:r>
    </w:p>
    <w:p>
      <w:pPr>
        <w:spacing w:after="0" w:line="1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Tag work generally consists of supplemental services requested by clients outside of the standard service specification and includes cleanup after tenant moves, construction cleanup, flood cleanup, and snow removal.</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Transaction-Price</w:t>
      </w:r>
    </w:p>
    <w:p>
      <w:pPr>
        <w:spacing w:after="0" w:line="10"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These are agreements in which the clients are billed for each transaction performed on a monthly basis (e.g., wheelchair passengers served or aircrafts cleaned).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Hourly</w:t>
      </w:r>
    </w:p>
    <w:p>
      <w:pPr>
        <w:spacing w:after="0" w:line="10"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These arrangements are contracts in which the client is billed a set hourly rate for each labor hour provided.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Reimbursement</w:t>
      </w:r>
    </w:p>
    <w:p>
      <w:pPr>
        <w:spacing w:after="0" w:line="10"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Under these parking arrangements, we manage a parking facility for a management fee and pass through the revenue and expenses associated with the facility to the owner. These revenues and expenses are reported in equal amounts as costs reimbursed from our managed locations.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For our service contracts, the determination of the sales allowance contains uncertainties because it requires our management to make assumptions and apply judgment about the amount and timing of indeterminable billing errors and disputes.</w:t>
      </w:r>
    </w:p>
    <w:p>
      <w:pPr>
        <w:spacing w:after="0" w:line="176"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For certain ESPC and fixed-price repair and refurbishment arrangements for which we recognize revenue under the percentage-of-completion method, recognition of profit is dependent upon the accuracy of a variety of estimates, including:</w:t>
      </w:r>
    </w:p>
    <w:p>
      <w:pPr>
        <w:spacing w:after="0" w:line="3" w:lineRule="exact"/>
        <w:rPr>
          <w:sz w:val="20"/>
          <w:szCs w:val="20"/>
          <w:color w:val="auto"/>
        </w:rPr>
      </w:pPr>
    </w:p>
    <w:p>
      <w:pPr>
        <w:ind w:left="240" w:hanging="234"/>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engineering progress;</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achievement of milestones;</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incentives;</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labor productivity; and</w:t>
      </w:r>
    </w:p>
    <w:p>
      <w:pPr>
        <w:spacing w:after="0" w:line="5" w:lineRule="exact"/>
        <w:rPr>
          <w:rFonts w:ascii="Arial" w:cs="Arial" w:eastAsia="Arial" w:hAnsi="Arial"/>
          <w:sz w:val="16"/>
          <w:szCs w:val="16"/>
          <w:color w:val="auto"/>
        </w:rPr>
      </w:pPr>
    </w:p>
    <w:p>
      <w:pPr>
        <w:ind w:left="240" w:hanging="234"/>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estimates.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Such estimates are based on various professional judgments made with respect to those factors and are subject to change as each project proceeds and new information becomes available.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have not made any changes in the accounting methodology used to record our sales allowance or to recognize revenue under the percentage-of-completion method during the past three years.</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For contracts where the percentage-of-completion method is used to recognize revenue, if actual costs differ from our assumptions, the amount of revenue and the related gross profit recognized will also fluctuate. As revenue earned under these types of contracts represent a small portion of our total revenue, any revisions to our estimated costs would not have a significant impact on our revenue or operating profit.</w:t>
      </w:r>
    </w:p>
    <w:p>
      <w:pPr>
        <w:spacing w:after="0" w:line="180"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A 10% change in our sales allowance would have affected net income by approximately $0.5 million for 2017.</w:t>
      </w:r>
    </w:p>
    <w:p>
      <w:pPr>
        <w:spacing w:after="0" w:line="5010" w:lineRule="exact"/>
        <w:rPr>
          <w:sz w:val="20"/>
          <w:szCs w:val="20"/>
          <w:color w:val="auto"/>
        </w:rPr>
      </w:pPr>
    </w:p>
    <w:p>
      <w:pPr>
        <w:sectPr>
          <w:pgSz w:w="11900" w:h="16838" w:orient="portrait"/>
          <w:cols w:equalWidth="0" w:num="3">
            <w:col w:w="3800" w:space="200"/>
            <w:col w:w="3600" w:space="160"/>
            <w:col w:w="3620"/>
          </w:cols>
          <w:pgMar w:left="280" w:top="68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80"/>
          </w:cols>
          <w:pgMar w:left="280" w:top="689"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r>
        <w:trPr>
          <w:trHeight w:val="224"/>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 Recognition (continued)</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Leased Location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 these parking arrangements, we generally pay</w:t>
      </w:r>
    </w:p>
    <w:p>
      <w:pPr>
        <w:ind w:left="40"/>
        <w:spacing w:after="0" w:line="229" w:lineRule="auto"/>
        <w:rPr>
          <w:sz w:val="20"/>
          <w:szCs w:val="20"/>
          <w:color w:val="auto"/>
        </w:rPr>
      </w:pPr>
      <w:r>
        <w:rPr>
          <w:rFonts w:ascii="Arial" w:cs="Arial" w:eastAsia="Arial" w:hAnsi="Arial"/>
          <w:sz w:val="16"/>
          <w:szCs w:val="16"/>
          <w:color w:val="auto"/>
        </w:rPr>
        <w:t>to the property owner a fixed amount of rent, plus a</w:t>
      </w:r>
    </w:p>
    <w:p>
      <w:pPr>
        <w:ind w:left="40"/>
        <w:spacing w:after="0" w:line="229" w:lineRule="auto"/>
        <w:rPr>
          <w:sz w:val="20"/>
          <w:szCs w:val="20"/>
          <w:color w:val="auto"/>
        </w:rPr>
      </w:pPr>
      <w:r>
        <w:rPr>
          <w:rFonts w:ascii="Arial" w:cs="Arial" w:eastAsia="Arial" w:hAnsi="Arial"/>
          <w:sz w:val="16"/>
          <w:szCs w:val="16"/>
          <w:color w:val="auto"/>
        </w:rPr>
        <w:t>percentage of revenues derived from monthly and</w:t>
      </w:r>
    </w:p>
    <w:p>
      <w:pPr>
        <w:ind w:left="40"/>
        <w:spacing w:after="0" w:line="229" w:lineRule="auto"/>
        <w:rPr>
          <w:sz w:val="20"/>
          <w:szCs w:val="20"/>
          <w:color w:val="auto"/>
        </w:rPr>
      </w:pPr>
      <w:r>
        <w:rPr>
          <w:rFonts w:ascii="Arial" w:cs="Arial" w:eastAsia="Arial" w:hAnsi="Arial"/>
          <w:sz w:val="16"/>
          <w:szCs w:val="16"/>
          <w:color w:val="auto"/>
        </w:rPr>
        <w:t>transient parkers. We retain all revenues and we are</w:t>
      </w:r>
    </w:p>
    <w:p>
      <w:pPr>
        <w:ind w:left="40"/>
        <w:spacing w:after="0"/>
        <w:rPr>
          <w:sz w:val="20"/>
          <w:szCs w:val="20"/>
          <w:color w:val="auto"/>
        </w:rPr>
      </w:pPr>
      <w:r>
        <w:rPr>
          <w:rFonts w:ascii="Arial" w:cs="Arial" w:eastAsia="Arial" w:hAnsi="Arial"/>
          <w:sz w:val="16"/>
          <w:szCs w:val="16"/>
          <w:color w:val="auto"/>
        </w:rPr>
        <w:t>responsible for most operating expenses incurred.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Allowance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 these parking arrangements, we are paid a</w:t>
      </w:r>
    </w:p>
    <w:p>
      <w:pPr>
        <w:ind w:left="40"/>
        <w:spacing w:after="0" w:line="229" w:lineRule="auto"/>
        <w:rPr>
          <w:sz w:val="20"/>
          <w:szCs w:val="20"/>
          <w:color w:val="auto"/>
        </w:rPr>
      </w:pPr>
      <w:r>
        <w:rPr>
          <w:rFonts w:ascii="Arial" w:cs="Arial" w:eastAsia="Arial" w:hAnsi="Arial"/>
          <w:sz w:val="16"/>
          <w:szCs w:val="16"/>
          <w:color w:val="auto"/>
        </w:rPr>
        <w:t>fixed or hourly fee to provide parking services, and we</w:t>
      </w:r>
    </w:p>
    <w:p>
      <w:pPr>
        <w:ind w:left="40"/>
        <w:spacing w:after="0" w:line="229" w:lineRule="auto"/>
        <w:rPr>
          <w:sz w:val="20"/>
          <w:szCs w:val="20"/>
          <w:color w:val="auto"/>
        </w:rPr>
      </w:pPr>
      <w:r>
        <w:rPr>
          <w:rFonts w:ascii="Arial" w:cs="Arial" w:eastAsia="Arial" w:hAnsi="Arial"/>
          <w:sz w:val="16"/>
          <w:szCs w:val="16"/>
          <w:color w:val="auto"/>
        </w:rPr>
        <w:t>are responsible for certain operating expenses, as</w:t>
      </w:r>
    </w:p>
    <w:p>
      <w:pPr>
        <w:ind w:left="40"/>
        <w:spacing w:after="0"/>
        <w:rPr>
          <w:sz w:val="20"/>
          <w:szCs w:val="20"/>
          <w:color w:val="auto"/>
        </w:rPr>
      </w:pPr>
      <w:r>
        <w:rPr>
          <w:rFonts w:ascii="Arial" w:cs="Arial" w:eastAsia="Arial" w:hAnsi="Arial"/>
          <w:sz w:val="16"/>
          <w:szCs w:val="16"/>
          <w:color w:val="auto"/>
        </w:rPr>
        <w:t>specified in the contract.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ESPC and Fixed-Price Repair and Refurbishment</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recognize revenue under these arrangements</w:t>
      </w:r>
    </w:p>
    <w:p>
      <w:pPr>
        <w:ind w:left="40"/>
        <w:spacing w:after="0" w:line="229" w:lineRule="auto"/>
        <w:rPr>
          <w:sz w:val="20"/>
          <w:szCs w:val="20"/>
          <w:color w:val="auto"/>
        </w:rPr>
      </w:pPr>
      <w:r>
        <w:rPr>
          <w:rFonts w:ascii="Arial" w:cs="Arial" w:eastAsia="Arial" w:hAnsi="Arial"/>
          <w:sz w:val="16"/>
          <w:szCs w:val="16"/>
          <w:color w:val="auto"/>
        </w:rPr>
        <w:t>using the percentage-of-completion method of</w:t>
      </w:r>
    </w:p>
    <w:p>
      <w:pPr>
        <w:ind w:left="40"/>
        <w:spacing w:after="0" w:line="229" w:lineRule="auto"/>
        <w:rPr>
          <w:sz w:val="20"/>
          <w:szCs w:val="20"/>
          <w:color w:val="auto"/>
        </w:rPr>
      </w:pPr>
      <w:r>
        <w:rPr>
          <w:rFonts w:ascii="Arial" w:cs="Arial" w:eastAsia="Arial" w:hAnsi="Arial"/>
          <w:sz w:val="16"/>
          <w:szCs w:val="16"/>
          <w:color w:val="auto"/>
        </w:rPr>
        <w:t>accounting, most often based on the cost-to-cost</w:t>
      </w:r>
    </w:p>
    <w:p>
      <w:pPr>
        <w:ind w:left="40"/>
        <w:spacing w:after="0" w:line="229" w:lineRule="auto"/>
        <w:rPr>
          <w:sz w:val="20"/>
          <w:szCs w:val="20"/>
          <w:color w:val="auto"/>
        </w:rPr>
      </w:pPr>
      <w:r>
        <w:rPr>
          <w:rFonts w:ascii="Arial" w:cs="Arial" w:eastAsia="Arial" w:hAnsi="Arial"/>
          <w:sz w:val="16"/>
          <w:szCs w:val="16"/>
          <w:color w:val="auto"/>
        </w:rPr>
        <w:t>method. Under the percentage-of-completion method,</w:t>
      </w:r>
    </w:p>
    <w:p>
      <w:pPr>
        <w:ind w:left="40"/>
        <w:spacing w:after="0" w:line="229" w:lineRule="auto"/>
        <w:rPr>
          <w:sz w:val="20"/>
          <w:szCs w:val="20"/>
          <w:color w:val="auto"/>
        </w:rPr>
      </w:pPr>
      <w:r>
        <w:rPr>
          <w:rFonts w:ascii="Arial" w:cs="Arial" w:eastAsia="Arial" w:hAnsi="Arial"/>
          <w:sz w:val="16"/>
          <w:szCs w:val="16"/>
          <w:color w:val="auto"/>
        </w:rPr>
        <w:t>revenues are recognized as the work progresses. The</w:t>
      </w:r>
    </w:p>
    <w:p>
      <w:pPr>
        <w:ind w:left="40"/>
        <w:spacing w:after="0" w:line="229" w:lineRule="auto"/>
        <w:rPr>
          <w:sz w:val="20"/>
          <w:szCs w:val="20"/>
          <w:color w:val="auto"/>
        </w:rPr>
      </w:pPr>
      <w:r>
        <w:rPr>
          <w:rFonts w:ascii="Arial" w:cs="Arial" w:eastAsia="Arial" w:hAnsi="Arial"/>
          <w:sz w:val="16"/>
          <w:szCs w:val="16"/>
          <w:color w:val="auto"/>
        </w:rPr>
        <w:t>percentage of work completed is determined</w:t>
      </w:r>
    </w:p>
    <w:p>
      <w:pPr>
        <w:ind w:left="40"/>
        <w:spacing w:after="0" w:line="229" w:lineRule="auto"/>
        <w:rPr>
          <w:sz w:val="20"/>
          <w:szCs w:val="20"/>
          <w:color w:val="auto"/>
        </w:rPr>
      </w:pPr>
      <w:r>
        <w:rPr>
          <w:rFonts w:ascii="Arial" w:cs="Arial" w:eastAsia="Arial" w:hAnsi="Arial"/>
          <w:sz w:val="16"/>
          <w:szCs w:val="16"/>
          <w:color w:val="auto"/>
        </w:rPr>
        <w:t>principally by comparing the actual costs incurred to</w:t>
      </w:r>
    </w:p>
    <w:p>
      <w:pPr>
        <w:ind w:left="40"/>
        <w:spacing w:after="0" w:line="229" w:lineRule="auto"/>
        <w:rPr>
          <w:sz w:val="20"/>
          <w:szCs w:val="20"/>
          <w:color w:val="auto"/>
        </w:rPr>
      </w:pPr>
      <w:r>
        <w:rPr>
          <w:rFonts w:ascii="Arial" w:cs="Arial" w:eastAsia="Arial" w:hAnsi="Arial"/>
          <w:sz w:val="16"/>
          <w:szCs w:val="16"/>
          <w:color w:val="auto"/>
        </w:rPr>
        <w:t>date with the current estimate of total costs to</w:t>
      </w:r>
    </w:p>
    <w:p>
      <w:pPr>
        <w:ind w:left="40"/>
        <w:spacing w:after="0" w:line="229" w:lineRule="auto"/>
        <w:rPr>
          <w:sz w:val="20"/>
          <w:szCs w:val="20"/>
          <w:color w:val="auto"/>
        </w:rPr>
      </w:pPr>
      <w:r>
        <w:rPr>
          <w:rFonts w:ascii="Arial" w:cs="Arial" w:eastAsia="Arial" w:hAnsi="Arial"/>
          <w:sz w:val="16"/>
          <w:szCs w:val="16"/>
          <w:color w:val="auto"/>
        </w:rPr>
        <w:t>complete. Estimated losses are recorded when</w:t>
      </w:r>
    </w:p>
    <w:p>
      <w:pPr>
        <w:ind w:left="40"/>
        <w:spacing w:after="0"/>
        <w:rPr>
          <w:sz w:val="20"/>
          <w:szCs w:val="20"/>
          <w:color w:val="auto"/>
        </w:rPr>
      </w:pPr>
      <w:r>
        <w:rPr>
          <w:rFonts w:ascii="Arial" w:cs="Arial" w:eastAsia="Arial" w:hAnsi="Arial"/>
          <w:sz w:val="16"/>
          <w:szCs w:val="16"/>
          <w:color w:val="auto"/>
        </w:rPr>
        <w:t>identified.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Franchise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franchise certain engineering services through</w:t>
      </w:r>
    </w:p>
    <w:p>
      <w:pPr>
        <w:ind w:left="40"/>
        <w:spacing w:after="0" w:line="229" w:lineRule="auto"/>
        <w:rPr>
          <w:sz w:val="20"/>
          <w:szCs w:val="20"/>
          <w:color w:val="auto"/>
        </w:rPr>
      </w:pPr>
      <w:r>
        <w:rPr>
          <w:rFonts w:ascii="Arial" w:cs="Arial" w:eastAsia="Arial" w:hAnsi="Arial"/>
          <w:sz w:val="16"/>
          <w:szCs w:val="16"/>
          <w:color w:val="auto"/>
        </w:rPr>
        <w:t>individual and area franchises under the Linc Service</w:t>
      </w:r>
    </w:p>
    <w:p>
      <w:pPr>
        <w:ind w:left="40"/>
        <w:spacing w:after="0" w:line="229" w:lineRule="auto"/>
        <w:rPr>
          <w:sz w:val="20"/>
          <w:szCs w:val="20"/>
          <w:color w:val="auto"/>
        </w:rPr>
      </w:pPr>
      <w:r>
        <w:rPr>
          <w:rFonts w:ascii="Arial" w:cs="Arial" w:eastAsia="Arial" w:hAnsi="Arial"/>
          <w:sz w:val="16"/>
          <w:szCs w:val="16"/>
          <w:color w:val="auto"/>
        </w:rPr>
        <w:t>and TEGG brands, which are part of ABM Technical</w:t>
      </w:r>
    </w:p>
    <w:p>
      <w:pPr>
        <w:ind w:left="40"/>
        <w:spacing w:after="0"/>
        <w:rPr>
          <w:sz w:val="20"/>
          <w:szCs w:val="20"/>
          <w:color w:val="auto"/>
        </w:rPr>
      </w:pPr>
      <w:r>
        <w:rPr>
          <w:rFonts w:ascii="Arial" w:cs="Arial" w:eastAsia="Arial" w:hAnsi="Arial"/>
          <w:sz w:val="16"/>
          <w:szCs w:val="16"/>
          <w:color w:val="auto"/>
        </w:rPr>
        <w:t>Solutions.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Initial franchise fees are recognized when</w:t>
      </w:r>
    </w:p>
    <w:p>
      <w:pPr>
        <w:ind w:left="40"/>
        <w:spacing w:after="0" w:line="229" w:lineRule="auto"/>
        <w:rPr>
          <w:sz w:val="20"/>
          <w:szCs w:val="20"/>
          <w:color w:val="auto"/>
        </w:rPr>
      </w:pPr>
      <w:r>
        <w:rPr>
          <w:rFonts w:ascii="Arial" w:cs="Arial" w:eastAsia="Arial" w:hAnsi="Arial"/>
          <w:sz w:val="16"/>
          <w:szCs w:val="16"/>
          <w:color w:val="auto"/>
        </w:rPr>
        <w:t>we have performed substantially all initial</w:t>
      </w:r>
    </w:p>
    <w:p>
      <w:pPr>
        <w:ind w:left="40"/>
        <w:spacing w:after="0" w:line="229" w:lineRule="auto"/>
        <w:rPr>
          <w:sz w:val="20"/>
          <w:szCs w:val="20"/>
          <w:color w:val="auto"/>
        </w:rPr>
      </w:pPr>
      <w:r>
        <w:rPr>
          <w:rFonts w:ascii="Arial" w:cs="Arial" w:eastAsia="Arial" w:hAnsi="Arial"/>
          <w:sz w:val="16"/>
          <w:szCs w:val="16"/>
          <w:color w:val="auto"/>
        </w:rPr>
        <w:t>services required by the franchise</w:t>
      </w:r>
    </w:p>
    <w:p>
      <w:pPr>
        <w:ind w:left="40"/>
        <w:spacing w:after="0"/>
        <w:rPr>
          <w:sz w:val="20"/>
          <w:szCs w:val="20"/>
          <w:color w:val="auto"/>
        </w:rPr>
      </w:pPr>
      <w:r>
        <w:rPr>
          <w:rFonts w:ascii="Arial" w:cs="Arial" w:eastAsia="Arial" w:hAnsi="Arial"/>
          <w:sz w:val="16"/>
          <w:szCs w:val="16"/>
          <w:color w:val="auto"/>
        </w:rPr>
        <w:t>agreement.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Royalties are recognized in income as</w:t>
      </w:r>
    </w:p>
    <w:p>
      <w:pPr>
        <w:ind w:left="40"/>
        <w:spacing w:after="0"/>
        <w:rPr>
          <w:sz w:val="20"/>
          <w:szCs w:val="20"/>
          <w:color w:val="auto"/>
        </w:rPr>
      </w:pPr>
      <w:r>
        <w:rPr>
          <w:rFonts w:ascii="Arial" w:cs="Arial" w:eastAsia="Arial" w:hAnsi="Arial"/>
          <w:sz w:val="16"/>
          <w:szCs w:val="16"/>
          <w:color w:val="auto"/>
        </w:rPr>
        <w:t>underlying franchisee sales occur.</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franchise fees charged to</w:t>
      </w:r>
    </w:p>
    <w:p>
      <w:pPr>
        <w:ind w:left="40"/>
        <w:spacing w:after="0" w:line="229" w:lineRule="auto"/>
        <w:rPr>
          <w:sz w:val="20"/>
          <w:szCs w:val="20"/>
          <w:color w:val="auto"/>
        </w:rPr>
      </w:pPr>
      <w:r>
        <w:rPr>
          <w:rFonts w:ascii="Arial" w:cs="Arial" w:eastAsia="Arial" w:hAnsi="Arial"/>
          <w:sz w:val="16"/>
          <w:szCs w:val="16"/>
          <w:color w:val="auto"/>
        </w:rPr>
        <w:t>franchisees on a flat rate are recognized</w:t>
      </w:r>
    </w:p>
    <w:p>
      <w:pPr>
        <w:ind w:left="40"/>
        <w:spacing w:after="0"/>
        <w:rPr>
          <w:sz w:val="20"/>
          <w:szCs w:val="20"/>
          <w:color w:val="auto"/>
        </w:rPr>
      </w:pPr>
      <w:r>
        <w:rPr>
          <w:rFonts w:ascii="Arial" w:cs="Arial" w:eastAsia="Arial" w:hAnsi="Arial"/>
          <w:sz w:val="16"/>
          <w:szCs w:val="16"/>
          <w:color w:val="auto"/>
        </w:rPr>
        <w:t>as earned.</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Sales Allowance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our service contracts,</w:t>
      </w:r>
    </w:p>
    <w:p>
      <w:pPr>
        <w:ind w:left="40"/>
        <w:spacing w:after="0" w:line="229" w:lineRule="auto"/>
        <w:rPr>
          <w:sz w:val="20"/>
          <w:szCs w:val="20"/>
          <w:color w:val="auto"/>
        </w:rPr>
      </w:pPr>
      <w:r>
        <w:rPr>
          <w:rFonts w:ascii="Arial" w:cs="Arial" w:eastAsia="Arial" w:hAnsi="Arial"/>
          <w:sz w:val="16"/>
          <w:szCs w:val="16"/>
          <w:color w:val="auto"/>
        </w:rPr>
        <w:t>we periodically issue credit memos to our</w:t>
      </w:r>
    </w:p>
    <w:p>
      <w:pPr>
        <w:ind w:left="40"/>
        <w:spacing w:after="0" w:line="229" w:lineRule="auto"/>
        <w:rPr>
          <w:sz w:val="20"/>
          <w:szCs w:val="20"/>
          <w:color w:val="auto"/>
        </w:rPr>
      </w:pPr>
      <w:r>
        <w:rPr>
          <w:rFonts w:ascii="Arial" w:cs="Arial" w:eastAsia="Arial" w:hAnsi="Arial"/>
          <w:sz w:val="16"/>
          <w:szCs w:val="16"/>
          <w:color w:val="auto"/>
        </w:rPr>
        <w:t>clients that are recorded as a reduction in</w:t>
      </w:r>
    </w:p>
    <w:p>
      <w:pPr>
        <w:ind w:left="40"/>
        <w:spacing w:after="0" w:line="229" w:lineRule="auto"/>
        <w:rPr>
          <w:sz w:val="20"/>
          <w:szCs w:val="20"/>
          <w:color w:val="auto"/>
        </w:rPr>
      </w:pPr>
      <w:r>
        <w:rPr>
          <w:rFonts w:ascii="Arial" w:cs="Arial" w:eastAsia="Arial" w:hAnsi="Arial"/>
          <w:sz w:val="16"/>
          <w:szCs w:val="16"/>
          <w:color w:val="auto"/>
        </w:rPr>
        <w:t>revenues and an increase to the</w:t>
      </w:r>
    </w:p>
    <w:p>
      <w:pPr>
        <w:ind w:left="40"/>
        <w:spacing w:after="0" w:line="229" w:lineRule="auto"/>
        <w:rPr>
          <w:sz w:val="20"/>
          <w:szCs w:val="20"/>
          <w:color w:val="auto"/>
        </w:rPr>
      </w:pPr>
      <w:r>
        <w:rPr>
          <w:rFonts w:ascii="Arial" w:cs="Arial" w:eastAsia="Arial" w:hAnsi="Arial"/>
          <w:sz w:val="16"/>
          <w:szCs w:val="16"/>
          <w:color w:val="auto"/>
        </w:rPr>
        <w:t>allowance for billing adjustments. These</w:t>
      </w:r>
    </w:p>
    <w:p>
      <w:pPr>
        <w:ind w:left="40"/>
        <w:spacing w:after="0" w:line="229" w:lineRule="auto"/>
        <w:rPr>
          <w:sz w:val="20"/>
          <w:szCs w:val="20"/>
          <w:color w:val="auto"/>
        </w:rPr>
      </w:pPr>
      <w:r>
        <w:rPr>
          <w:rFonts w:ascii="Arial" w:cs="Arial" w:eastAsia="Arial" w:hAnsi="Arial"/>
          <w:sz w:val="16"/>
          <w:szCs w:val="16"/>
          <w:color w:val="auto"/>
        </w:rPr>
        <w:t>credits can result from client vacancy</w:t>
      </w:r>
    </w:p>
    <w:p>
      <w:pPr>
        <w:ind w:left="40"/>
        <w:spacing w:after="0" w:line="229" w:lineRule="auto"/>
        <w:rPr>
          <w:sz w:val="20"/>
          <w:szCs w:val="20"/>
          <w:color w:val="auto"/>
        </w:rPr>
      </w:pPr>
      <w:r>
        <w:rPr>
          <w:rFonts w:ascii="Arial" w:cs="Arial" w:eastAsia="Arial" w:hAnsi="Arial"/>
          <w:sz w:val="16"/>
          <w:szCs w:val="16"/>
          <w:color w:val="auto"/>
        </w:rPr>
        <w:t>discounts, job cancellations, property</w:t>
      </w:r>
    </w:p>
    <w:p>
      <w:pPr>
        <w:ind w:left="40"/>
        <w:spacing w:after="0" w:line="229" w:lineRule="auto"/>
        <w:rPr>
          <w:sz w:val="20"/>
          <w:szCs w:val="20"/>
          <w:color w:val="auto"/>
        </w:rPr>
      </w:pPr>
      <w:r>
        <w:rPr>
          <w:rFonts w:ascii="Arial" w:cs="Arial" w:eastAsia="Arial" w:hAnsi="Arial"/>
          <w:sz w:val="16"/>
          <w:szCs w:val="16"/>
          <w:color w:val="auto"/>
        </w:rPr>
        <w:t>damage, and other items. We estimate</w:t>
      </w:r>
    </w:p>
    <w:p>
      <w:pPr>
        <w:ind w:left="40"/>
        <w:spacing w:after="0" w:line="229" w:lineRule="auto"/>
        <w:rPr>
          <w:sz w:val="20"/>
          <w:szCs w:val="20"/>
          <w:color w:val="auto"/>
        </w:rPr>
      </w:pPr>
      <w:r>
        <w:rPr>
          <w:rFonts w:ascii="Arial" w:cs="Arial" w:eastAsia="Arial" w:hAnsi="Arial"/>
          <w:sz w:val="16"/>
          <w:szCs w:val="16"/>
          <w:color w:val="auto"/>
        </w:rPr>
        <w:t>our potential future losses on these client</w:t>
      </w:r>
    </w:p>
    <w:p>
      <w:pPr>
        <w:ind w:left="40"/>
        <w:spacing w:after="0" w:line="229" w:lineRule="auto"/>
        <w:rPr>
          <w:sz w:val="20"/>
          <w:szCs w:val="20"/>
          <w:color w:val="auto"/>
        </w:rPr>
      </w:pPr>
      <w:r>
        <w:rPr>
          <w:rFonts w:ascii="Arial" w:cs="Arial" w:eastAsia="Arial" w:hAnsi="Arial"/>
          <w:sz w:val="16"/>
          <w:szCs w:val="16"/>
          <w:color w:val="auto"/>
        </w:rPr>
        <w:t>receivables based on an analysis of the</w:t>
      </w:r>
    </w:p>
    <w:p>
      <w:pPr>
        <w:ind w:left="40"/>
        <w:spacing w:after="0" w:line="229" w:lineRule="auto"/>
        <w:rPr>
          <w:sz w:val="20"/>
          <w:szCs w:val="20"/>
          <w:color w:val="auto"/>
        </w:rPr>
      </w:pPr>
      <w:r>
        <w:rPr>
          <w:rFonts w:ascii="Arial" w:cs="Arial" w:eastAsia="Arial" w:hAnsi="Arial"/>
          <w:sz w:val="16"/>
          <w:szCs w:val="16"/>
          <w:color w:val="auto"/>
        </w:rPr>
        <w:t>historical rate of sales adjustments (credit</w:t>
      </w:r>
    </w:p>
    <w:p>
      <w:pPr>
        <w:ind w:left="40"/>
        <w:spacing w:after="0" w:line="229" w:lineRule="auto"/>
        <w:rPr>
          <w:sz w:val="20"/>
          <w:szCs w:val="20"/>
          <w:color w:val="auto"/>
        </w:rPr>
      </w:pPr>
      <w:r>
        <w:rPr>
          <w:rFonts w:ascii="Arial" w:cs="Arial" w:eastAsia="Arial" w:hAnsi="Arial"/>
          <w:sz w:val="16"/>
          <w:szCs w:val="16"/>
          <w:color w:val="auto"/>
        </w:rPr>
        <w:t>memos, net of re-bills) and known or</w:t>
      </w:r>
    </w:p>
    <w:p>
      <w:pPr>
        <w:ind w:left="40"/>
        <w:spacing w:after="0"/>
        <w:rPr>
          <w:sz w:val="20"/>
          <w:szCs w:val="20"/>
          <w:color w:val="auto"/>
        </w:rPr>
      </w:pPr>
      <w:r>
        <w:rPr>
          <w:rFonts w:ascii="Arial" w:cs="Arial" w:eastAsia="Arial" w:hAnsi="Arial"/>
          <w:sz w:val="16"/>
          <w:szCs w:val="16"/>
          <w:color w:val="auto"/>
        </w:rPr>
        <w:t>expected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9" w:right="239" w:bottom="1440" w:gutter="0" w:footer="0" w:header="0"/>
        </w:sectPr>
      </w:pPr>
    </w:p>
    <w:bookmarkStart w:id="48" w:name="page49"/>
    <w:bookmarkEnd w:id="48"/>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470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Judgments and Uncertainties</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260" w:space="720"/>
            <w:col w:w="7400"/>
          </w:cols>
          <w:pgMar w:left="280" w:top="689" w:right="239" w:bottom="1440" w:gutter="0" w:footer="0" w:header="0"/>
        </w:sectPr>
      </w:pPr>
    </w:p>
    <w:p>
      <w:pPr>
        <w:spacing w:after="0" w:line="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provision for income taxes is estimated for the tax jurisdictions where we operate. This process involves estimating actual current tax expense together with assessing temporary differences between financial reporting and tax reporting. These differences result in deferred tax assets and liabilities, which are reduced by a valuation allowance when, in the opinion of our management, it is more likely than not that all or a portion of the deferred tax assets will not be realized.</w:t>
      </w:r>
    </w:p>
    <w:p>
      <w:pPr>
        <w:spacing w:after="0" w:line="17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All or a portion of the benefit of income tax positions is recognized only when we have made a determination that it is more likely than not that the tax position will be sustained upon examination, based upon the technical merits of the position and other factors. For tax positions that are determined as more likely than not to be sustained upon examination, the tax benefit recognized is the largest amount of benefit that is greater than 50% likely of being realized upon ultimate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9525</wp:posOffset>
            </wp:positionV>
            <wp:extent cx="2470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8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accrue for loss contingencies when losses become probable and are reasonably estimable. If the reasonable estimate of the loss is a range and no amount within the range is a better estimate, the minimum amount of the range is recorded as a liability.</w:t>
      </w:r>
    </w:p>
    <w:p>
      <w:pPr>
        <w:spacing w:after="0" w:line="17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6"/>
          <w:szCs w:val="16"/>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earnings being lower than anticipated in jurisdictions where we have lower statutory rates and higher than anticipated in jurisdictions where we have higher statutory rates, by changes in the valuation of our deferred tax assets and liabilities, or by changes in the relevant tax, accounting, and other laws, regulations, principles, and interpretations.</w:t>
      </w:r>
    </w:p>
    <w:p>
      <w:pPr>
        <w:spacing w:after="0" w:line="185"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Unrecognized tax benefits require significant management judgment regarding applicable statutes and their related interpretation as they apply to our particular facts and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127635</wp:posOffset>
            </wp:positionV>
            <wp:extent cx="2315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Litigation outcomes are difficult to predict and are often resolved over long periods of time.</w:t>
      </w:r>
    </w:p>
    <w:p>
      <w:pPr>
        <w:spacing w:after="0" w:line="16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Estimating probable and reasonably possible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financial statements if one or more matters are resolved in a particular period in an amount materially in excess of what we anticipated.</w:t>
      </w:r>
    </w:p>
    <w:p>
      <w:pPr>
        <w:spacing w:after="0" w:line="18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addition, 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8" w:lineRule="auto"/>
        <w:rPr>
          <w:sz w:val="20"/>
          <w:szCs w:val="20"/>
          <w:color w:val="auto"/>
        </w:rPr>
      </w:pPr>
      <w:r>
        <w:rPr>
          <w:rFonts w:ascii="Arial" w:cs="Arial" w:eastAsia="Arial" w:hAnsi="Arial"/>
          <w:sz w:val="16"/>
          <w:szCs w:val="16"/>
          <w:color w:val="auto"/>
        </w:rPr>
        <w:t>Although we believe that our income tax related judgments and estimates are reasonable, it is possible that our actual results could be different than what we expected, and we may be exposed to a material change in our total income tax expense, tax-related balances, or valuation allowances.</w:t>
      </w:r>
    </w:p>
    <w:p>
      <w:pPr>
        <w:spacing w:after="0" w:line="18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Upon income tax audit, any unfavorable tax settlement may require use of our cash and result in an increase in our effective tax rate in the period of settlement. A favorable tax settlement could be recognized as a reduction in our effective tax rate in the period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849630</wp:posOffset>
            </wp:positionV>
            <wp:extent cx="2315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management currently estimates the range of loss for all reasonably possible losses for which a reasonable estimate of the loss can be made is between zero and $3 million. Factors underlying this estimated range of loss may change from time to time, and actual results may vary significantly from this estimate.</w:t>
      </w:r>
    </w:p>
    <w:p>
      <w:pPr>
        <w:spacing w:after="0" w:line="2658" w:lineRule="exact"/>
        <w:rPr>
          <w:sz w:val="20"/>
          <w:szCs w:val="20"/>
          <w:color w:val="auto"/>
        </w:rPr>
      </w:pPr>
    </w:p>
    <w:p>
      <w:pPr>
        <w:sectPr>
          <w:pgSz w:w="11900" w:h="16838" w:orient="portrait"/>
          <w:cols w:equalWidth="0" w:num="3">
            <w:col w:w="3820" w:space="180"/>
            <w:col w:w="3580" w:space="180"/>
            <w:col w:w="3620"/>
          </w:cols>
          <w:pgMar w:left="280" w:top="689" w:right="239" w:bottom="1440" w:gutter="0" w:footer="0" w:header="0"/>
          <w:type w:val="continuous"/>
        </w:sect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80" w:top="689"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Recent Accounting Pronouncements</w:t>
      </w:r>
    </w:p>
    <w:p>
      <w:pPr>
        <w:sectPr>
          <w:pgSz w:w="11900" w:h="16838" w:orient="portrait"/>
          <w:cols w:equalWidth="0" w:num="1">
            <w:col w:w="11380"/>
          </w:cols>
          <w:pgMar w:left="240" w:top="522" w:right="279" w:bottom="1440" w:gutter="0" w:footer="0" w:header="0"/>
        </w:sect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741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9" w:lineRule="exact"/>
        <w:rPr>
          <w:sz w:val="20"/>
          <w:szCs w:val="20"/>
          <w:color w:val="auto"/>
        </w:rPr>
      </w:pPr>
    </w:p>
    <w:p>
      <w:pPr>
        <w:ind w:left="40"/>
        <w:spacing w:after="0" w:line="229" w:lineRule="auto"/>
        <w:rPr>
          <w:sz w:val="20"/>
          <w:szCs w:val="20"/>
          <w:color w:val="auto"/>
        </w:rPr>
      </w:pPr>
      <w:r>
        <w:rPr>
          <w:rFonts w:ascii="Arial" w:cs="Arial" w:eastAsia="Arial" w:hAnsi="Arial"/>
          <w:sz w:val="15"/>
          <w:szCs w:val="15"/>
          <w:color w:val="auto"/>
        </w:rPr>
        <w:t xml:space="preserve">In August 2017, the Financial Accounting Standards Board (“FASB”) issued Accounting Standards Update (“ASU”) 2017-12, </w:t>
      </w:r>
      <w:r>
        <w:rPr>
          <w:rFonts w:ascii="Arial" w:cs="Arial" w:eastAsia="Arial" w:hAnsi="Arial"/>
          <w:sz w:val="15"/>
          <w:szCs w:val="15"/>
          <w:i w:val="1"/>
          <w:iCs w:val="1"/>
          <w:color w:val="auto"/>
        </w:rPr>
        <w:t>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 (Topic 815): Targeted Improvements to Accounting for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741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0" w:lineRule="exact"/>
        <w:rPr>
          <w:sz w:val="20"/>
          <w:szCs w:val="20"/>
          <w:color w:val="auto"/>
        </w:rPr>
      </w:pPr>
    </w:p>
    <w:p>
      <w:pPr>
        <w:ind w:left="40" w:right="120"/>
        <w:spacing w:after="0" w:line="232" w:lineRule="auto"/>
        <w:rPr>
          <w:sz w:val="20"/>
          <w:szCs w:val="20"/>
          <w:color w:val="auto"/>
        </w:rPr>
      </w:pPr>
      <w:r>
        <w:rPr>
          <w:rFonts w:ascii="Arial" w:cs="Arial" w:eastAsia="Arial" w:hAnsi="Arial"/>
          <w:sz w:val="16"/>
          <w:szCs w:val="16"/>
          <w:color w:val="auto"/>
        </w:rPr>
        <w:t xml:space="preserve">In May 2017, the FASB issued ASU 2017-10, </w:t>
      </w:r>
      <w:r>
        <w:rPr>
          <w:rFonts w:ascii="Arial" w:cs="Arial" w:eastAsia="Arial" w:hAnsi="Arial"/>
          <w:sz w:val="16"/>
          <w:szCs w:val="16"/>
          <w:i w:val="1"/>
          <w:iCs w:val="1"/>
          <w:color w:val="auto"/>
        </w:rPr>
        <w:t>Service Concession</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 (Topic 853): Determining the Customer of the Operation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741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6" w:lineRule="exact"/>
        <w:rPr>
          <w:sz w:val="20"/>
          <w:szCs w:val="20"/>
          <w:color w:val="auto"/>
        </w:rPr>
      </w:pPr>
    </w:p>
    <w:p>
      <w:pPr>
        <w:ind w:left="40" w:right="40"/>
        <w:spacing w:after="0" w:line="233"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Scope of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1741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20320</wp:posOffset>
            </wp:positionV>
            <wp:extent cx="18180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This ASU better aligns accounting rules with a company’s risk management activities; better reflects economic results of hedging in financial statements; and simplifies hedge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212725</wp:posOffset>
            </wp:positionV>
            <wp:extent cx="18180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6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This ASU provides clarity on determining the customer in a service concession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228600</wp:posOffset>
            </wp:positionV>
            <wp:extent cx="18180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87"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This ASU clarifies which changes to the terms or conditions of a share-based payment award require an entity to apply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772160</wp:posOffset>
            </wp:positionV>
            <wp:extent cx="18180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Effective Date/Method of Adoption</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629920</wp:posOffset>
            </wp:positionV>
            <wp:extent cx="1663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November 1, 2018</w:t>
      </w:r>
    </w:p>
    <w:p>
      <w:pPr>
        <w:ind w:right="200"/>
        <w:spacing w:after="0" w:line="234" w:lineRule="auto"/>
        <w:rPr>
          <w:sz w:val="20"/>
          <w:szCs w:val="20"/>
          <w:color w:val="auto"/>
        </w:rPr>
      </w:pPr>
      <w:r>
        <w:rPr>
          <w:rFonts w:ascii="Arial" w:cs="Arial" w:eastAsia="Arial" w:hAnsi="Arial"/>
          <w:sz w:val="16"/>
          <w:szCs w:val="16"/>
          <w:color w:val="auto"/>
        </w:rPr>
        <w:t>We will adopt this standard in conjunction with ASU 2014-09,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116840</wp:posOffset>
            </wp:positionV>
            <wp:extent cx="1663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November 1, 2018</w:t>
      </w:r>
    </w:p>
    <w:p>
      <w:pPr>
        <w:spacing w:after="0" w:line="167" w:lineRule="exact"/>
        <w:rPr>
          <w:sz w:val="20"/>
          <w:szCs w:val="20"/>
          <w:color w:val="auto"/>
        </w:rPr>
      </w:pPr>
    </w:p>
    <w:p>
      <w:pPr>
        <w:jc w:val="both"/>
        <w:ind w:right="300"/>
        <w:spacing w:after="0" w:line="233" w:lineRule="auto"/>
        <w:rPr>
          <w:sz w:val="20"/>
          <w:szCs w:val="20"/>
          <w:color w:val="auto"/>
        </w:rPr>
      </w:pPr>
      <w:r>
        <w:rPr>
          <w:rFonts w:ascii="Arial" w:cs="Arial" w:eastAsia="Arial" w:hAnsi="Arial"/>
          <w:sz w:val="16"/>
          <w:szCs w:val="16"/>
          <w:color w:val="auto"/>
        </w:rPr>
        <w:t>Adoption of this standard will be applied prospectively to awards modified on or after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553720</wp:posOffset>
            </wp:positionV>
            <wp:extent cx="1663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20320</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We are currently evaluating the impact of this ASU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417830</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We are currently evaluating the impact of this ASU on our consolidated financial statements and will continue to evaluate it together with the implementation of ASU 2014-09.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5715</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7" w:lineRule="exact"/>
        <w:rPr>
          <w:sz w:val="20"/>
          <w:szCs w:val="20"/>
          <w:color w:val="auto"/>
        </w:rPr>
      </w:pPr>
    </w:p>
    <w:p>
      <w:pPr>
        <w:ind w:right="60"/>
        <w:spacing w:after="0" w:line="230" w:lineRule="auto"/>
        <w:rPr>
          <w:sz w:val="20"/>
          <w:szCs w:val="20"/>
          <w:color w:val="auto"/>
        </w:rPr>
      </w:pPr>
      <w:r>
        <w:rPr>
          <w:rFonts w:ascii="Arial" w:cs="Arial" w:eastAsia="Arial" w:hAnsi="Arial"/>
          <w:sz w:val="16"/>
          <w:szCs w:val="16"/>
          <w:color w:val="auto"/>
        </w:rPr>
        <w:t>The impact of this new standard will depend on the extent and nature of future changes to the terms of our share-based payment awards. Historically, we have not had significant changes to our share-based payment awards and therefore do not expect adoption of this guidance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59690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4">
            <w:col w:w="2620" w:space="280"/>
            <w:col w:w="2780" w:space="180"/>
            <w:col w:w="2560" w:space="180"/>
            <w:col w:w="2780"/>
          </w:cols>
          <w:pgMar w:left="240" w:top="522" w:right="279" w:bottom="1440" w:gutter="0" w:footer="0" w:header="0"/>
          <w:type w:val="continuous"/>
        </w:sectPr>
      </w:pPr>
    </w:p>
    <w:p>
      <w:pPr>
        <w:ind w:left="40" w:right="80"/>
        <w:spacing w:after="0" w:line="248" w:lineRule="auto"/>
        <w:rPr>
          <w:sz w:val="20"/>
          <w:szCs w:val="20"/>
          <w:color w:val="auto"/>
        </w:rPr>
      </w:pPr>
      <w:r>
        <w:rPr>
          <w:rFonts w:ascii="Arial" w:cs="Arial" w:eastAsia="Arial" w:hAnsi="Arial"/>
          <w:sz w:val="15"/>
          <w:szCs w:val="15"/>
          <w:color w:val="auto"/>
        </w:rPr>
        <w:t xml:space="preserve">In March 2017, the FASB issued ASU 2017-07,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Retirement Benefits (Topic 715): Improving the Presentation of Net Periodic Pension Cost and Net Periodic Postretirement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894715</wp:posOffset>
            </wp:positionV>
            <wp:extent cx="1741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0" w:right="240"/>
        <w:spacing w:after="0" w:line="265"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1741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line="23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p>
    <w:p>
      <w:pPr>
        <w:spacing w:after="0" w:line="20" w:lineRule="exact"/>
        <w:rPr>
          <w:sz w:val="20"/>
          <w:szCs w:val="20"/>
          <w:color w:val="auto"/>
        </w:rPr>
      </w:pPr>
      <w:r>
        <w:rPr>
          <w:sz w:val="20"/>
          <w:szCs w:val="20"/>
          <w:color w:val="auto"/>
        </w:rPr>
        <w:br w:type="column"/>
      </w:r>
    </w:p>
    <w:p>
      <w:pPr>
        <w:ind w:right="20"/>
        <w:spacing w:after="0" w:line="230" w:lineRule="auto"/>
        <w:rPr>
          <w:sz w:val="20"/>
          <w:szCs w:val="20"/>
          <w:color w:val="auto"/>
        </w:rPr>
      </w:pPr>
      <w:r>
        <w:rPr>
          <w:rFonts w:ascii="Arial" w:cs="Arial" w:eastAsia="Arial" w:hAnsi="Arial"/>
          <w:sz w:val="16"/>
          <w:szCs w:val="16"/>
          <w:color w:val="auto"/>
        </w:rPr>
        <w:t>To align with the presentation of compensation costs arising from services rendered by employees, this ASU requires classification of the service cost component of pension expense as an operating expense. The other components of pension expense, such as interest cost, amortization of prior service cost, and gains or losses, are required to be presented outside of operating expenses. This ASU also allows the service cost component to be eligible for capitalization, when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6350</wp:posOffset>
            </wp:positionV>
            <wp:extent cx="18180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7"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225425</wp:posOffset>
            </wp:positionV>
            <wp:extent cx="18180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83" w:lineRule="exact"/>
        <w:rPr>
          <w:sz w:val="20"/>
          <w:szCs w:val="20"/>
          <w:color w:val="auto"/>
        </w:rPr>
      </w:pPr>
    </w:p>
    <w:p>
      <w:pPr>
        <w:ind w:right="160"/>
        <w:spacing w:after="0" w:line="246" w:lineRule="auto"/>
        <w:rPr>
          <w:sz w:val="20"/>
          <w:szCs w:val="20"/>
          <w:color w:val="auto"/>
        </w:rPr>
      </w:pPr>
      <w:r>
        <w:rPr>
          <w:rFonts w:ascii="Arial" w:cs="Arial" w:eastAsia="Arial" w:hAnsi="Arial"/>
          <w:sz w:val="15"/>
          <w:szCs w:val="15"/>
          <w:color w:val="auto"/>
        </w:rPr>
        <w:t>This ASU introduces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2018</w:t>
      </w:r>
    </w:p>
    <w:p>
      <w:pPr>
        <w:spacing w:after="0" w:line="167" w:lineRule="exact"/>
        <w:rPr>
          <w:sz w:val="20"/>
          <w:szCs w:val="20"/>
          <w:color w:val="auto"/>
        </w:rPr>
      </w:pPr>
    </w:p>
    <w:p>
      <w:pPr>
        <w:ind w:right="20"/>
        <w:spacing w:after="0" w:line="231" w:lineRule="auto"/>
        <w:rPr>
          <w:sz w:val="20"/>
          <w:szCs w:val="20"/>
          <w:color w:val="auto"/>
        </w:rPr>
      </w:pPr>
      <w:r>
        <w:rPr>
          <w:rFonts w:ascii="Arial" w:cs="Arial" w:eastAsia="Arial" w:hAnsi="Arial"/>
          <w:sz w:val="16"/>
          <w:szCs w:val="16"/>
          <w:color w:val="auto"/>
        </w:rPr>
        <w:t>Adoption of this standard will be applied retrospectively for the classification requirements and prospectively for the capitalization of the service cost component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676275</wp:posOffset>
            </wp:positionV>
            <wp:extent cx="1663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167" w:lineRule="exact"/>
        <w:rPr>
          <w:sz w:val="20"/>
          <w:szCs w:val="20"/>
          <w:color w:val="auto"/>
        </w:rPr>
      </w:pPr>
    </w:p>
    <w:p>
      <w:pPr>
        <w:ind w:right="140"/>
        <w:spacing w:after="0" w:line="231" w:lineRule="auto"/>
        <w:rPr>
          <w:sz w:val="20"/>
          <w:szCs w:val="20"/>
          <w:color w:val="auto"/>
        </w:rPr>
      </w:pPr>
      <w:r>
        <w:rPr>
          <w:rFonts w:ascii="Arial" w:cs="Arial" w:eastAsia="Arial" w:hAnsi="Arial"/>
          <w:sz w:val="16"/>
          <w:szCs w:val="16"/>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1663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November 1, 2018</w:t>
      </w:r>
    </w:p>
    <w:p>
      <w:pPr>
        <w:spacing w:after="0" w:line="167"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6"/>
          <w:szCs w:val="16"/>
          <w:color w:val="auto"/>
        </w:rPr>
        <w:t>As ABM’s defined benefit and postretirement benefit plans were previously amended to preclude new participants, the adoption of this guidance will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786765</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556895</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color w:val="auto"/>
        </w:rPr>
        <w:t>We have begun our process for implementing this guidance, including a preliminary review of all revenue streams to identify changes from our current method of revenue recognition. We are continuing to evaluate the impact of this ASU on our consolidated financial statements.</w:t>
      </w:r>
    </w:p>
    <w:p>
      <w:pPr>
        <w:spacing w:after="0" w:line="374" w:lineRule="exact"/>
        <w:rPr>
          <w:sz w:val="20"/>
          <w:szCs w:val="20"/>
          <w:color w:val="auto"/>
        </w:rPr>
      </w:pPr>
    </w:p>
    <w:p>
      <w:pPr>
        <w:sectPr>
          <w:pgSz w:w="11900" w:h="16838" w:orient="portrait"/>
          <w:cols w:equalWidth="0" w:num="4">
            <w:col w:w="2720" w:space="180"/>
            <w:col w:w="2800" w:space="160"/>
            <w:col w:w="2560" w:space="180"/>
            <w:col w:w="2780"/>
          </w:cols>
          <w:pgMar w:left="240" w:top="522" w:right="279" w:bottom="1440" w:gutter="0" w:footer="0" w:header="0"/>
          <w:type w:val="continuous"/>
        </w:sect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80"/>
          </w:cols>
          <w:pgMar w:left="240" w:top="522" w:right="2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primarily exposed to interest rate risk through our variable rate borrowings under our Credit Facility. At October 31, 2017, we had total outstanding borrowings of $1.2 billion. To limit exposure to upward movements in interest rates, we entered into interest rate swap agreements to fix the interest rates on a substantial portion of our outstanding borrowings. At October 31, 2017, we had interest rate swaps with an underlying notional amount of $105.0 million and a fixed interest rate of 1.05%. In connection with our new Credit Facility, we entered into three additional forward-starting interest rate swap agreements that became effective in November 2017 with an underlying aggregate notional amount of $500.0 million and fixed interest rates of 1.65% and 1.69%.</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our average borrowings, interest rates, and interest rate swaps in effect at October 31, 2017, as well as the new swaps effective in November 2017, a 100 basis point increase in LIBOR would decrease our future earnings and cash flows by $6.5 million. For 2016, our market risk exposure related to interest rate fluctuations was $1.3 million. As actual interest rate movements over time are uncertain, our swaps pose potential interest rate risks if interest rates decrease. As of October 31, 2017, the fair value of our interest rate swap agreements was an asset of $2.9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primarily exposed to the impact of foreign exchange rate risk through our U.K. operations where the functional currency is the GBP.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22"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Incorporated:</w:t>
      </w:r>
    </w:p>
    <w:p>
      <w:pPr>
        <w:spacing w:after="0" w:line="1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We have audited the accompanying consolidated balance sheets of ABM Industries Incorporated and subsidiaries (“the Company”) as of October 31, 2017 and 2016, and the related consolidated statements of comprehensive income, stockholders’ equity, and cash flows for each of the years in the three-year period ended October 31, 2017. In connection with our audits of the consolidated financial statements, we also have audited the related financial statement Schedule II. We also have audited the Company’s internal control over financial reporting as of October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9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ABM Industries Incorporated and subsidiaries as of October 31, 2017 and 2016, and the results of their operations and their cash flows for each of the years in the three-year period ended October 31, 2017, in conformity with U.S. generally accepted accounting principles. Also in our opinion, the related financial statement Schedule II, when considered in relation to the consolidated financial statements taken as a whole, presents fairly, in all material respects, the information set forth therein. Also in our opinion, ABM Industries Incorporated and subsidiaries maintained, in all material respects, effective internal control over financial reporting as of October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acquired Mechanical Solutions, Inc. (“MSI”) on December 1, 2016, OFJ Connections Ltd (“OFJ”) on December 1, 2016, and GCA Holding Corp., the indirect parent company of GCA Services Group (“GCA”) on September 1, 2017. Management excluded these three businesses from its assessment of the effectiveness of the Company’s internal control over financial reporting as of October 31, 2017. MSI, OFJ, and GCA represented approximately 5% of the Company’s total consolidated assets (excluding goodwill and intangibles which are included within the scope of the assessment) and 4% of total consolidated revenues, as of and for the year ended October 31, 2017. Our audit of internal control over financial reporting of ABM Industries Incorporated and subsidiaries also excluded an evaluation of the internal control over financial reporting of MSI, OFJ, and GCA.</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December 22,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6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28575</wp:posOffset>
            </wp:positionV>
            <wp:extent cx="2109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receivable, net of allowances of $25.5 and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$15.9 at October 31, 2017 and 2016, 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1,235.5</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 of accumulated depreciation of $136.4 and $163.4 at October 31,</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2017 and 2016, 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$189.1 and $157.0 at October 31, 2017</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2016, respectively</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2,278.8</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0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757.8</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insurance claims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2,436.9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Common stock, $0.01 par value; 100,000,000 shares authorized;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0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65,502,568 and 55,599,322 shares issued and outstanding at October 31, 2017 and 2016,</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720.1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1,375.7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0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508"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October 31,</w:t>
            </w:r>
          </w:p>
        </w:tc>
        <w:tc>
          <w:tcPr>
            <w:tcW w:w="1100" w:type="dxa"/>
            <w:vAlign w:val="bottom"/>
            <w:tcBorders>
              <w:bottom w:val="single" w:sz="8" w:color="auto"/>
            </w:tcBorders>
          </w:tcPr>
          <w:p>
            <w:pPr>
              <w:spacing w:after="0"/>
              <w:rPr>
                <w:sz w:val="21"/>
                <w:szCs w:val="21"/>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4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5,453.6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5,144.7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4,897.8</w:t>
            </w:r>
          </w:p>
        </w:tc>
      </w:tr>
      <w:tr>
        <w:trPr>
          <w:trHeight w:val="26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4,881.2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4,603.4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4,392.3</w:t>
            </w:r>
          </w:p>
        </w:tc>
      </w:tr>
      <w:tr>
        <w:trPr>
          <w:trHeight w:val="277"/>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r>
      <w:tr>
        <w:trPr>
          <w:trHeight w:val="26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Restructuring and related expenses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7"/>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6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Impairment (recovery) loss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r>
      <w:tr>
        <w:trPr>
          <w:trHeight w:val="26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5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72.4</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tax (provision) benefit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(Loss) income from discontinued operations, net of taxes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net of taxes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90"/>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r>
      <w:tr>
        <w:trPr>
          <w:trHeight w:val="251"/>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0.95</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(Loss) income from discontinued operations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r>
      <w:tr>
        <w:trPr>
          <w:trHeight w:val="290"/>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251"/>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0.94</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(Loss) income from discontinued operations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90"/>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160"/>
        </w:trPr>
        <w:tc>
          <w:tcPr>
            <w:tcW w:w="6740" w:type="dxa"/>
            <w:vAlign w:val="bottom"/>
            <w:gridSpan w:val="3"/>
            <w:shd w:val="clear" w:color="auto" w:fill="CCEEFF"/>
          </w:tcPr>
          <w:p>
            <w:pPr>
              <w:ind w:left="40"/>
              <w:spacing w:after="0" w:line="160" w:lineRule="exact"/>
              <w:rPr>
                <w:sz w:val="20"/>
                <w:szCs w:val="20"/>
                <w:color w:val="auto"/>
              </w:rPr>
            </w:pPr>
            <w:r>
              <w:rPr>
                <w:rFonts w:ascii="Arial" w:cs="Arial" w:eastAsia="Arial" w:hAnsi="Arial"/>
                <w:sz w:val="18"/>
                <w:szCs w:val="18"/>
                <w:b w:val="1"/>
                <w:bCs w:val="1"/>
                <w:color w:val="auto"/>
              </w:rPr>
              <w:t>Weighted-average common and common</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52"/>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equivalent shares outstanding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7"/>
        </w:trPr>
        <w:tc>
          <w:tcPr>
            <w:tcW w:w="4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0.680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0.660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0.640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Years Ended October 31,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2016</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22"/>
                <w:szCs w:val="22"/>
                <w:color w:val="auto"/>
              </w:rPr>
            </w:pPr>
          </w:p>
        </w:tc>
      </w:tr>
      <w:tr>
        <w:trPr>
          <w:trHeight w:val="229"/>
        </w:trPr>
        <w:tc>
          <w:tcPr>
            <w:tcW w:w="462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58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20" w:type="dxa"/>
            <w:vAlign w:val="bottom"/>
          </w:tcPr>
          <w:p>
            <w:pPr>
              <w:jc w:val="right"/>
              <w:spacing w:after="0"/>
              <w:rPr>
                <w:sz w:val="20"/>
                <w:szCs w:val="20"/>
                <w:color w:val="auto"/>
              </w:rPr>
            </w:pPr>
            <w:r>
              <w:rPr>
                <w:rFonts w:ascii="Arial" w:cs="Arial" w:eastAsia="Arial" w:hAnsi="Arial"/>
                <w:sz w:val="14"/>
                <w:szCs w:val="14"/>
                <w:color w:val="auto"/>
              </w:rPr>
              <w:t>55.6</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56.1</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55.7</w:t>
            </w: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00"/>
        </w:trPr>
        <w:tc>
          <w:tcPr>
            <w:tcW w:w="4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 issued in GCA Services acquisition, net of shares withheld for</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4"/>
        </w:trPr>
        <w:tc>
          <w:tcPr>
            <w:tcW w:w="4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taxes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40" w:type="dxa"/>
            <w:vAlign w:val="bottom"/>
          </w:tcPr>
          <w:p>
            <w:pPr>
              <w:spacing w:after="0"/>
              <w:rPr>
                <w:sz w:val="16"/>
                <w:szCs w:val="16"/>
                <w:color w:val="auto"/>
              </w:rPr>
            </w:pPr>
          </w:p>
        </w:tc>
        <w:tc>
          <w:tcPr>
            <w:tcW w:w="4580" w:type="dxa"/>
            <w:vAlign w:val="bottom"/>
            <w:gridSpan w:val="2"/>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4580" w:type="dxa"/>
            <w:vAlign w:val="bottom"/>
            <w:gridSpan w:val="2"/>
          </w:tcPr>
          <w:p>
            <w:pPr>
              <w:ind w:left="240"/>
              <w:spacing w:after="0"/>
              <w:rPr>
                <w:sz w:val="20"/>
                <w:szCs w:val="20"/>
                <w:color w:val="auto"/>
              </w:rPr>
            </w:pPr>
            <w:r>
              <w:rPr>
                <w:rFonts w:ascii="Arial" w:cs="Arial" w:eastAsia="Arial" w:hAnsi="Arial"/>
                <w:sz w:val="14"/>
                <w:szCs w:val="14"/>
                <w:color w:val="auto"/>
              </w:rPr>
              <w:t>compensation plans</w:t>
            </w: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0" w:type="dxa"/>
            <w:vAlign w:val="bottom"/>
          </w:tcPr>
          <w:p>
            <w:pPr>
              <w:spacing w:after="0"/>
              <w:rPr>
                <w:sz w:val="21"/>
                <w:szCs w:val="21"/>
                <w:color w:val="auto"/>
              </w:rPr>
            </w:pPr>
          </w:p>
        </w:tc>
        <w:tc>
          <w:tcPr>
            <w:tcW w:w="4580" w:type="dxa"/>
            <w:vAlign w:val="bottom"/>
            <w:gridSpan w:val="2"/>
          </w:tcPr>
          <w:p>
            <w:pPr>
              <w:ind w:left="120"/>
              <w:spacing w:after="0"/>
              <w:rPr>
                <w:sz w:val="20"/>
                <w:szCs w:val="20"/>
                <w:color w:val="auto"/>
              </w:rPr>
            </w:pPr>
            <w:r>
              <w:rPr>
                <w:rFonts w:ascii="Arial" w:cs="Arial" w:eastAsia="Arial" w:hAnsi="Arial"/>
                <w:sz w:val="14"/>
                <w:szCs w:val="14"/>
                <w:color w:val="auto"/>
              </w:rPr>
              <w:t>Balance, end of year</w:t>
            </w:r>
          </w:p>
        </w:tc>
        <w:tc>
          <w:tcPr>
            <w:tcW w:w="92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56.1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46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Additional Paid-in Capital</w:t>
            </w: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458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275.5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274.1</w:t>
            </w:r>
          </w:p>
        </w:tc>
      </w:tr>
      <w:tr>
        <w:trPr>
          <w:trHeight w:val="200"/>
        </w:trPr>
        <w:tc>
          <w:tcPr>
            <w:tcW w:w="4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 issued in GCA Services acquisition, net of shares withheld for</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4"/>
        </w:trPr>
        <w:tc>
          <w:tcPr>
            <w:tcW w:w="4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taxes</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40" w:type="dxa"/>
            <w:vAlign w:val="bottom"/>
          </w:tcPr>
          <w:p>
            <w:pPr>
              <w:spacing w:after="0"/>
              <w:rPr>
                <w:sz w:val="16"/>
                <w:szCs w:val="16"/>
                <w:color w:val="auto"/>
              </w:rPr>
            </w:pPr>
          </w:p>
        </w:tc>
        <w:tc>
          <w:tcPr>
            <w:tcW w:w="4580" w:type="dxa"/>
            <w:vAlign w:val="bottom"/>
            <w:gridSpan w:val="2"/>
          </w:tcPr>
          <w:p>
            <w:pPr>
              <w:ind w:left="120"/>
              <w:spacing w:after="0"/>
              <w:rPr>
                <w:sz w:val="20"/>
                <w:szCs w:val="20"/>
                <w:color w:val="auto"/>
              </w:rPr>
            </w:pPr>
            <w:r>
              <w:rPr>
                <w:rFonts w:ascii="Arial" w:cs="Arial" w:eastAsia="Arial" w:hAnsi="Arial"/>
                <w:sz w:val="14"/>
                <w:szCs w:val="14"/>
                <w:color w:val="auto"/>
              </w:rPr>
              <w:t>(Taxes withheld) stock issued under employee stock purchase and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2"/>
        </w:trPr>
        <w:tc>
          <w:tcPr>
            <w:tcW w:w="40" w:type="dxa"/>
            <w:vAlign w:val="bottom"/>
          </w:tcPr>
          <w:p>
            <w:pPr>
              <w:spacing w:after="0"/>
              <w:rPr>
                <w:sz w:val="14"/>
                <w:szCs w:val="14"/>
                <w:color w:val="auto"/>
              </w:rPr>
            </w:pPr>
          </w:p>
        </w:tc>
        <w:tc>
          <w:tcPr>
            <w:tcW w:w="4580" w:type="dxa"/>
            <w:vAlign w:val="bottom"/>
            <w:gridSpan w:val="2"/>
          </w:tcPr>
          <w:p>
            <w:pPr>
              <w:ind w:left="240"/>
              <w:spacing w:after="0"/>
              <w:rPr>
                <w:sz w:val="20"/>
                <w:szCs w:val="20"/>
                <w:color w:val="auto"/>
              </w:rPr>
            </w:pPr>
            <w:r>
              <w:rPr>
                <w:rFonts w:ascii="Arial" w:cs="Arial" w:eastAsia="Arial" w:hAnsi="Arial"/>
                <w:sz w:val="14"/>
                <w:szCs w:val="14"/>
                <w:color w:val="auto"/>
              </w:rPr>
              <w:t>share-based compensation plans (including incremental tax</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8"/>
        </w:trPr>
        <w:tc>
          <w:tcPr>
            <w:tcW w:w="40" w:type="dxa"/>
            <w:vAlign w:val="bottom"/>
          </w:tcPr>
          <w:p>
            <w:pPr>
              <w:spacing w:after="0"/>
              <w:rPr>
                <w:sz w:val="15"/>
                <w:szCs w:val="15"/>
                <w:color w:val="auto"/>
              </w:rPr>
            </w:pPr>
          </w:p>
        </w:tc>
        <w:tc>
          <w:tcPr>
            <w:tcW w:w="4580" w:type="dxa"/>
            <w:vAlign w:val="bottom"/>
            <w:gridSpan w:val="2"/>
          </w:tcPr>
          <w:p>
            <w:pPr>
              <w:ind w:left="240"/>
              <w:spacing w:after="0"/>
              <w:rPr>
                <w:sz w:val="20"/>
                <w:szCs w:val="20"/>
                <w:color w:val="auto"/>
              </w:rPr>
            </w:pPr>
            <w:r>
              <w:rPr>
                <w:rFonts w:ascii="Arial" w:cs="Arial" w:eastAsia="Arial" w:hAnsi="Arial"/>
                <w:sz w:val="14"/>
                <w:szCs w:val="14"/>
                <w:color w:val="auto"/>
              </w:rPr>
              <w:t>benefit for 2015), net</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r>
      <w:tr>
        <w:trPr>
          <w:trHeight w:val="256"/>
        </w:trPr>
        <w:tc>
          <w:tcPr>
            <w:tcW w:w="40" w:type="dxa"/>
            <w:vAlign w:val="bottom"/>
            <w:shd w:val="clear" w:color="auto" w:fill="CCEEFF"/>
          </w:tcPr>
          <w:p>
            <w:pPr>
              <w:spacing w:after="0"/>
              <w:rPr>
                <w:sz w:val="22"/>
                <w:szCs w:val="22"/>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275.5</w:t>
            </w:r>
          </w:p>
        </w:tc>
      </w:tr>
      <w:tr>
        <w:trPr>
          <w:trHeight w:val="258"/>
        </w:trPr>
        <w:tc>
          <w:tcPr>
            <w:tcW w:w="46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comprehensive income (loss)</w:t>
            </w: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56"/>
        </w:trPr>
        <w:tc>
          <w:tcPr>
            <w:tcW w:w="40" w:type="dxa"/>
            <w:vAlign w:val="bottom"/>
            <w:shd w:val="clear" w:color="auto" w:fill="CCEEFF"/>
          </w:tcPr>
          <w:p>
            <w:pPr>
              <w:spacing w:after="0"/>
              <w:rPr>
                <w:sz w:val="22"/>
                <w:szCs w:val="22"/>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58"/>
        </w:trPr>
        <w:tc>
          <w:tcPr>
            <w:tcW w:w="462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736.5</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696.9</w:t>
            </w:r>
          </w:p>
        </w:tc>
      </w:tr>
      <w:tr>
        <w:trPr>
          <w:trHeight w:val="264"/>
        </w:trPr>
        <w:tc>
          <w:tcPr>
            <w:tcW w:w="40" w:type="dxa"/>
            <w:vAlign w:val="bottom"/>
          </w:tcPr>
          <w:p>
            <w:pPr>
              <w:spacing w:after="0"/>
              <w:rPr>
                <w:sz w:val="22"/>
                <w:szCs w:val="22"/>
                <w:color w:val="auto"/>
              </w:rPr>
            </w:pPr>
          </w:p>
        </w:tc>
        <w:tc>
          <w:tcPr>
            <w:tcW w:w="458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76.3</w:t>
            </w: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Dividends</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580" w:type="dxa"/>
            <w:vAlign w:val="bottom"/>
            <w:gridSpan w:val="2"/>
          </w:tcPr>
          <w:p>
            <w:pPr>
              <w:ind w:left="240"/>
              <w:spacing w:after="0"/>
              <w:rPr>
                <w:sz w:val="20"/>
                <w:szCs w:val="20"/>
                <w:color w:val="auto"/>
              </w:rPr>
            </w:pPr>
            <w:r>
              <w:rPr>
                <w:rFonts w:ascii="Arial" w:cs="Arial" w:eastAsia="Arial" w:hAnsi="Arial"/>
                <w:sz w:val="14"/>
                <w:szCs w:val="14"/>
                <w:color w:val="auto"/>
              </w:rPr>
              <w:t>Common stock</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50"/>
        </w:trPr>
        <w:tc>
          <w:tcPr>
            <w:tcW w:w="40" w:type="dxa"/>
            <w:vAlign w:val="bottom"/>
            <w:tcBorders>
              <w:bottom w:val="single" w:sz="8" w:color="CCEEFF"/>
            </w:tcBorders>
          </w:tcPr>
          <w:p>
            <w:pPr>
              <w:spacing w:after="0"/>
              <w:rPr>
                <w:sz w:val="21"/>
                <w:szCs w:val="21"/>
                <w:color w:val="auto"/>
              </w:rPr>
            </w:pPr>
          </w:p>
        </w:tc>
        <w:tc>
          <w:tcPr>
            <w:tcW w:w="4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Balance, end of year</w:t>
            </w: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720.1</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756.4</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736.5</w:t>
            </w:r>
          </w:p>
        </w:tc>
      </w:tr>
      <w:tr>
        <w:trPr>
          <w:trHeight w:val="243"/>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9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1,375.7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0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8"/>
              </w:rPr>
              <w:t>Years Ended October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30"/>
        </w:trPr>
        <w:tc>
          <w:tcPr>
            <w:tcW w:w="70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9"/>
                <w:szCs w:val="19"/>
                <w:color w:val="auto"/>
              </w:rPr>
            </w:pPr>
          </w:p>
        </w:tc>
        <w:tc>
          <w:tcPr>
            <w:tcW w:w="1060" w:type="dxa"/>
            <w:vAlign w:val="bottom"/>
          </w:tcPr>
          <w:p>
            <w:pPr>
              <w:jc w:val="right"/>
              <w:ind w:right="49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22"/>
                <w:szCs w:val="22"/>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76.3</w:t>
            </w:r>
          </w:p>
        </w:tc>
      </w:tr>
      <w:tr>
        <w:trPr>
          <w:trHeight w:val="272"/>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Loss (income) from discontinued operations, net of taxes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w:t>
            </w:r>
          </w:p>
        </w:tc>
      </w:tr>
      <w:tr>
        <w:trPr>
          <w:trHeight w:val="249"/>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Income from continuing operations</w:t>
            </w:r>
          </w:p>
        </w:tc>
        <w:tc>
          <w:tcPr>
            <w:tcW w:w="3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54.1</w:t>
            </w:r>
          </w:p>
        </w:tc>
      </w:tr>
      <w:tr>
        <w:trPr>
          <w:trHeight w:val="148"/>
        </w:trPr>
        <w:tc>
          <w:tcPr>
            <w:tcW w:w="70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b w:val="1"/>
                <w:bCs w:val="1"/>
                <w:color w:val="auto"/>
              </w:rPr>
              <w:t>Adjustments to reconcile income from continuing operations to net cash provided by operating activities of</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84"/>
        </w:trPr>
        <w:tc>
          <w:tcPr>
            <w:tcW w:w="4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continuing operations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70.1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57.0</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Impairment (recovery) loss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Deferred income taxes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8.1</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Share-based compensation expense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Provision for bad debt</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2.7</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Discount accretion on insurance claims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Gain on sale of assets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Income from unconsolidated affiliates,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Distributions from unconsolidated affiliates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6.5</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Changes in operating assets and liabilities, net of effects of acquisitions: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2"/>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Trade accounts receivable</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(115.7)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(55.9)</w:t>
            </w:r>
          </w:p>
        </w:tc>
      </w:tr>
      <w:tr>
        <w:trPr>
          <w:trHeight w:val="278"/>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262"/>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Other noncurrent assets</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1.7</w:t>
            </w:r>
          </w:p>
        </w:tc>
      </w:tr>
      <w:tr>
        <w:trPr>
          <w:trHeight w:val="278"/>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Trade accounts payable and other accrued liabilities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44.3</w:t>
            </w:r>
          </w:p>
        </w:tc>
      </w:tr>
      <w:tr>
        <w:trPr>
          <w:trHeight w:val="262"/>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3"/>
                <w:szCs w:val="13"/>
                <w:color w:val="auto"/>
              </w:rPr>
              <w:t>Insurance claims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37.4</w:t>
            </w:r>
          </w:p>
        </w:tc>
      </w:tr>
      <w:tr>
        <w:trPr>
          <w:trHeight w:val="278"/>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Income taxes payable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r>
      <w:tr>
        <w:trPr>
          <w:trHeight w:val="264"/>
        </w:trPr>
        <w:tc>
          <w:tcPr>
            <w:tcW w:w="40" w:type="dxa"/>
            <w:vAlign w:val="bottom"/>
            <w:tcBorders>
              <w:bottom w:val="single" w:sz="8" w:color="CCEEFF"/>
            </w:tcBorders>
          </w:tcPr>
          <w:p>
            <w:pPr>
              <w:spacing w:after="0"/>
              <w:rPr>
                <w:sz w:val="22"/>
                <w:szCs w:val="22"/>
                <w:color w:val="auto"/>
              </w:rPr>
            </w:pPr>
          </w:p>
        </w:tc>
        <w:tc>
          <w:tcPr>
            <w:tcW w:w="7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Other noncurrent liabilities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Total adjustments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91.4</w:t>
            </w:r>
          </w:p>
        </w:tc>
      </w:tr>
      <w:tr>
        <w:trPr>
          <w:trHeight w:val="249"/>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3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145.5</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Net cash (used in) provided by operating activities of discontinued operations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(96.1)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0.9</w:t>
            </w:r>
          </w:p>
        </w:tc>
      </w:tr>
      <w:tr>
        <w:trPr>
          <w:trHeight w:val="24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83.5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146.4</w:t>
            </w: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Additions to property, plant and equipment</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(26.5)</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Proceeds from sale of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Purchase of businesses, net of cash acquired</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(853.6)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Proceeds from sale of business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Proceeds from redemption of auction rate security</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Investments in unconsolidated affiliates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249"/>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Net cash used in investing activities of continuing operations</w:t>
            </w: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(871.8)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(40.5)</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Net cash (used in) provided by investing activities of discontinued operations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130.9</w:t>
            </w:r>
          </w:p>
        </w:tc>
      </w:tr>
      <w:tr>
        <w:trPr>
          <w:trHeight w:val="24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(871.8)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90.4</w:t>
            </w: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(Taxes withheld) and proceeds from issuance of share-based compensation awards, net</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15.4</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Incremental tax benefit from share-based compensation awards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Repurchases of common stock</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(31.4)</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Dividends paid</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Deferred financing costs paid</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Borrowings from credit facility</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1,880.1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1,052.3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958.3</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Repayment of borrowings from credit facility</w:t>
            </w:r>
          </w:p>
        </w:tc>
        <w:tc>
          <w:tcPr>
            <w:tcW w:w="34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(957.2)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(942.0)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(1,120.1)</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Changes in book cash overdrafts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262"/>
        </w:trPr>
        <w:tc>
          <w:tcPr>
            <w:tcW w:w="7080" w:type="dxa"/>
            <w:vAlign w:val="bottom"/>
            <w:gridSpan w:val="3"/>
          </w:tcPr>
          <w:p>
            <w:pPr>
              <w:ind w:left="40"/>
              <w:spacing w:after="0"/>
              <w:rPr>
                <w:sz w:val="20"/>
                <w:szCs w:val="20"/>
                <w:color w:val="auto"/>
              </w:rPr>
            </w:pPr>
            <w:r>
              <w:rPr>
                <w:rFonts w:ascii="Arial" w:cs="Arial" w:eastAsia="Arial" w:hAnsi="Arial"/>
                <w:sz w:val="13"/>
                <w:szCs w:val="13"/>
                <w:color w:val="auto"/>
              </w:rPr>
              <w:t>Financing of energy savings performance contracts</w:t>
            </w:r>
          </w:p>
        </w:tc>
        <w:tc>
          <w:tcPr>
            <w:tcW w:w="3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5.2</w:t>
            </w:r>
          </w:p>
        </w:tc>
      </w:tr>
      <w:tr>
        <w:trPr>
          <w:trHeight w:val="278"/>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Repayment of capital lease obligations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Payment of contingent consideration</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874.0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(216.9)</w:t>
            </w:r>
          </w:p>
        </w:tc>
      </w:tr>
      <w:tr>
        <w:trPr>
          <w:trHeight w:val="24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b w:val="1"/>
                <w:bCs w:val="1"/>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Net increase (decrease) in cash and cash equivalents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18.8</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b w:val="1"/>
                <w:bCs w:val="1"/>
                <w:color w:val="auto"/>
              </w:rPr>
              <w:t>Cash and cash equivalents at beginning of year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36.7</w:t>
            </w:r>
          </w:p>
        </w:tc>
      </w:tr>
      <w:tr>
        <w:trPr>
          <w:trHeight w:val="242"/>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 at end of year</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22" w:right="239" w:bottom="0" w:gutter="0" w:footer="0" w:header="0"/>
        </w:sectPr>
      </w:pPr>
    </w:p>
    <w:bookmarkStart w:id="56" w:name="page57"/>
    <w:bookmarkEnd w:id="56"/>
    <w:p>
      <w:pPr>
        <w:jc w:val="center"/>
        <w:ind w:right="-20"/>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9019"/>
          </w:cols>
          <w:pgMar w:left="1440" w:top="544"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Years Ended October 31,</w:t>
            </w:r>
          </w:p>
        </w:tc>
        <w:tc>
          <w:tcPr>
            <w:tcW w:w="1040" w:type="dxa"/>
            <w:vAlign w:val="bottom"/>
            <w:tcBorders>
              <w:bottom w:val="single" w:sz="8" w:color="auto"/>
            </w:tcBorders>
          </w:tcPr>
          <w:p>
            <w:pPr>
              <w:spacing w:after="0"/>
              <w:rPr>
                <w:sz w:val="17"/>
                <w:szCs w:val="17"/>
                <w:color w:val="auto"/>
              </w:rPr>
            </w:pPr>
          </w:p>
        </w:tc>
      </w:tr>
      <w:tr>
        <w:trPr>
          <w:trHeight w:val="229"/>
        </w:trPr>
        <w:tc>
          <w:tcPr>
            <w:tcW w:w="70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Pr>
          <w:p>
            <w:pPr>
              <w:spacing w:after="0"/>
              <w:rPr>
                <w:sz w:val="19"/>
                <w:szCs w:val="19"/>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Cash paid for income taxes, net of refunds received</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11.8</w:t>
            </w: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23.7</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paid on credit facility</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58"/>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Stock issued in GCA Services acquisition, net of shares withheld for taxes</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22"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94615</wp:posOffset>
            </wp:positionV>
            <wp:extent cx="5814695" cy="857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146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w:t>
      </w:r>
    </w:p>
    <w:p>
      <w:pPr>
        <w:spacing w:after="0" w:line="120" w:lineRule="exact"/>
        <w:rPr>
          <w:sz w:val="20"/>
          <w:szCs w:val="20"/>
          <w:color w:val="auto"/>
        </w:rPr>
      </w:pPr>
    </w:p>
    <w:p>
      <w:pPr>
        <w:ind w:right="5120" w:firstLine="8"/>
        <w:spacing w:after="0" w:line="451" w:lineRule="auto"/>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 and Principles of Consolidation</w:t>
      </w:r>
    </w:p>
    <w:p>
      <w:pPr>
        <w:jc w:val="both"/>
        <w:ind w:firstLine="648"/>
        <w:spacing w:after="0" w:line="254" w:lineRule="auto"/>
        <w:rPr>
          <w:sz w:val="20"/>
          <w:szCs w:val="20"/>
          <w:color w:val="auto"/>
        </w:rPr>
      </w:pPr>
      <w:r>
        <w:rPr>
          <w:rFonts w:ascii="Arial" w:cs="Arial" w:eastAsia="Arial" w:hAnsi="Arial"/>
          <w:sz w:val="18"/>
          <w:szCs w:val="18"/>
          <w:color w:val="auto"/>
        </w:rPr>
        <w:t>The consolidated financial statements and accompanying notes (the “Financial Statements”) have been prepared in accordance with United States generally accepted accounting principles (“U.S. GAAP”) and with the rules and regulations of the Securities and Exchange Commission (“SEC”), specifically Regulation S-X and the instructions to Form 10-K. Unless otherwise indicated, all references to years are to our fiscal year, which ends on October 31.</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acquisition dates. All intercompany accounts and transactions have been eliminated in consolidation.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Services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2016, the assets and liabilities of the Government Services business were classified as held-for-sale. As described in Note 7, “Fair Value of Financial Instruments,” we measured the held-for-sale assets at fair value until sold. On May 31, 2017, we completed the sale of this business for $35.5 million and recorded a pre-tax gain of $1.2 million. The gain on sale is reflected in impairment (recovery) loss in the accompanying consolidated statements of comprehensive income. The reported results for this business are through the date of sale. Future results could include run-off costs associated with this former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 Reclassifications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We have revised our prior period segment information to reflect this reorganization and a related reclassification of certain Corporate expenses. See Note 18, “Segment and Geographic Information,” for further details. Concurrent with the reorganization, we recategorized certain expenses that were historically included in operating expenses to selling, general and administrative expenses. To conform to the new categorization, we reclassified operating expenses of $20.0 million and $17.7 million for 2016 and 2015, respectively, to selling, general and administrative expenses. In addition, based on the terms of the agreement to sell the Government Services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08" w:right="239" w:bottom="1440" w:gutter="0" w:footer="0" w:header="0"/>
        </w:sectPr>
      </w:pPr>
    </w:p>
    <w:bookmarkStart w:id="59" w:name="page60"/>
    <w:bookmarkEnd w:id="59"/>
    <w:p>
      <w:pPr>
        <w:jc w:val="both"/>
        <w:spacing w:after="0" w:line="262" w:lineRule="auto"/>
        <w:rPr>
          <w:sz w:val="20"/>
          <w:szCs w:val="20"/>
          <w:color w:val="auto"/>
        </w:rPr>
      </w:pPr>
      <w:r>
        <w:rPr>
          <w:rFonts w:ascii="Arial" w:cs="Arial" w:eastAsia="Arial" w:hAnsi="Arial"/>
          <w:sz w:val="18"/>
          <w:szCs w:val="18"/>
          <w:color w:val="auto"/>
        </w:rPr>
        <w:t>business, we reclassified certain of the prior year amounts in the accompanying consolidated balance sheets and statements of cash flows from held-for-sale to held-and-used.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Trade accounts receivable arise from services provided to our clients and are usually due and payable on varying terms from receipt of the invoice to net ninety days, with the exception of certain Technical Solutions project receivables that may have longer collection periods. These receivables are recorded at the invoiced amount and normally do not bear interest. In addition, our trade accounts receivable include unbilled receivables that can include costs and estimated earnings in excess of billings on uncompleted contracts, as well as invoices for services that have been provided but are not yet billed.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twelve months, unless our management believes such amounts will ultimately be collectible.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Allowance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2017 and 2016, other current assets primarily consisted of other receivables and short-term insurance recoverables.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2017 and 2016, other investments primarily consisted of investments in unconsolidated affiliates and investments in auction rate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other-than-temporary. At October 31, 2017 and 2016, our investments in unconsolidated affiliates were $9.3 million and $17.1 million, respectively. At October 31, 2016, a portion of these investments were classified as held for sale, as they related to our Government Services business. In connection with the held-for-sale classification, we recognized an impairment charge of $5.0 million to write down these investments to their estimated fair value in 2016, which we subsequently recovered in 2017. We did not recognize any impairment charges on these investments in 2017 or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Auction Rate Securities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investments in auction rate securities are classified as available-for-sale. Accordingly, auction rate securities are presented at fair value with unrealized gains and losses recorded in accumulated other comprehensive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90" w:right="239" w:bottom="1440" w:gutter="0" w:footer="0" w:header="0"/>
        </w:sectPr>
      </w:pPr>
    </w:p>
    <w:bookmarkStart w:id="60" w:name="page61"/>
    <w:bookmarkEnd w:id="60"/>
    <w:p>
      <w:pPr>
        <w:jc w:val="both"/>
        <w:spacing w:after="0" w:line="252" w:lineRule="auto"/>
        <w:rPr>
          <w:sz w:val="20"/>
          <w:szCs w:val="20"/>
          <w:color w:val="auto"/>
        </w:rPr>
      </w:pPr>
      <w:r>
        <w:rPr>
          <w:rFonts w:ascii="Arial" w:cs="Arial" w:eastAsia="Arial" w:hAnsi="Arial"/>
          <w:sz w:val="18"/>
          <w:szCs w:val="18"/>
          <w:color w:val="auto"/>
        </w:rPr>
        <w:t>loss (“AOCL”). On a quarterly basis, we analyze all auction rate securities that have unrealized losses for impairment consideration and assess the intent to sell such securities. If such intent exists, impaired securities are considered other-than-temporarily impaired and we recognize the entire difference between the auction rate security’s amortized cost and its fair value in earnings. We also consider if we may be required to sell the securities prior to the recovery of amortized cost, which may trigger an impairment charge. If these securities are considered impaired, we assess whether the amortized costs of the securities can be recovered by reviewing several factors, including credit risks associated with the issuer. If we do not expect to recover the entire amortized cost of the security, we consider the security to be other-than-temporarily impaired, and record the difference between the security’s amortized costs and its recoverable amount in earnings and the difference between the security’s amortized cost and fair value in AOCL.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264"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5860" w:type="dxa"/>
            <w:vAlign w:val="bottom"/>
            <w:tcBorders>
              <w:top w:val="single" w:sz="8" w:color="auto"/>
              <w:right w:val="single" w:sz="8" w:color="auto"/>
            </w:tcBorders>
            <w:gridSpan w:val="3"/>
          </w:tcPr>
          <w:p>
            <w:pPr>
              <w:ind w:left="2760"/>
              <w:spacing w:after="0"/>
              <w:rPr>
                <w:sz w:val="20"/>
                <w:szCs w:val="20"/>
                <w:color w:val="auto"/>
              </w:rPr>
            </w:pPr>
            <w:r>
              <w:rPr>
                <w:rFonts w:ascii="Arial" w:cs="Arial" w:eastAsia="Arial" w:hAnsi="Arial"/>
                <w:sz w:val="18"/>
                <w:szCs w:val="18"/>
                <w:b w:val="1"/>
                <w:bCs w:val="1"/>
                <w:color w:val="auto"/>
              </w:rPr>
              <w:t>Years</w:t>
            </w:r>
          </w:p>
        </w:tc>
      </w:tr>
      <w:tr>
        <w:trPr>
          <w:trHeight w:val="34"/>
        </w:trPr>
        <w:tc>
          <w:tcPr>
            <w:tcW w:w="40" w:type="dxa"/>
            <w:vAlign w:val="bottom"/>
            <w:tcBorders>
              <w:left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20" w:type="dxa"/>
            <w:vAlign w:val="bottom"/>
            <w:tcBorders>
              <w:right w:val="single" w:sz="8" w:color="auto"/>
            </w:tcBorders>
          </w:tcPr>
          <w:p>
            <w:pPr>
              <w:spacing w:after="0"/>
              <w:rPr>
                <w:sz w:val="2"/>
                <w:szCs w:val="2"/>
                <w:color w:val="auto"/>
              </w:rPr>
            </w:pPr>
          </w:p>
        </w:tc>
      </w:tr>
      <w:tr>
        <w:trPr>
          <w:trHeight w:val="257"/>
        </w:trPr>
        <w:tc>
          <w:tcPr>
            <w:tcW w:w="40" w:type="dxa"/>
            <w:vAlign w:val="bottom"/>
            <w:tcBorders>
              <w:left w:val="single" w:sz="8" w:color="auto"/>
            </w:tcBorders>
            <w:shd w:val="clear" w:color="auto" w:fill="CCEEFF"/>
          </w:tcPr>
          <w:p>
            <w:pPr>
              <w:spacing w:after="0"/>
              <w:rPr>
                <w:sz w:val="22"/>
                <w:szCs w:val="22"/>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60" w:type="dxa"/>
            <w:vAlign w:val="bottom"/>
            <w:shd w:val="clear" w:color="auto" w:fill="CCEEFF"/>
          </w:tcPr>
          <w:p>
            <w:pPr>
              <w:spacing w:after="0"/>
              <w:rPr>
                <w:sz w:val="22"/>
                <w:szCs w:val="22"/>
                <w:color w:val="auto"/>
              </w:rPr>
            </w:pPr>
          </w:p>
        </w:tc>
        <w:tc>
          <w:tcPr>
            <w:tcW w:w="3100" w:type="dxa"/>
            <w:vAlign w:val="bottom"/>
            <w:tcBorders>
              <w:right w:val="single" w:sz="8" w:color="auto"/>
            </w:tcBorders>
            <w:gridSpan w:val="2"/>
            <w:shd w:val="clear" w:color="auto" w:fill="CCEEFF"/>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50"/>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2760" w:type="dxa"/>
            <w:vAlign w:val="bottom"/>
          </w:tcPr>
          <w:p>
            <w:pPr>
              <w:spacing w:after="0"/>
              <w:rPr>
                <w:sz w:val="21"/>
                <w:szCs w:val="21"/>
                <w:color w:val="auto"/>
              </w:rPr>
            </w:pPr>
          </w:p>
        </w:tc>
        <w:tc>
          <w:tcPr>
            <w:tcW w:w="3100" w:type="dxa"/>
            <w:vAlign w:val="bottom"/>
            <w:tcBorders>
              <w:right w:val="single" w:sz="8" w:color="auto"/>
            </w:tcBorders>
            <w:gridSpan w:val="2"/>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63"/>
        </w:trPr>
        <w:tc>
          <w:tcPr>
            <w:tcW w:w="40" w:type="dxa"/>
            <w:vAlign w:val="bottom"/>
            <w:tcBorders>
              <w:left w:val="single" w:sz="8" w:color="auto"/>
            </w:tcBorders>
            <w:shd w:val="clear" w:color="auto" w:fill="CCEEFF"/>
          </w:tcPr>
          <w:p>
            <w:pPr>
              <w:spacing w:after="0"/>
              <w:rPr>
                <w:sz w:val="22"/>
                <w:szCs w:val="22"/>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5860" w:type="dxa"/>
            <w:vAlign w:val="bottom"/>
            <w:tcBorders>
              <w:right w:val="single" w:sz="8" w:color="auto"/>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rPr>
              <w:t>1.5–10</w:t>
            </w:r>
          </w:p>
        </w:tc>
      </w:tr>
      <w:tr>
        <w:trPr>
          <w:trHeight w:val="250"/>
        </w:trPr>
        <w:tc>
          <w:tcPr>
            <w:tcW w:w="40" w:type="dxa"/>
            <w:vAlign w:val="bottom"/>
            <w:tcBorders>
              <w:left w:val="single" w:sz="8" w:color="auto"/>
            </w:tcBorders>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586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10–40</w:t>
            </w:r>
          </w:p>
        </w:tc>
      </w:tr>
      <w:tr>
        <w:trPr>
          <w:trHeight w:val="257"/>
        </w:trPr>
        <w:tc>
          <w:tcPr>
            <w:tcW w:w="40" w:type="dxa"/>
            <w:vAlign w:val="bottom"/>
            <w:tcBorders>
              <w:left w:val="single" w:sz="8" w:color="auto"/>
              <w:bottom w:val="single" w:sz="8" w:color="auto"/>
            </w:tcBorders>
            <w:shd w:val="clear" w:color="auto" w:fill="CCEEFF"/>
          </w:tcPr>
          <w:p>
            <w:pPr>
              <w:spacing w:after="0"/>
              <w:rPr>
                <w:sz w:val="22"/>
                <w:szCs w:val="22"/>
                <w:color w:val="auto"/>
              </w:rPr>
            </w:pPr>
          </w:p>
        </w:tc>
        <w:tc>
          <w:tcPr>
            <w:tcW w:w="5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40" w:type="dxa"/>
            <w:vAlign w:val="bottom"/>
            <w:tcBorders>
              <w:bottom w:val="single" w:sz="8" w:color="auto"/>
            </w:tcBorders>
            <w:gridSpan w:val="2"/>
            <w:shd w:val="clear" w:color="auto" w:fill="CCEEFF"/>
          </w:tcPr>
          <w:p>
            <w:pPr>
              <w:jc w:val="center"/>
              <w:ind w:left="2650"/>
              <w:spacing w:after="0"/>
              <w:rPr>
                <w:sz w:val="20"/>
                <w:szCs w:val="20"/>
                <w:color w:val="auto"/>
              </w:rPr>
            </w:pPr>
            <w:r>
              <w:rPr>
                <w:rFonts w:ascii="Arial" w:cs="Arial" w:eastAsia="Arial" w:hAnsi="Arial"/>
                <w:sz w:val="18"/>
                <w:szCs w:val="18"/>
                <w:color w:val="auto"/>
                <w:w w:val="99"/>
              </w:rPr>
              <w:t>5</w:t>
            </w:r>
          </w:p>
        </w:tc>
        <w:tc>
          <w:tcPr>
            <w:tcW w:w="2620" w:type="dxa"/>
            <w:vAlign w:val="bottom"/>
            <w:tcBorders>
              <w:bottom w:val="single" w:sz="8" w:color="auto"/>
              <w:right w:val="single" w:sz="8" w:color="auto"/>
            </w:tcBorders>
            <w:shd w:val="clear" w:color="auto" w:fill="CCEEFF"/>
          </w:tcPr>
          <w:p>
            <w:pPr>
              <w:spacing w:after="0"/>
              <w:rPr>
                <w:sz w:val="22"/>
                <w:szCs w:val="22"/>
                <w:color w:val="auto"/>
              </w:rPr>
            </w:pPr>
          </w:p>
        </w:tc>
      </w:tr>
    </w:tbl>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depreciate assets under capital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enter into various noncancelable lease agreements for premises and equipment used in the normal course of business. We evaluate the lease agreement at the inception of the lease to determine whether the lease is an operating or capital lease.</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rent expense under noncancelable operating leases with escalation clauses on a straight-line basis over the initial lease term. A deferred liability is recorded for the amount of the excess of straight-line rent expense over scheduled payments. We do not assume renewals in our determination of the lease term unless the renewals are deemed to be reasonably assured at lease inception. We may also be required to make additional payments to reimburse the lessors for operating expenses such as real estate taxes, maintenance, utilities, and insurance, which are expensed as incurred. We enter into leases of parking lots and garages that contain contingent payment provisions. Under these provisions, we pay contingent amounts in addition to base rent, primarily based on percentages of the gross receipts or other financial parameters attributable to the related facilities. We record contingent rent as it becomes probable that specified targets will be met.</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record each capital lease as an asset and an obligation at an amount that is equal to the present value of the minimum lease payments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4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evaluate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we calculate an impairment loss. The impairment loss calculation compares the fair value, which is based on projected discounted cash flows, to the carrying value. We record an impairment loss if the carrying value exceeds the fair value. In 2016, we classified the long-lived assets of our Government Services business as held for sale. See Note 7, “Fair Value of Financial Instruments,” regarding the valuation of the held-for-sale long-lived assets of the former Government Services business in 2016 and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Goodwill represents the excess purchase price of acquired businesses over the fair values of the assets acquired and liabilities assumed. We have elected to make the first day of our fourth quarter, August 1st, the annual impairment assessment date for goodwill. However, we could be required to evaluate the recoverability of goodwill more often if impairment indicators exist.</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test the carrying value of goodwill for impairment at a “reporting unit” level. In 2017, we adopted Accounting Standards Update 2017-04, which allows us to test goodwill for impairment by comparing the fair value of a reporting unit to its carrying amount. If the fair value of a reporting unit is less than its carrying value, an impairment charge will be recorded for the difference between the fair value and carrying value, but it is limited to the carrying value of the reporting unit’s goodwill.</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2016, in connection with the held-for-sale classification of the former Government Services business, we recognized a goodwill impairment charge of $6.0 million. In accordance with the held for sale accounting guidance, we subsequently recovered this amount when we received an offer from a strategic buyer in 2017. We did not recognize any goodwill impairment charges in 2017 or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2017 and 2016, other noncurrent assets primarily consisted of long-term insurance recoverables, insurance and other long-term deposits, deferred charges, prepayments to carriers for future insurance claims, and federal energy savings performance contract receivables.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Savings Performance Contract Receivables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part of our Technical Solutions business, we enter into Energy Savings Performance Contracts (“ESPCs”) with the federal government pursuant to which we agree to develop, design, engineer, and construct a project and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under these arrangements to pay project costs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22"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Observable inputs reflect market data obtained from independent sources, while unobservable inputs reflect our market assumptions.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Preference is given to observable inputs. These two types of inputs create the following fair value hierarchy: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active; and model-derived valuations whose inputs are observable or whose significant value drivers are observable; and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Significant inputs to the valuation model are unobservable.</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7, “Fair Value of Financial Instruments,” for the fair value hierarchy table and for details on how we measure fair value for our assets and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expense acquisition-related costs as incurred.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record adjustments to the assets acquired and liabilities assumed with corresponding adjustments to goodwill. We recognize subsequent changes in the estimate of the amount to be paid under contingent consideration arrangements in the accompanying consolidated statements of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order to be reported within discontinued operations, our disposal of a component or a group of components must represent a strategic shift that will have a major effect on our operations and financial results. We aggregate the results of operations for discontinued operations within a single line item on the income statement. General corporate overhead is not allocated to discontinued operations. We disclose any gain or loss that is recognized upon the disposition of a discontinued operation. Prior to disposition, we aggregate the assets and liabilities of discontinued operations and report the amounts on separate line items within the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Held for Sale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a business being classified as held for sale, we cease all depreciation and amortization related to the assets and record them at the lower of their carrying amount or fair value less estimated costs to sell. The assets and related liabilities of the business are separately presented on the consolidated balance sheets. We review all assets held for sale each reporting period to determine whether the existing carrying amounts are fully recoverable in comparison to estimated fair values.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claims incurred but not reported (“IBNR Claims”).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44" w:right="239" w:bottom="1440" w:gutter="0" w:footer="0" w:header="0"/>
        </w:sectPr>
      </w:pPr>
    </w:p>
    <w:bookmarkStart w:id="63" w:name="page64"/>
    <w:bookmarkEnd w:id="63"/>
    <w:p>
      <w:pPr>
        <w:jc w:val="both"/>
        <w:spacing w:after="0" w:line="256" w:lineRule="auto"/>
        <w:rPr>
          <w:sz w:val="20"/>
          <w:szCs w:val="20"/>
          <w:color w:val="auto"/>
        </w:rPr>
      </w:pPr>
      <w:r>
        <w:rPr>
          <w:rFonts w:ascii="Arial" w:cs="Arial" w:eastAsia="Arial" w:hAnsi="Arial"/>
          <w:sz w:val="18"/>
          <w:szCs w:val="18"/>
          <w:color w:val="auto"/>
        </w:rPr>
        <w:t>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that the receipt of such amounts is probable.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Liabilities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2017 and 2016, other accrued liabilities primarily consisted of employee benefits, deferred revenue, legal fees and settlements, progress billings in excess of costs, dividends payable, interest, rent payable, severance, insurance claims, current capital leases, and other accrued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At October 31, 2017 and 2016, other noncurrent liabilities primarily consisted of deferred rent, retirement plan liabilities, deferred compensation, long-term capital leases, and ESPC liabilities.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4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earn revenue under various types of service contracts. In all forms of service we provide, revenue is recognized when persuasive evidence of an arrangement exists, services have been rendered, the fee is fixed or determinable, and collectability is reasonably assured. The various types of service contracts are described below.</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60" w:type="dxa"/>
            <w:vAlign w:val="bottom"/>
            <w:tcBorders>
              <w:top w:val="single" w:sz="8" w:color="auto"/>
              <w:left w:val="single" w:sz="8" w:color="auto"/>
              <w:bottom w:val="single" w:sz="8" w:color="auto"/>
              <w:right w:val="single" w:sz="8" w:color="auto"/>
            </w:tcBorders>
            <w:shd w:val="clear" w:color="auto" w:fill="BFE4FF"/>
          </w:tcPr>
          <w:p>
            <w:pPr>
              <w:jc w:val="center"/>
              <w:spacing w:after="0"/>
              <w:rPr>
                <w:sz w:val="20"/>
                <w:szCs w:val="20"/>
                <w:color w:val="auto"/>
              </w:rPr>
            </w:pPr>
            <w:r>
              <w:rPr>
                <w:rFonts w:ascii="Arial" w:cs="Arial" w:eastAsia="Arial" w:hAnsi="Arial"/>
                <w:sz w:val="18"/>
                <w:szCs w:val="18"/>
                <w:b w:val="1"/>
                <w:bCs w:val="1"/>
                <w:color w:val="auto"/>
                <w:w w:val="99"/>
              </w:rPr>
              <w:t>Contract Type</w:t>
            </w:r>
          </w:p>
        </w:tc>
        <w:tc>
          <w:tcPr>
            <w:tcW w:w="9480" w:type="dxa"/>
            <w:vAlign w:val="bottom"/>
            <w:tcBorders>
              <w:top w:val="single" w:sz="8" w:color="auto"/>
              <w:bottom w:val="single" w:sz="8" w:color="auto"/>
              <w:right w:val="single" w:sz="8" w:color="auto"/>
            </w:tcBorders>
            <w:shd w:val="clear" w:color="auto" w:fill="BFE4FF"/>
          </w:tcPr>
          <w:p>
            <w:pPr>
              <w:ind w:left="4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83"/>
        </w:trPr>
        <w:tc>
          <w:tcPr>
            <w:tcW w:w="18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Monthly Fixed-Price</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term. A variation of a fixed-price arrangement is a square-foot arrangement, under which monthly billings are based on</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actual square footage serviced.</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Cost-Plus</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margin.</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Tag Services</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Tag work generally consists of supplemental services requested by clients outside of the standard service specification</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includes cleanup after tenant moves, construction cleanup, flood cleanup, and snow removal.</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Transaction-Price</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are agreements in which the clients are billed for each transaction performed on a monthly basis (e.g.,</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wheelchair passengers served or aircrafts cleaned).</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Hourly</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is billed a set hourly rate for each labor hour provided.</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Management</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manage a parking facility for a management fee and pass through the revenue</w:t>
            </w: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vMerge w:val="continue"/>
          </w:tcPr>
          <w:p>
            <w:pPr>
              <w:spacing w:after="0"/>
              <w:rPr>
                <w:sz w:val="8"/>
                <w:szCs w:val="8"/>
                <w:color w:val="auto"/>
              </w:rPr>
            </w:pPr>
          </w:p>
        </w:tc>
        <w:tc>
          <w:tcPr>
            <w:tcW w:w="94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and expenses associated with the facility to the owner. These revenues and expenses are reported in equal amounts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Reimbursement</w:t>
            </w: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as costs reimbursed from our managed locations.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generally pay to the property owner a fixed amount of rent, plus a percentage</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Leased Location</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revenues derived from monthly and transient parkers. We retain all revenues and we are responsible for most</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operating expenses incurred.</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Allowance</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parking arrangements, we are paid a fixed or hourly fee to provide parking services, and we are</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responsible for certain operating expenses, as specified in the contract.</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Energy Savings</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these arrangements, we agree to develop, design, engineer, and construct a project and guarantee that the</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Contracts and Fixed-</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project will satisfy agreed-upon performance standards. We recognize revenue under certain of these contracts using</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Price Repair and</w:t>
            </w:r>
          </w:p>
        </w:tc>
        <w:tc>
          <w:tcPr>
            <w:tcW w:w="9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percentage-of-completion method of accounting, most often based on the cost-to-cost method, under which</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Refurbishment</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revenues are recognized as the work progresses.</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Franchise</w:t>
            </w: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franchise certain engineering services through individual and area franchises under the Linc Service and TEGG</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9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brands, which are part of ABM Technical Solutions.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9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1340" w:type="dxa"/>
            <w:vAlign w:val="bottom"/>
            <w:gridSpan w:val="2"/>
          </w:tcPr>
          <w:p>
            <w:pPr>
              <w:spacing w:after="0"/>
              <w:rPr>
                <w:sz w:val="20"/>
                <w:szCs w:val="20"/>
                <w:color w:val="auto"/>
              </w:rPr>
            </w:pPr>
            <w:r>
              <w:rPr>
                <w:rFonts w:ascii="Arial" w:cs="Arial" w:eastAsia="Arial" w:hAnsi="Arial"/>
                <w:sz w:val="18"/>
                <w:szCs w:val="18"/>
                <w:b w:val="1"/>
                <w:bCs w:val="1"/>
                <w:color w:val="auto"/>
              </w:rPr>
              <w:t>Management Reimbursement Revenue by Segment</w:t>
            </w: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October 31,</w:t>
            </w:r>
          </w:p>
        </w:tc>
        <w:tc>
          <w:tcPr>
            <w:tcW w:w="1080" w:type="dxa"/>
            <w:vAlign w:val="bottom"/>
            <w:tcBorders>
              <w:bottom w:val="single" w:sz="8" w:color="auto"/>
            </w:tcBorders>
          </w:tcPr>
          <w:p>
            <w:pPr>
              <w:spacing w:after="0"/>
              <w:rPr>
                <w:sz w:val="21"/>
                <w:szCs w:val="21"/>
                <w:color w:val="auto"/>
              </w:rPr>
            </w:pPr>
          </w:p>
        </w:tc>
      </w:tr>
      <w:tr>
        <w:trPr>
          <w:trHeight w:val="230"/>
        </w:trPr>
        <w:tc>
          <w:tcPr>
            <w:tcW w:w="46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Business &amp; Industry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6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7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Emerging Industries Group</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Restructuring and Related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Restructuring and related expenses include employee severance, lease exit costs, external support fees, and other costs. Our methodology to record these costs is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we do not have a past history of consistently providing severance benefits, we recognize severance costs for employees who do not have formal employment agreements when management has committed to a restructuring plan and communicated those actions to impacted employees, such that the employee is able to determine the type and amount of benefits that they will receive upon termination. In addition, if the employees are required to render service beyond the minimum retention period until they are terminated in order to receive the benefits, a liability is recognized ratably over the future service period. For employees with employment agreements, we accrue for these separation liabilities when it is probable that the impacted executives will be entitled to the benefits and the amount can be reasonably estimated.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Leases and Contractual Obligations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record liabilities when we terminate a contract in accordance with the contract terms or when we exit the leased space. The expense for noncancelable leases is determined based on the fair value of remaining lease payments reduced by the fair value of estimated sublease income that could reasonably be obtained for the property, estimated using a present value technique.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other costs associated with exit and disposal activities, we recognize an expense at fair value in the period in which the liability is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Advertising costs are expensed as incurred. During 2017, 2016, and 2015, advertising expense was $2.2 million, $2.1 million, and $2.8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current share-based awards principally consist of restricted stock units (“RSUs”) and various performance share awards. We recognize compensation costs associated with these awards in selling, general and administrative expenses. For RSUs and certain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Collected from Clients and Remitted to Governmental Agencies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Share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exercise of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22" w:right="239" w:bottom="1440" w:gutter="0" w:footer="0" w:header="0"/>
        </w:sectPr>
      </w:pPr>
    </w:p>
    <w:bookmarkStart w:id="66" w:name="page67"/>
    <w:bookmarkEnd w:id="66"/>
    <w:p>
      <w:pPr>
        <w:jc w:val="both"/>
        <w:spacing w:after="0" w:line="262" w:lineRule="auto"/>
        <w:rPr>
          <w:sz w:val="20"/>
          <w:szCs w:val="20"/>
          <w:color w:val="auto"/>
        </w:rPr>
      </w:pPr>
      <w:r>
        <w:rPr>
          <w:rFonts w:ascii="Arial" w:cs="Arial" w:eastAsia="Arial" w:hAnsi="Arial"/>
          <w:sz w:val="18"/>
          <w:szCs w:val="18"/>
          <w:color w:val="auto"/>
        </w:rPr>
        <w:t>If the reasonable estimate of the loss is a range and no amount within the range is a better estimate, the minimum amount of the range is recorded as a liability. We recognize legal costs as an expense in the period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4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restructuring and related expenses in the future. As described in Note 18, “Segment and Geographic Information,” we include</w:t>
      </w:r>
      <w:r>
        <w:rPr>
          <w:rFonts w:ascii="Arial" w:cs="Arial" w:eastAsia="Arial" w:hAnsi="Arial"/>
          <w:sz w:val="18"/>
          <w:szCs w:val="18"/>
          <w:b w:val="1"/>
          <w:bCs w:val="1"/>
          <w:color w:val="0070C0"/>
        </w:rPr>
        <w:t xml:space="preserve"> </w:t>
      </w:r>
      <w:r>
        <w:rPr>
          <w:rFonts w:ascii="Arial" w:cs="Arial" w:eastAsia="Arial" w:hAnsi="Arial"/>
          <w:sz w:val="18"/>
          <w:szCs w:val="18"/>
          <w:color w:val="000000"/>
        </w:rPr>
        <w:t>restructuring and related costs within corporate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Related Liabilities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External</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5"/>
                <w:szCs w:val="15"/>
                <w:b w:val="1"/>
                <w:bCs w:val="1"/>
                <w:color w:val="auto"/>
              </w:rPr>
              <w:t>Employee</w:t>
            </w:r>
          </w:p>
        </w:tc>
        <w:tc>
          <w:tcPr>
            <w:tcW w:w="12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Other Project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70" w:lineRule="exact"/>
              <w:rPr>
                <w:sz w:val="20"/>
                <w:szCs w:val="20"/>
                <w:color w:val="auto"/>
              </w:rPr>
            </w:pPr>
            <w:r>
              <w:rPr>
                <w:rFonts w:ascii="Arial" w:cs="Arial" w:eastAsia="Arial" w:hAnsi="Arial"/>
                <w:sz w:val="15"/>
                <w:szCs w:val="15"/>
                <w:b w:val="1"/>
                <w:bCs w:val="1"/>
                <w:color w:val="auto"/>
              </w:rPr>
              <w:t>Support Fees</w:t>
            </w:r>
          </w:p>
        </w:tc>
        <w:tc>
          <w:tcPr>
            <w:tcW w:w="180" w:type="dxa"/>
            <w:vAlign w:val="bottom"/>
          </w:tcPr>
          <w:p>
            <w:pPr>
              <w:spacing w:after="0"/>
              <w:rPr>
                <w:sz w:val="14"/>
                <w:szCs w:val="14"/>
                <w:color w:val="auto"/>
              </w:rPr>
            </w:pPr>
          </w:p>
        </w:tc>
        <w:tc>
          <w:tcPr>
            <w:tcW w:w="1160" w:type="dxa"/>
            <w:vAlign w:val="bottom"/>
            <w:gridSpan w:val="2"/>
          </w:tcPr>
          <w:p>
            <w:pPr>
              <w:ind w:left="60"/>
              <w:spacing w:after="0" w:line="170" w:lineRule="exact"/>
              <w:rPr>
                <w:sz w:val="20"/>
                <w:szCs w:val="20"/>
                <w:color w:val="auto"/>
              </w:rPr>
            </w:pPr>
            <w:r>
              <w:rPr>
                <w:rFonts w:ascii="Arial" w:cs="Arial" w:eastAsia="Arial" w:hAnsi="Arial"/>
                <w:sz w:val="15"/>
                <w:szCs w:val="15"/>
                <w:b w:val="1"/>
                <w:bCs w:val="1"/>
                <w:color w:val="auto"/>
              </w:rPr>
              <w:t>Severance</w:t>
            </w:r>
          </w:p>
        </w:tc>
        <w:tc>
          <w:tcPr>
            <w:tcW w:w="260" w:type="dxa"/>
            <w:vAlign w:val="bottom"/>
          </w:tcPr>
          <w:p>
            <w:pPr>
              <w:spacing w:after="0"/>
              <w:rPr>
                <w:sz w:val="14"/>
                <w:szCs w:val="14"/>
                <w:color w:val="auto"/>
              </w:rPr>
            </w:pPr>
          </w:p>
        </w:tc>
        <w:tc>
          <w:tcPr>
            <w:tcW w:w="980" w:type="dxa"/>
            <w:vAlign w:val="bottom"/>
            <w:gridSpan w:val="2"/>
          </w:tcPr>
          <w:p>
            <w:pPr>
              <w:jc w:val="center"/>
              <w:ind w:right="360"/>
              <w:spacing w:after="0" w:line="170" w:lineRule="exact"/>
              <w:rPr>
                <w:sz w:val="20"/>
                <w:szCs w:val="20"/>
                <w:color w:val="auto"/>
              </w:rPr>
            </w:pPr>
            <w:r>
              <w:rPr>
                <w:rFonts w:ascii="Arial" w:cs="Arial" w:eastAsia="Arial" w:hAnsi="Arial"/>
                <w:sz w:val="15"/>
                <w:szCs w:val="15"/>
                <w:b w:val="1"/>
                <w:bCs w:val="1"/>
                <w:color w:val="auto"/>
                <w:w w:val="99"/>
              </w:rPr>
              <w:t>Fees</w:t>
            </w:r>
          </w:p>
        </w:tc>
        <w:tc>
          <w:tcPr>
            <w:tcW w:w="180" w:type="dxa"/>
            <w:vAlign w:val="bottom"/>
          </w:tcPr>
          <w:p>
            <w:pPr>
              <w:spacing w:after="0"/>
              <w:rPr>
                <w:sz w:val="14"/>
                <w:szCs w:val="14"/>
                <w:color w:val="auto"/>
              </w:rPr>
            </w:pPr>
          </w:p>
        </w:tc>
        <w:tc>
          <w:tcPr>
            <w:tcW w:w="1180" w:type="dxa"/>
            <w:vAlign w:val="bottom"/>
            <w:gridSpan w:val="2"/>
          </w:tcPr>
          <w:p>
            <w:pPr>
              <w:ind w:left="80"/>
              <w:spacing w:after="0" w:line="170" w:lineRule="exact"/>
              <w:rPr>
                <w:sz w:val="20"/>
                <w:szCs w:val="20"/>
                <w:color w:val="auto"/>
              </w:rPr>
            </w:pPr>
            <w:r>
              <w:rPr>
                <w:rFonts w:ascii="Arial" w:cs="Arial" w:eastAsia="Arial" w:hAnsi="Arial"/>
                <w:sz w:val="15"/>
                <w:szCs w:val="15"/>
                <w:b w:val="1"/>
                <w:bCs w:val="1"/>
                <w:color w:val="auto"/>
              </w:rPr>
              <w:t>Lease Exit</w:t>
            </w:r>
          </w:p>
        </w:tc>
        <w:tc>
          <w:tcPr>
            <w:tcW w:w="1460" w:type="dxa"/>
            <w:vAlign w:val="bottom"/>
            <w:gridSpan w:val="3"/>
          </w:tcPr>
          <w:p>
            <w:pPr>
              <w:ind w:left="40"/>
              <w:spacing w:after="0" w:line="170" w:lineRule="exact"/>
              <w:rPr>
                <w:sz w:val="20"/>
                <w:szCs w:val="20"/>
                <w:color w:val="auto"/>
              </w:rPr>
            </w:pPr>
            <w:r>
              <w:rPr>
                <w:rFonts w:ascii="Arial" w:cs="Arial" w:eastAsia="Arial" w:hAnsi="Arial"/>
                <w:sz w:val="15"/>
                <w:szCs w:val="15"/>
                <w:b w:val="1"/>
                <w:bCs w:val="1"/>
                <w:color w:val="auto"/>
              </w:rPr>
              <w:t>Asset Impairment</w:t>
            </w:r>
          </w:p>
        </w:tc>
        <w:tc>
          <w:tcPr>
            <w:tcW w:w="300" w:type="dxa"/>
            <w:vAlign w:val="bottom"/>
          </w:tcPr>
          <w:p>
            <w:pPr>
              <w:spacing w:after="0"/>
              <w:rPr>
                <w:sz w:val="14"/>
                <w:szCs w:val="14"/>
                <w:color w:val="auto"/>
              </w:rPr>
            </w:pPr>
          </w:p>
        </w:tc>
        <w:tc>
          <w:tcPr>
            <w:tcW w:w="960" w:type="dxa"/>
            <w:vAlign w:val="bottom"/>
          </w:tcPr>
          <w:p>
            <w:pPr>
              <w:jc w:val="right"/>
              <w:ind w:right="379"/>
              <w:spacing w:after="0" w:line="170" w:lineRule="exact"/>
              <w:rPr>
                <w:sz w:val="20"/>
                <w:szCs w:val="20"/>
                <w:color w:val="auto"/>
              </w:rPr>
            </w:pPr>
            <w:r>
              <w:rPr>
                <w:rFonts w:ascii="Arial" w:cs="Arial" w:eastAsia="Arial" w:hAnsi="Arial"/>
                <w:sz w:val="15"/>
                <w:szCs w:val="15"/>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October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40" w:type="dxa"/>
            <w:vAlign w:val="bottom"/>
          </w:tcPr>
          <w:p>
            <w:pPr>
              <w:spacing w:after="0"/>
              <w:rPr>
                <w:sz w:val="22"/>
                <w:szCs w:val="22"/>
                <w:color w:val="auto"/>
              </w:rPr>
            </w:pPr>
          </w:p>
        </w:tc>
        <w:tc>
          <w:tcPr>
            <w:tcW w:w="328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1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12.7</w:t>
            </w:r>
          </w:p>
        </w:tc>
      </w:tr>
      <w:tr>
        <w:trPr>
          <w:trHeight w:val="280"/>
        </w:trPr>
        <w:tc>
          <w:tcPr>
            <w:tcW w:w="40" w:type="dxa"/>
            <w:vAlign w:val="bottom"/>
            <w:shd w:val="clear" w:color="auto" w:fill="CCEEFF"/>
          </w:tcPr>
          <w:p>
            <w:pPr>
              <w:spacing w:after="0"/>
              <w:rPr>
                <w:sz w:val="24"/>
                <w:szCs w:val="24"/>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64"/>
        </w:trPr>
        <w:tc>
          <w:tcPr>
            <w:tcW w:w="4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40"/>
        </w:trPr>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October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12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29.0</w:t>
            </w:r>
          </w:p>
        </w:tc>
      </w:tr>
      <w:tr>
        <w:trPr>
          <w:trHeight w:val="280"/>
        </w:trPr>
        <w:tc>
          <w:tcPr>
            <w:tcW w:w="40" w:type="dxa"/>
            <w:vAlign w:val="bottom"/>
            <w:shd w:val="clear" w:color="auto" w:fill="CCEEFF"/>
          </w:tcPr>
          <w:p>
            <w:pPr>
              <w:spacing w:after="0"/>
              <w:rPr>
                <w:sz w:val="24"/>
                <w:szCs w:val="24"/>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64"/>
        </w:trPr>
        <w:tc>
          <w:tcPr>
            <w:tcW w:w="4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4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October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12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20.9</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Payments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64"/>
        </w:trPr>
        <w:tc>
          <w:tcPr>
            <w:tcW w:w="4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r>
      <w:tr>
        <w:trPr>
          <w:trHeight w:val="240"/>
        </w:trPr>
        <w:tc>
          <w:tcPr>
            <w:tcW w:w="3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October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We have incurred cumulative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charges of $62.5 million, including external support fees of $28.0 million, employee severance costs of $13.8 million, other project fees of $10.4 million, lease exit costs of $5.7 million, and asset impairment costs of $4.7 million.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4.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GCA Services Group during 2017</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1, 2017, we acquired all of the outstanding stock of GCA Holding Corp., the indirect parent company of GCA Services Group (“GCA”), a provider of integrated facility services to educational institutions and commercial facilities, for a purchase price of approximately $1.3 billion. As a result of the acquisition, we are now a leading facility solutions provider in the Education market. As of September 1, 2017, the operations of GCA are included in our GCA Services segment.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Transferred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9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Shares of ABM common stock, net of shares withheld for taxes</w:t>
            </w:r>
            <w:r>
              <w:rPr>
                <w:rFonts w:ascii="Arial" w:cs="Arial" w:eastAsia="Arial" w:hAnsi="Arial"/>
                <w:sz w:val="21"/>
                <w:szCs w:val="21"/>
                <w:color w:val="auto"/>
                <w:vertAlign w:val="superscript"/>
              </w:rPr>
              <w:t>(1)</w:t>
            </w:r>
          </w:p>
        </w:tc>
        <w:tc>
          <w:tcPr>
            <w:tcW w:w="7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64"/>
        </w:trPr>
        <w:tc>
          <w:tcPr>
            <w:tcW w:w="93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ABM common stock closing market price at acquisition date</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44.63</w:t>
            </w:r>
          </w:p>
        </w:tc>
      </w:tr>
      <w:tr>
        <w:trPr>
          <w:trHeight w:val="257"/>
        </w:trPr>
        <w:tc>
          <w:tcPr>
            <w:tcW w:w="9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 of ABM common stock at closing</w:t>
            </w:r>
          </w:p>
        </w:tc>
        <w:tc>
          <w:tcPr>
            <w:tcW w:w="7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421.3</w:t>
            </w:r>
          </w:p>
        </w:tc>
      </w:tr>
      <w:tr>
        <w:trPr>
          <w:trHeight w:val="264"/>
        </w:trPr>
        <w:tc>
          <w:tcPr>
            <w:tcW w:w="93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Cash consideration</w:t>
            </w:r>
          </w:p>
        </w:tc>
        <w:tc>
          <w:tcPr>
            <w:tcW w:w="7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839.9</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consideration transferred</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1,261.3</w:t>
            </w: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Certain of these shares are subject to registration rights.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Allocation</w:t>
      </w:r>
    </w:p>
    <w:p>
      <w:pPr>
        <w:spacing w:after="0" w:line="193"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Our preliminary purchase price allocation is based on information that is currently available, and we are continuing to evaluate the underlying inputs and assumptions used in our valuations. Accordingly, consideration and purchase price allocations are subject to, among other items: working capital adjustments; further analysis of tax accounts, including deferred tax liabilities; and final valuation of identifiable intangible assets.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Trade accounts receivable</w:t>
            </w:r>
            <w:r>
              <w:rPr>
                <w:rFonts w:ascii="Arial" w:cs="Arial" w:eastAsia="Arial" w:hAnsi="Arial"/>
                <w:sz w:val="21"/>
                <w:szCs w:val="21"/>
                <w:color w:val="auto"/>
                <w:vertAlign w:val="superscript"/>
              </w:rPr>
              <w:t>(1)</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118.1</w:t>
            </w:r>
          </w:p>
        </w:tc>
      </w:tr>
      <w:tr>
        <w:trPr>
          <w:trHeight w:val="270"/>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6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74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7"/>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r>
              <w:rPr>
                <w:rFonts w:ascii="Arial" w:cs="Arial" w:eastAsia="Arial" w:hAnsi="Arial"/>
                <w:sz w:val="21"/>
                <w:szCs w:val="21"/>
                <w:color w:val="auto"/>
                <w:vertAlign w:val="superscript"/>
              </w:rPr>
              <w:t>(2)</w:t>
            </w: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70"/>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Trade name</w:t>
            </w:r>
            <w:r>
              <w:rPr>
                <w:rFonts w:ascii="Arial" w:cs="Arial" w:eastAsia="Arial" w:hAnsi="Arial"/>
                <w:sz w:val="21"/>
                <w:szCs w:val="21"/>
                <w:color w:val="auto"/>
                <w:vertAlign w:val="superscript"/>
              </w:rPr>
              <w:t>(2)</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0"/>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(3)</w:t>
            </w: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933.9</w:t>
            </w:r>
          </w:p>
        </w:tc>
      </w:tr>
      <w:tr>
        <w:trPr>
          <w:trHeight w:val="26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7"/>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6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Insurance reserves</w:t>
            </w:r>
          </w:p>
        </w:tc>
        <w:tc>
          <w:tcPr>
            <w:tcW w:w="7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7"/>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6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Accrued liabilities</w:t>
            </w:r>
          </w:p>
        </w:tc>
        <w:tc>
          <w:tcPr>
            <w:tcW w:w="7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7"/>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 liability, net</w:t>
            </w: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64"/>
        </w:trPr>
        <w:tc>
          <w:tcPr>
            <w:tcW w:w="93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assets acquired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1,261.3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gross amount of trade accounts receivable was $122.0 million, of which $3.9 million is expected to be uncollectible.</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amortization periods for the acquired intangible assets are 15 years for customer contracts and 2 years for trade names.</w:t>
      </w:r>
    </w:p>
    <w:p>
      <w:pPr>
        <w:spacing w:after="0" w:line="151" w:lineRule="exact"/>
        <w:rPr>
          <w:sz w:val="20"/>
          <w:szCs w:val="20"/>
          <w:color w:val="auto"/>
        </w:rPr>
      </w:pPr>
    </w:p>
    <w:p>
      <w:pPr>
        <w:ind w:left="180" w:hanging="161"/>
        <w:spacing w:after="0" w:line="219"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Goodwill is largely attributable to value we expect to obtain from long-term business growth, the established workforce, and buyer-specific synergies. This goodwill is not deductible for income tax purposes.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2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following table presents our unaudited pro forma results for 2017 and 2016 as though the GCA acquisition occurred on November 1, 2015. The pro forma results include adjustments for the estimated amortization of intangible assets, interest expense, and the income tax impact of the pro forma adjustments at the statutory rate of 41%. These unaudited pro forma results do not reflect the cost of integration activities or benefits from expected revenue enhancements and synergies. Accordingly, the unaudited pro forma information is not necessarily indicative of the results that would have been achieved if the acquisition had been effective on November 1, 2015.</w:t>
      </w:r>
    </w:p>
    <w:p>
      <w:pPr>
        <w:spacing w:after="0" w:line="305"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28575</wp:posOffset>
            </wp:positionV>
            <wp:extent cx="2400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6,153.6</w:t>
            </w:r>
          </w:p>
        </w:tc>
      </w:tr>
      <w:tr>
        <w:trPr>
          <w:trHeight w:val="257"/>
        </w:trPr>
        <w:tc>
          <w:tcPr>
            <w:tcW w:w="7640" w:type="dxa"/>
            <w:vAlign w:val="bottom"/>
            <w:gridSpan w:val="3"/>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unaudited pro forma results were adjusted to exclude $24.2 million of acquisition-related costs incurred during 2017, which are included in selling, general and administrative expenses in the accompanying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2017 Acquisitions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The purchase price includes up to $1.0 million of undiscounted contingent consideration that is based on the expected achievement of certain pre-established revenue goals. See Note 7, “Fair Value of Financial Instruments,” regarding our valuation of contingent consideration liabilities. As of December 1, 2016, the operations of MSI are included in our Technical Solutions segment.</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December 1, 2016, we also acquired all of the outstanding stock of OFJ Connections Ltd (“OFJ”), a provider of airport transportation services in the United Kingdom, for a purchase price of $6.3 million. As of December 1, 2016, the operations of OFJ are included in our Aviation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September 30, 2016, we acquired all of the outstanding stock of BRBIBR Limited, a company which held all of the outstanding shares of 8 Solutions Ltd. (“8 Solutions”), a provider of technical cleaning services to data centers in the United Kingdom and certain other locations, for a purchase price of $16.1 million. As of September 30, 2016, the operations of 8 Solutions are included in our Business &amp; Industry segment, and 8 Solutions has been renamed “ABM Critical Solutions Limited.”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services to clients in the United Kingdom, for a purchase price of $81.0 million. This acquisition expanded the geographical reach of our technical solutions business to the United Kingdom, resulting in the allocation of a significant portion of the purchase price to goodwill. As such, we recorded goodwill and intangible assets of $53.8 million and $22.5 million, respectively. The goodwill associated with this acquisition is not deductible for tax purposes. As of December 1, 2015, the operations of Westway are included in our Technical Solutions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(“CTS”), a provider of HVAC services and energy solutions in government, commercial, and industrial buildings, for a purchase price of $18.8 million. The purchase price included contingent consideration of $3.8 million that was based on the expected achievement of certain pre-established revenue goals. During 2017 the revenue-related target was achieved, resulting in payment to the seller. As of May 1, 2015, the operations of CTS are included in our Technical Solutions segment.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2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Pro Forma and Other Financial Information</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Except for GCA, we do not present pro forma and other financial information for our other acquisitions, as they are not considered material business combinations individually or on a combined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October 26, 2015, 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sold substantially all of the assets of our Security business to Universal Protection Service, L.P. for cash proceeds of $131.0 million, subject to a working capital adjustment. In connection with the sale, we recorded a $23.6 million gain, which was subsequently reduced by a $ 3.1 million working capital adjustment in 2016. Following the sale, we record all costs associated with this former business in discontinued operations. Such costs generally relate to litigation we retained and insurance reserves. In 2017, we incurred a net loss from discontinued operations of $74.3 million (a pretax loss of $123.7 million). As described in Note 14, “Commitments and Contingencies,” this loss primarily relates to the settlements of the Augustus and Karapetyan cases.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8"/>
                <w:szCs w:val="18"/>
                <w:b w:val="1"/>
                <w:bCs w:val="1"/>
                <w:color w:val="auto"/>
                <w:w w:val="99"/>
              </w:rPr>
              <w:t>Years Ended October 31,</w:t>
            </w:r>
          </w:p>
        </w:tc>
        <w:tc>
          <w:tcPr>
            <w:tcW w:w="1420" w:type="dxa"/>
            <w:vAlign w:val="bottom"/>
            <w:tcBorders>
              <w:bottom w:val="single" w:sz="8" w:color="auto"/>
            </w:tcBorders>
          </w:tcPr>
          <w:p>
            <w:pPr>
              <w:spacing w:after="0"/>
              <w:rPr>
                <w:sz w:val="21"/>
                <w:szCs w:val="21"/>
                <w:color w:val="auto"/>
              </w:rPr>
            </w:pPr>
          </w:p>
        </w:tc>
      </w:tr>
      <w:tr>
        <w:trPr>
          <w:trHeight w:val="230"/>
        </w:trPr>
        <w:tc>
          <w:tcPr>
            <w:tcW w:w="53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5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64"/>
        </w:trPr>
        <w:tc>
          <w:tcPr>
            <w:tcW w:w="53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(Loss) income from discontinued operations, net of taxes</w:t>
            </w:r>
          </w:p>
        </w:tc>
        <w:tc>
          <w:tcPr>
            <w:tcW w:w="3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r>
      <w:tr>
        <w:trPr>
          <w:trHeight w:val="257"/>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7"/>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and common equivalent shares</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52"/>
        </w:trPr>
        <w:tc>
          <w:tcPr>
            <w:tcW w:w="40" w:type="dxa"/>
            <w:vAlign w:val="bottom"/>
            <w:shd w:val="clear" w:color="auto" w:fill="CCEEFF"/>
          </w:tcPr>
          <w:p>
            <w:pPr>
              <w:spacing w:after="0"/>
              <w:rPr>
                <w:sz w:val="21"/>
                <w:szCs w:val="21"/>
                <w:color w:val="auto"/>
              </w:rPr>
            </w:pPr>
          </w:p>
        </w:tc>
        <w:tc>
          <w:tcPr>
            <w:tcW w:w="53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 — Basic</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Performance shares</w:t>
            </w:r>
          </w:p>
        </w:tc>
        <w:tc>
          <w:tcPr>
            <w:tcW w:w="3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187"/>
        </w:trPr>
        <w:tc>
          <w:tcPr>
            <w:tcW w:w="5360" w:type="dxa"/>
            <w:vAlign w:val="bottom"/>
            <w:gridSpan w:val="4"/>
          </w:tcPr>
          <w:p>
            <w:pPr>
              <w:ind w:left="40"/>
              <w:spacing w:after="0" w:line="187" w:lineRule="exact"/>
              <w:rPr>
                <w:sz w:val="20"/>
                <w:szCs w:val="20"/>
                <w:color w:val="auto"/>
              </w:rPr>
            </w:pPr>
            <w:r>
              <w:rPr>
                <w:rFonts w:ascii="Arial" w:cs="Arial" w:eastAsia="Arial" w:hAnsi="Arial"/>
                <w:sz w:val="18"/>
                <w:szCs w:val="18"/>
                <w:b w:val="1"/>
                <w:bCs w:val="1"/>
                <w:color w:val="auto"/>
              </w:rPr>
              <w:t>Weighted-average common and common equivalent shares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79"/>
        </w:trPr>
        <w:tc>
          <w:tcPr>
            <w:tcW w:w="40" w:type="dxa"/>
            <w:vAlign w:val="bottom"/>
            <w:tcBorders>
              <w:bottom w:val="single" w:sz="8" w:color="CCEEFF"/>
            </w:tcBorders>
          </w:tcPr>
          <w:p>
            <w:pPr>
              <w:spacing w:after="0"/>
              <w:rPr>
                <w:sz w:val="24"/>
                <w:szCs w:val="24"/>
                <w:color w:val="auto"/>
              </w:rPr>
            </w:pPr>
          </w:p>
        </w:tc>
        <w:tc>
          <w:tcPr>
            <w:tcW w:w="53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b w:val="1"/>
                <w:bCs w:val="1"/>
                <w:color w:val="auto"/>
              </w:rPr>
              <w:t>outstanding — Diluted</w:t>
            </w: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r>
      <w:tr>
        <w:trPr>
          <w:trHeight w:val="278"/>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536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r>
      <w:tr>
        <w:trPr>
          <w:trHeight w:val="264"/>
        </w:trPr>
        <w:tc>
          <w:tcPr>
            <w:tcW w:w="40" w:type="dxa"/>
            <w:vAlign w:val="bottom"/>
            <w:tcBorders>
              <w:bottom w:val="single" w:sz="8" w:color="CCEEFF"/>
            </w:tcBorders>
          </w:tcPr>
          <w:p>
            <w:pPr>
              <w:spacing w:after="0"/>
              <w:rPr>
                <w:sz w:val="22"/>
                <w:szCs w:val="22"/>
                <w:color w:val="auto"/>
              </w:rPr>
            </w:pPr>
          </w:p>
        </w:tc>
        <w:tc>
          <w:tcPr>
            <w:tcW w:w="53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3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r>
      <w:tr>
        <w:trPr>
          <w:trHeight w:val="257"/>
        </w:trPr>
        <w:tc>
          <w:tcPr>
            <w:tcW w:w="4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56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0.94</w:t>
            </w: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3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57"/>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56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060" w:type="dxa"/>
            <w:vAlign w:val="bottom"/>
            <w:gridSpan w:val="13"/>
          </w:tcPr>
          <w:p>
            <w:pPr>
              <w:spacing w:after="0"/>
              <w:rPr>
                <w:sz w:val="20"/>
                <w:szCs w:val="20"/>
                <w:color w:val="auto"/>
              </w:rPr>
            </w:pPr>
            <w:r>
              <w:rPr>
                <w:rFonts w:ascii="Arial" w:cs="Arial" w:eastAsia="Arial" w:hAnsi="Arial"/>
                <w:sz w:val="18"/>
                <w:szCs w:val="18"/>
                <w:b w:val="1"/>
                <w:bCs w:val="1"/>
                <w:color w:val="auto"/>
              </w:rPr>
              <w:t>Anti-Dilutive Outstanding Stock Awards Issued Under Share-Based Compensation Plans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8"/>
                <w:szCs w:val="18"/>
                <w:b w:val="1"/>
                <w:bCs w:val="1"/>
                <w:color w:val="auto"/>
                <w:w w:val="99"/>
              </w:rPr>
              <w:t>Years Ended October 31,</w:t>
            </w:r>
          </w:p>
        </w:tc>
        <w:tc>
          <w:tcPr>
            <w:tcW w:w="1420" w:type="dxa"/>
            <w:vAlign w:val="bottom"/>
            <w:tcBorders>
              <w:bottom w:val="single" w:sz="8" w:color="auto"/>
            </w:tcBorders>
          </w:tcPr>
          <w:p>
            <w:pPr>
              <w:spacing w:after="0"/>
              <w:rPr>
                <w:sz w:val="24"/>
                <w:szCs w:val="24"/>
                <w:color w:val="auto"/>
              </w:rPr>
            </w:pPr>
          </w:p>
        </w:tc>
      </w:tr>
      <w:tr>
        <w:trPr>
          <w:trHeight w:val="230"/>
        </w:trPr>
        <w:tc>
          <w:tcPr>
            <w:tcW w:w="53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62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67</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71" w:name="page72"/>
    <w:bookmarkEnd w:id="71"/>
    <w:p>
      <w:pPr>
        <w:ind w:right="7180" w:firstLine="8"/>
        <w:spacing w:after="0" w:line="464" w:lineRule="auto"/>
        <w:tabs>
          <w:tab w:leader="none" w:pos="2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 Fair Value Hierarchy of Our Financial Instruments</w:t>
      </w: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As of October 31,</w:t>
            </w:r>
          </w:p>
        </w:tc>
      </w:tr>
      <w:tr>
        <w:trPr>
          <w:trHeight w:val="193"/>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6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Hierarchy</w:t>
            </w:r>
          </w:p>
        </w:tc>
        <w:tc>
          <w:tcPr>
            <w:tcW w:w="34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Insurance deposits</w:t>
            </w:r>
            <w:r>
              <w:rPr>
                <w:rFonts w:ascii="Arial" w:cs="Arial" w:eastAsia="Arial" w:hAnsi="Arial"/>
                <w:sz w:val="21"/>
                <w:szCs w:val="21"/>
                <w:color w:val="auto"/>
                <w:vertAlign w:val="superscript"/>
              </w:rPr>
              <w:t>(2)</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Assets held in funded deferred compensation plan</w:t>
            </w:r>
            <w:r>
              <w:rPr>
                <w:rFonts w:ascii="Arial" w:cs="Arial" w:eastAsia="Arial" w:hAnsi="Arial"/>
                <w:sz w:val="21"/>
                <w:szCs w:val="21"/>
                <w:color w:val="auto"/>
                <w:vertAlign w:val="superscript"/>
              </w:rPr>
              <w:t>(3)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Credit facility</w:t>
            </w:r>
            <w:r>
              <w:rPr>
                <w:rFonts w:ascii="Arial" w:cs="Arial" w:eastAsia="Arial" w:hAnsi="Arial"/>
                <w:sz w:val="21"/>
                <w:szCs w:val="21"/>
                <w:color w:val="auto"/>
                <w:vertAlign w:val="superscript"/>
              </w:rPr>
              <w:t>(4)</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268.3</w:t>
            </w: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swaps</w:t>
            </w:r>
            <w:r>
              <w:rPr>
                <w:rFonts w:ascii="Arial" w:cs="Arial" w:eastAsia="Arial" w:hAnsi="Arial"/>
                <w:sz w:val="21"/>
                <w:szCs w:val="21"/>
                <w:color w:val="auto"/>
                <w:vertAlign w:val="superscript"/>
              </w:rPr>
              <w:t>(5)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Investments in auction rate securities</w:t>
            </w:r>
            <w:r>
              <w:rPr>
                <w:rFonts w:ascii="Arial" w:cs="Arial" w:eastAsia="Arial" w:hAnsi="Arial"/>
                <w:sz w:val="21"/>
                <w:szCs w:val="21"/>
                <w:color w:val="auto"/>
                <w:vertAlign w:val="superscript"/>
              </w:rPr>
              <w:t>(6)</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r>
              <w:rPr>
                <w:rFonts w:ascii="Arial" w:cs="Arial" w:eastAsia="Arial" w:hAnsi="Arial"/>
                <w:sz w:val="21"/>
                <w:szCs w:val="21"/>
                <w:color w:val="auto"/>
                <w:vertAlign w:val="superscript"/>
              </w:rPr>
              <w:t>(7)</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bl>
    <w:p>
      <w:pPr>
        <w:spacing w:after="0" w:line="117"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56" w:lineRule="exact"/>
        <w:rPr>
          <w:rFonts w:ascii="Arial" w:cs="Arial" w:eastAsia="Arial" w:hAnsi="Arial"/>
          <w:sz w:val="21"/>
          <w:szCs w:val="21"/>
          <w:color w:val="auto"/>
          <w:vertAlign w:val="superscript"/>
        </w:rPr>
      </w:pPr>
    </w:p>
    <w:p>
      <w:pPr>
        <w:jc w:val="both"/>
        <w:ind w:right="20" w:firstLine="8"/>
        <w:spacing w:after="0" w:line="221" w:lineRule="auto"/>
        <w:tabs>
          <w:tab w:leader="none" w:pos="202"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11, “Insurance,” for further information.</w:t>
      </w:r>
    </w:p>
    <w:p>
      <w:pPr>
        <w:spacing w:after="0" w:line="157" w:lineRule="exact"/>
        <w:rPr>
          <w:rFonts w:ascii="Arial" w:cs="Arial" w:eastAsia="Arial" w:hAnsi="Arial"/>
          <w:sz w:val="22"/>
          <w:szCs w:val="22"/>
          <w:color w:val="auto"/>
          <w:vertAlign w:val="superscript"/>
        </w:rPr>
      </w:pPr>
    </w:p>
    <w:p>
      <w:pPr>
        <w:jc w:val="both"/>
        <w:ind w:firstLine="8"/>
        <w:spacing w:after="0" w:line="234"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consolidated balance sheets. The fair value of the assets held in the funded deferred compensation plan is based on quoted market prices. See Note 13, “Employee Benefit Plans,” for further information.</w:t>
      </w:r>
    </w:p>
    <w:p>
      <w:pPr>
        <w:spacing w:after="0" w:line="157" w:lineRule="exact"/>
        <w:rPr>
          <w:rFonts w:ascii="Arial" w:cs="Arial" w:eastAsia="Arial" w:hAnsi="Arial"/>
          <w:sz w:val="21"/>
          <w:szCs w:val="21"/>
          <w:color w:val="auto"/>
          <w:vertAlign w:val="superscript"/>
        </w:rPr>
      </w:pPr>
    </w:p>
    <w:p>
      <w:pPr>
        <w:ind w:firstLine="8"/>
        <w:spacing w:after="0" w:line="263" w:lineRule="auto"/>
        <w:tabs>
          <w:tab w:leader="none" w:pos="162"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12, “Credit Facility,” for further information.</w:t>
      </w:r>
    </w:p>
    <w:p>
      <w:pPr>
        <w:spacing w:after="0" w:line="136" w:lineRule="exact"/>
        <w:rPr>
          <w:rFonts w:ascii="Arial" w:cs="Arial" w:eastAsia="Arial" w:hAnsi="Arial"/>
          <w:sz w:val="18"/>
          <w:szCs w:val="18"/>
          <w:color w:val="auto"/>
          <w:vertAlign w:val="superscript"/>
        </w:rPr>
      </w:pPr>
    </w:p>
    <w:p>
      <w:pPr>
        <w:jc w:val="both"/>
        <w:ind w:firstLine="8"/>
        <w:spacing w:after="0" w:line="272" w:lineRule="auto"/>
        <w:tabs>
          <w:tab w:leader="none" w:pos="162"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These interest rate swaps are included in “Other noncurrent assets” on the accompanying consolidated balance sheets. See Note 12, “Credit Facility,” for further information.</w:t>
      </w:r>
    </w:p>
    <w:p>
      <w:pPr>
        <w:spacing w:after="0" w:line="136" w:lineRule="exact"/>
        <w:rPr>
          <w:rFonts w:ascii="Arial" w:cs="Arial" w:eastAsia="Arial" w:hAnsi="Arial"/>
          <w:sz w:val="18"/>
          <w:szCs w:val="18"/>
          <w:color w:val="auto"/>
          <w:vertAlign w:val="superscript"/>
        </w:rPr>
      </w:pPr>
    </w:p>
    <w:p>
      <w:pPr>
        <w:jc w:val="both"/>
        <w:ind w:firstLine="8"/>
        <w:spacing w:after="0" w:line="272" w:lineRule="auto"/>
        <w:tabs>
          <w:tab w:leader="none" w:pos="162"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consolidated balance sheets. See Note 8, “Auction Rate Securities,” for further information.</w:t>
      </w:r>
    </w:p>
    <w:p>
      <w:pPr>
        <w:spacing w:after="0" w:line="136" w:lineRule="exact"/>
        <w:rPr>
          <w:rFonts w:ascii="Arial" w:cs="Arial" w:eastAsia="Arial" w:hAnsi="Arial"/>
          <w:sz w:val="18"/>
          <w:szCs w:val="18"/>
          <w:color w:val="auto"/>
          <w:vertAlign w:val="superscript"/>
        </w:rPr>
      </w:pPr>
    </w:p>
    <w:p>
      <w:pPr>
        <w:jc w:val="both"/>
        <w:ind w:firstLine="8"/>
        <w:spacing w:after="0" w:line="253" w:lineRule="auto"/>
        <w:tabs>
          <w:tab w:leader="none" w:pos="178"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Certain of our acquisitions involve the payment of contingent consideration. The fair value of these liabilities is based on the expected achievement of certain pre-established revenue goals. At October 31, 2016, we had one contingent consideration liability included in “Other accrued liabilities” on the accompanying consolidated balance sheets. During 2017 the revenue-related target for that acquisition was achieved, resulting in the payment of $3.8 million to the seller. In connection with the MSI acquisition, we recorded one new contingent consideration liability during 2017, which is included in “Other noncurrent liabilities” on the accompanying consolidated balance sheets.</w:t>
      </w:r>
    </w:p>
    <w:p>
      <w:pPr>
        <w:spacing w:after="0" w:line="147" w:lineRule="exact"/>
        <w:rPr>
          <w:sz w:val="20"/>
          <w:szCs w:val="20"/>
          <w:color w:val="auto"/>
        </w:rPr>
      </w:pPr>
    </w:p>
    <w:p>
      <w:pPr>
        <w:ind w:right="2120" w:firstLine="648"/>
        <w:spacing w:after="0" w:line="438" w:lineRule="auto"/>
        <w:rPr>
          <w:sz w:val="20"/>
          <w:szCs w:val="20"/>
          <w:color w:val="auto"/>
        </w:rPr>
      </w:pPr>
      <w:r>
        <w:rPr>
          <w:rFonts w:ascii="Arial" w:cs="Arial" w:eastAsia="Arial" w:hAnsi="Arial"/>
          <w:sz w:val="18"/>
          <w:szCs w:val="18"/>
          <w:color w:val="auto"/>
        </w:rPr>
        <w:t xml:space="preserve">During 2017 and 2016, we had no transfers of assets or liabilities between any of the above hierarchy levels. </w:t>
      </w:r>
      <w:r>
        <w:rPr>
          <w:rFonts w:ascii="Arial" w:cs="Arial" w:eastAsia="Arial" w:hAnsi="Arial"/>
          <w:sz w:val="18"/>
          <w:szCs w:val="18"/>
          <w:b w:val="1"/>
          <w:bCs w:val="1"/>
          <w:i w:val="1"/>
          <w:iCs w:val="1"/>
          <w:color w:val="auto"/>
        </w:rPr>
        <w:t>Non-Financial Assets Measured at Fair Value on a Non-Recurring Basis</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2016, we recorded impairment charges of $22.5 million, including both long-lived asset and goodwill impairment charges associated with the classification of the former Government Services business as held for sale. During the second quarter of 2017, we received an offer from a strategic buyer to purchase the Government Services business for approximately $35.0 million, which was higher than our previous estimate of fair value less costs to sell. As a result, we recorded a $17.4 million impairment recovery to adjust the fair value of certain previously impaired assets to the valuation of the assets as implied by the agreed-upon sales price, less estimated costs to sell. The initial measurement of the impairment and subsequent recovery represented Level 3 inputs under the fair value hierarchy.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22" w:right="239" w:bottom="1440" w:gutter="0" w:footer="0" w:header="0"/>
        </w:sectPr>
      </w:pPr>
    </w:p>
    <w:bookmarkStart w:id="72" w:name="page73"/>
    <w:bookmarkEnd w:id="72"/>
    <w:p>
      <w:pPr>
        <w:jc w:val="both"/>
        <w:ind w:firstLine="648"/>
        <w:spacing w:after="0" w:line="252" w:lineRule="auto"/>
        <w:rPr>
          <w:sz w:val="20"/>
          <w:szCs w:val="20"/>
          <w:color w:val="auto"/>
        </w:rPr>
      </w:pPr>
      <w:r>
        <w:rPr>
          <w:rFonts w:ascii="Arial" w:cs="Arial" w:eastAsia="Arial" w:hAnsi="Arial"/>
          <w:sz w:val="18"/>
          <w:szCs w:val="18"/>
          <w:color w:val="auto"/>
        </w:rPr>
        <w:t>In addition, on November 1, 2016, we reorganized our reportable segments and goodwill reporting units. In connection with this reorganization, we performed a goodwill impairment test immediately before and after the segment realignment. We estimated the fair value of goodwill using the income and market approaches, which utilize expected cash flows using Level 3 inputs. This analysis required the exercise of significant judgments, including the identification of reporting units as well as the evaluation of recent indicators of market activity, estimated future cash flows, discount rates, and other factors. As a result of this analysis, we concluded that the estimated fair value of each reporting unit substantially exceeded its carrying value and that no further evaluation of impairment was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AUCTION RATE SECURITIES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2017 and 2016, we held investments in auction rate securities from two different issuers that had an aggregate original principal amount of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2017 and 2016, there were no unrealized gains or losses on our auction rate securities included in AOCL and the total amount of other-than-temporary impairment credit loss on our auction rate security investments included in our retained earnings was $2.0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2017</w:t>
            </w:r>
          </w:p>
        </w:tc>
        <w:tc>
          <w:tcPr>
            <w:tcW w:w="10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2016</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+ 0.42% and L + 0.79%</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 + 0.46% and L + 1.30%</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60" w:type="dxa"/>
            <w:vAlign w:val="bottom"/>
          </w:tcPr>
          <w:p>
            <w:pPr>
              <w:jc w:val="center"/>
              <w:spacing w:after="0"/>
              <w:rPr>
                <w:sz w:val="20"/>
                <w:szCs w:val="20"/>
                <w:color w:val="auto"/>
              </w:rPr>
            </w:pPr>
            <w:r>
              <w:rPr>
                <w:rFonts w:ascii="Arial" w:cs="Arial" w:eastAsia="Arial" w:hAnsi="Arial"/>
                <w:sz w:val="18"/>
                <w:szCs w:val="18"/>
                <w:color w:val="auto"/>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 – 10 years</w:t>
            </w:r>
          </w:p>
        </w:tc>
      </w:tr>
      <w:tr>
        <w:trPr>
          <w:trHeight w:val="378"/>
        </w:trPr>
        <w:tc>
          <w:tcPr>
            <w:tcW w:w="3780" w:type="dxa"/>
            <w:vAlign w:val="bottom"/>
            <w:gridSpan w:val="2"/>
          </w:tcPr>
          <w:p>
            <w:pPr>
              <w:spacing w:after="0"/>
              <w:rPr>
                <w:sz w:val="20"/>
                <w:szCs w:val="20"/>
                <w:color w:val="auto"/>
              </w:rPr>
            </w:pPr>
            <w:r>
              <w:rPr>
                <w:rFonts w:ascii="Arial" w:cs="Arial" w:eastAsia="Arial" w:hAnsi="Arial"/>
                <w:sz w:val="16"/>
                <w:szCs w:val="16"/>
                <w:color w:val="auto"/>
              </w:rPr>
              <w:t xml:space="preserve">L </w:t>
            </w:r>
            <w:r>
              <w:rPr>
                <w:rFonts w:ascii="Arial" w:cs="Arial" w:eastAsia="Arial" w:hAnsi="Arial"/>
                <w:sz w:val="18"/>
                <w:szCs w:val="18"/>
                <w:color w:val="auto"/>
              </w:rPr>
              <w:t>–</w:t>
            </w:r>
            <w:r>
              <w:rPr>
                <w:rFonts w:ascii="Arial" w:cs="Arial" w:eastAsia="Arial" w:hAnsi="Arial"/>
                <w:sz w:val="16"/>
                <w:szCs w:val="16"/>
                <w:color w:val="auto"/>
              </w:rPr>
              <w:t xml:space="preserve"> One Month LIBOR</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139" w:lineRule="exact"/>
        <w:rPr>
          <w:sz w:val="20"/>
          <w:szCs w:val="20"/>
          <w:color w:val="auto"/>
        </w:rPr>
      </w:pPr>
    </w:p>
    <w:p>
      <w:pPr>
        <w:ind w:right="7980" w:firstLine="8"/>
        <w:spacing w:after="0" w:line="472" w:lineRule="auto"/>
        <w:tabs>
          <w:tab w:leader="none" w:pos="20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 Property, Plant and Equipment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92.5</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Buildings</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245.2</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r>
      <w:tr>
        <w:trPr>
          <w:trHeight w:val="244"/>
        </w:trPr>
        <w:tc>
          <w:tcPr>
            <w:tcW w:w="71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For 2017, 2016, and 2015, depreciation expense was $38.5 million, $32.6 million, and $32.8 million,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4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Capital Leases Included in Property, Plant and Equipment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64"/>
        </w:trPr>
        <w:tc>
          <w:tcPr>
            <w:tcW w:w="71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57"/>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4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64"/>
        </w:trPr>
        <w:tc>
          <w:tcPr>
            <w:tcW w:w="71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Accumulated depreciation</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50"/>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right="7100" w:firstLine="8"/>
        <w:spacing w:after="0" w:line="441" w:lineRule="auto"/>
        <w:tabs>
          <w:tab w:leader="none" w:pos="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Emerging</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Business &amp;</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Industries</w:t>
            </w: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Technical</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Government</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Industry</w:t>
            </w:r>
          </w:p>
        </w:tc>
        <w:tc>
          <w:tcPr>
            <w:tcW w:w="1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Aviation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Group</w:t>
            </w:r>
          </w:p>
        </w:tc>
        <w:tc>
          <w:tcPr>
            <w:tcW w:w="1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Solutions</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GCA Services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Services</w:t>
            </w:r>
          </w:p>
        </w:tc>
        <w:tc>
          <w:tcPr>
            <w:tcW w:w="220" w:type="dxa"/>
            <w:vAlign w:val="bottom"/>
          </w:tcPr>
          <w:p>
            <w:pPr>
              <w:spacing w:after="0"/>
              <w:rPr>
                <w:sz w:val="16"/>
                <w:szCs w:val="16"/>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October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270"/>
        </w:trPr>
        <w:tc>
          <w:tcPr>
            <w:tcW w:w="2760" w:type="dxa"/>
            <w:vAlign w:val="bottom"/>
            <w:gridSpan w:val="3"/>
          </w:tcPr>
          <w:p>
            <w:pPr>
              <w:ind w:left="4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70"/>
        </w:trPr>
        <w:tc>
          <w:tcPr>
            <w:tcW w:w="27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(0.6) —</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Impairment loss</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0"/>
        </w:trPr>
        <w:tc>
          <w:tcPr>
            <w:tcW w:w="2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October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ind w:left="4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945.0</w:t>
            </w:r>
          </w:p>
        </w:tc>
        <w:tc>
          <w:tcPr>
            <w:tcW w:w="0" w:type="dxa"/>
            <w:vAlign w:val="bottom"/>
          </w:tcPr>
          <w:p>
            <w:pPr>
              <w:spacing w:after="0"/>
              <w:rPr>
                <w:sz w:val="1"/>
                <w:szCs w:val="1"/>
                <w:color w:val="auto"/>
              </w:rPr>
            </w:pPr>
          </w:p>
        </w:tc>
      </w:tr>
      <w:tr>
        <w:trPr>
          <w:trHeight w:val="270"/>
        </w:trPr>
        <w:tc>
          <w:tcPr>
            <w:tcW w:w="27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4"/>
        </w:trPr>
        <w:tc>
          <w:tcPr>
            <w:tcW w:w="2760" w:type="dxa"/>
            <w:vAlign w:val="bottom"/>
            <w:gridSpan w:val="3"/>
          </w:tcPr>
          <w:p>
            <w:pPr>
              <w:ind w:left="40"/>
              <w:spacing w:after="0"/>
              <w:rPr>
                <w:sz w:val="20"/>
                <w:szCs w:val="20"/>
                <w:color w:val="auto"/>
              </w:rPr>
            </w:pPr>
            <w:r>
              <w:rPr>
                <w:rFonts w:ascii="Arial" w:cs="Arial" w:eastAsia="Arial" w:hAnsi="Arial"/>
                <w:sz w:val="16"/>
                <w:szCs w:val="16"/>
                <w:b w:val="1"/>
                <w:bCs w:val="1"/>
                <w:color w:val="auto"/>
              </w:rPr>
              <w:t>Balance at October 31, 2017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124.2</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933.9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1,864.2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200" w:hanging="138"/>
        <w:spacing w:after="0"/>
        <w:tabs>
          <w:tab w:leader="none" w:pos="20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During 2016, goodwill primarily increased as a result of the acquisitions of Westway and 8 Solutions. See Note 4, “Acquisitions,” for additional information.</w:t>
      </w:r>
    </w:p>
    <w:p>
      <w:pPr>
        <w:spacing w:after="0" w:line="140" w:lineRule="exact"/>
        <w:rPr>
          <w:rFonts w:ascii="Arial" w:cs="Arial" w:eastAsia="Arial" w:hAnsi="Arial"/>
          <w:sz w:val="16"/>
          <w:szCs w:val="16"/>
          <w:color w:val="auto"/>
          <w:vertAlign w:val="superscript"/>
        </w:rPr>
      </w:pPr>
    </w:p>
    <w:p>
      <w:pPr>
        <w:ind w:left="200" w:hanging="138"/>
        <w:spacing w:after="0"/>
        <w:tabs>
          <w:tab w:leader="none" w:pos="20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During 2017, goodwill primarily increased as a result of the GCA acquisition. See Note 4, “Acquisitions,”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October 31, 2017</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October 31, 2016</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37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6"/>
                <w:szCs w:val="16"/>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103.5</w:t>
            </w:r>
          </w:p>
        </w:tc>
      </w:tr>
      <w:tr>
        <w:trPr>
          <w:trHeight w:val="260"/>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80"/>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Contract rights and other</w:t>
            </w:r>
          </w:p>
        </w:tc>
        <w:tc>
          <w:tcPr>
            <w:tcW w:w="1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3780" w:type="dxa"/>
            <w:vAlign w:val="bottom"/>
            <w:gridSpan w:val="3"/>
          </w:tcPr>
          <w:p>
            <w:pPr>
              <w:ind w:left="40"/>
              <w:spacing w:after="0" w:line="237" w:lineRule="exact"/>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619.2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(189.1)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260.9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These intangible assets are being amortized over the expected period of benefit, with a weighted average life of approximately 13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Annual Amortization Expense For Each of the Next Five Years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Estimated amortization expense</w:t>
            </w:r>
            <w:r>
              <w:rPr>
                <w:rFonts w:ascii="Arial" w:cs="Arial" w:eastAsia="Arial" w:hAnsi="Arial"/>
                <w:sz w:val="21"/>
                <w:szCs w:val="21"/>
                <w:color w:val="auto"/>
                <w:vertAlign w:val="superscript"/>
              </w:rPr>
              <w:t>(1)</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bl>
    <w:p>
      <w:pPr>
        <w:spacing w:after="0" w:line="132"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These amounts could vary as acquisitions of additional intangible assets occur in the future and as purchase price allocations are finalized for existing acquisitions.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2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11. INSURANCE</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 As of September 1, 2017, GCA’s workers’ compensation, general liability, automobile liability, and other insurable risks are covered under the ABM insurance policies.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During each of 2017 and 2016, we performed both an annual actuarial evaluation and an actuarial review. As a result of these studies, we increased our reserves for claims related to prior periods by $22.0 million and $32.9 million during 2017 and 2016,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Actuarial Studies Performed During 2017</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2017, we performed actuarial studies of our casualty insurance programs that considered changes in claim developments and claim payment activity for the period commencing May 1, 2016 and ending April 30, 2017 for all policy years in which open claims existed.</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actuarial studies indicated safety initiatives we have implemented have had a modest impact on our claim costs in the most recent years. However, there have been unfavorable developments in ultimate losses beyond our estimates for general liability and workers’ compensation claims related to prior years, as described below.</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actuarial studies indicated a decrease over the most recent years in the total number of reported claims related to our general liability program, particularly with respect to bodily injury claims, in addition to property damage claims. However, in prior year claims we experienced adverse developments that are largely attributable to adjustments related to certain bodily injury claims and to losses for property damage.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experiencing a reduced frequency of claims in our workers’ compensation program. However, due to increases in projected costs and severity of claims for a number of prior year claims in California and New York, we increased our estimate of ultimate losses for workers’ compensation. Statutory, regulatory, and legal developments have contributed to the increase in our estimated losses.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the results of the actuarial studies performed during 2017, which included analyzing recent loss development patterns, comparing the loss development patterns against benchmarks, and applying actuarial projection methods to estimate the ultimate losses, we increased our total reserves for known claims as well as our estimate of the loss amounts associated with IBNR Claims for years prior to 2017 by $22.0 million during 2017. This adjustment was $10.9 million lower than the total adjustment related to prior year claims of $32.9 million in 2016.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2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Actuarial Studies Performed During 2016</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2016, our actuarial studies showed unfavorable developments in ultimate losses that we estimated for general liability, workers’ compensation, and automobile liability claims. These studies indicated our risk management programs were yielding improvements, however these improvements had a modest impact on prior years and the impact was not occurring at the pace originally forecasted by the actuaries. The average claim cost was also unfavorably impacted by increases in legal fees, medical costs, and other claim management expenses necessary to adjudicate the claims with dates of loss prior to 2016. As a result, we increased our reserves for known claims as well as our estimate of the loss amounts associated with IBNR Claims for years prior to 2016 by $32.9 million during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Related Balances and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2017</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6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18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7"/>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Insurance recoverables</w:t>
            </w: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bl>
    <w:p>
      <w:pPr>
        <w:spacing w:after="0" w:line="16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At October 31, 2017 and 2016, insurance recoverables are included in both “Other current assets” and “Other noncurrent assets” on the accompanying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Program Insurance Reserves Rollforward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current year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prior years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Claims paid</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GCA Services acquisition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balance, October 31</w:t>
            </w:r>
            <w:r>
              <w:rPr>
                <w:rFonts w:ascii="Arial" w:cs="Arial" w:eastAsia="Arial" w:hAnsi="Arial"/>
                <w:sz w:val="21"/>
                <w:szCs w:val="21"/>
                <w:b w:val="1"/>
                <w:bCs w:val="1"/>
                <w:color w:val="auto"/>
                <w:vertAlign w:val="superscript"/>
              </w:rPr>
              <w:t>(1)</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312.7</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Recoverables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balance, October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Includes reserves related to discontinued operations of approximately $10 million for 2017 and $12 million for both 2016 and 2015.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Used to Collateralize Our Insurance Obligations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3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3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Restricted insurance deposits</w:t>
            </w:r>
          </w:p>
        </w:tc>
        <w:tc>
          <w:tcPr>
            <w:tcW w:w="34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2"/>
                <w:szCs w:val="22"/>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20" w:type="dxa"/>
            <w:vAlign w:val="bottom"/>
            <w:vMerge w:val="restart"/>
          </w:tcPr>
          <w:p>
            <w:pPr>
              <w:jc w:val="right"/>
              <w:ind w:right="1510"/>
              <w:spacing w:after="0"/>
              <w:rPr>
                <w:sz w:val="20"/>
                <w:szCs w:val="20"/>
                <w:color w:val="auto"/>
              </w:rPr>
            </w:pPr>
            <w:r>
              <w:rPr>
                <w:rFonts w:ascii="Arial" w:cs="Arial" w:eastAsia="Arial" w:hAnsi="Arial"/>
                <w:sz w:val="18"/>
                <w:szCs w:val="18"/>
                <w:color w:val="auto"/>
              </w:rPr>
              <w:t>72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76" w:name="page77"/>
    <w:bookmarkEnd w:id="76"/>
    <w:p>
      <w:pPr>
        <w:ind w:right="9600" w:firstLine="8"/>
        <w:spacing w:after="0" w:line="477" w:lineRule="auto"/>
        <w:tabs>
          <w:tab w:leader="none" w:pos="3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CREDIT FACILITY New Credit Facility</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existing $800.0 million credit facility with a new senior, secured five-year syndicated credit facility (the “Credit Facility”), consisting of a $900.0 million revolving line of credit and an $800.0 million amortizing term loan, scheduled to mature on September 1, 2022. The line of credit reduces to $800.0 million after one year. The Credit Facility also provides for the issuance of up to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October 31, 2017, the weighted average interest rate on our outstanding borrowings was 3.49%. We also pay a commitment fee, based on our leverage ratio and payable quarterly in arrears, ranging from 0.200% to 0.350%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contains certain covenants, including a maximum leverage ratio of 4.75 to 1.0, which steps down to 3.50 to 1.0 by July 2020, and a minimum fixed charge coverage ratio of 1.50 to 1.0, as well as other financial and non-financial covenants. In the event of a material acquisition, as defined in the Credit Facility, we may elect to increase the leverage ratio to 3.75 to 1.0 for a total of four fiscal quarters, provided the leverage ratio had already been reduced to 3.50 to 1.0. The availability of our borrowing capacity is subject to, and limited by, compliance with the covenants described above. At October 31, 2017, we were in compliance with these covenants.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an event of default occurs, including certain cross-defaults, insolvency, change in control, or violation of specific covenants, the lenders can terminate or suspend our access to the Credit Facility and declare all amounts outstanding (including all accrued interest and unpaid fees) to be immediately due and payable, and require that we cash collateralize the outstanding standby letters of credit.</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22"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9"/>
        </w:trPr>
        <w:tc>
          <w:tcPr>
            <w:tcW w:w="9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Credit Facility Information</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27"/>
        </w:trPr>
        <w:tc>
          <w:tcPr>
            <w:tcW w:w="91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64"/>
        </w:trPr>
        <w:tc>
          <w:tcPr>
            <w:tcW w:w="9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908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70"/>
        </w:trPr>
        <w:tc>
          <w:tcPr>
            <w:tcW w:w="4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40" w:type="dxa"/>
            <w:vAlign w:val="bottom"/>
            <w:tcBorders>
              <w:bottom w:val="single" w:sz="8" w:color="CCEEFF"/>
            </w:tcBorders>
          </w:tcPr>
          <w:p>
            <w:pPr>
              <w:spacing w:after="0"/>
              <w:rPr>
                <w:sz w:val="21"/>
                <w:szCs w:val="21"/>
                <w:color w:val="auto"/>
              </w:rPr>
            </w:pPr>
          </w:p>
        </w:tc>
        <w:tc>
          <w:tcPr>
            <w:tcW w:w="9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r>
      <w:tr>
        <w:trPr>
          <w:trHeight w:val="32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63"/>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9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term loan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780.0</w:t>
            </w:r>
          </w:p>
        </w:tc>
      </w:tr>
      <w:tr>
        <w:trPr>
          <w:trHeight w:val="264"/>
        </w:trPr>
        <w:tc>
          <w:tcPr>
            <w:tcW w:w="40" w:type="dxa"/>
            <w:vAlign w:val="bottom"/>
            <w:tcBorders>
              <w:bottom w:val="single" w:sz="8" w:color="CCEEFF"/>
            </w:tcBorders>
          </w:tcPr>
          <w:p>
            <w:pPr>
              <w:spacing w:after="0"/>
              <w:rPr>
                <w:sz w:val="22"/>
                <w:szCs w:val="22"/>
                <w:color w:val="auto"/>
              </w:rPr>
            </w:pPr>
          </w:p>
        </w:tc>
        <w:tc>
          <w:tcPr>
            <w:tcW w:w="9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40" w:type="dxa"/>
            <w:vAlign w:val="bottom"/>
            <w:shd w:val="clear" w:color="auto" w:fill="CCEEFF"/>
          </w:tcPr>
          <w:p>
            <w:pPr>
              <w:spacing w:after="0"/>
              <w:rPr>
                <w:sz w:val="22"/>
                <w:szCs w:val="22"/>
                <w:color w:val="auto"/>
              </w:rPr>
            </w:pPr>
          </w:p>
        </w:tc>
        <w:tc>
          <w:tcPr>
            <w:tcW w:w="9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26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770.1</w:t>
            </w:r>
          </w:p>
        </w:tc>
      </w:tr>
      <w:tr>
        <w:trPr>
          <w:trHeight w:val="270"/>
        </w:trPr>
        <w:tc>
          <w:tcPr>
            <w:tcW w:w="40" w:type="dxa"/>
            <w:vAlign w:val="bottom"/>
            <w:tcBorders>
              <w:bottom w:val="single" w:sz="8" w:color="CCEEFF"/>
            </w:tcBorders>
          </w:tcPr>
          <w:p>
            <w:pPr>
              <w:spacing w:after="0"/>
              <w:rPr>
                <w:sz w:val="23"/>
                <w:szCs w:val="23"/>
                <w:color w:val="auto"/>
              </w:rPr>
            </w:pPr>
          </w:p>
        </w:tc>
        <w:tc>
          <w:tcPr>
            <w:tcW w:w="9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2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391.2</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1,161.3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Standby letters of credit amounted to $146.4 million at October 31, 2017.</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At October 31, 2017, we had borrowing capacity of $350.8 million, however covenant restrictions limited our borrowing capacity to $282.0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Maturities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gridSpan w:val="4"/>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Debt maturities  $</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540" w:type="dxa"/>
            <w:vAlign w:val="bottom"/>
            <w:gridSpan w:val="2"/>
          </w:tcPr>
          <w:p>
            <w:pPr>
              <w:ind w:left="520"/>
              <w:spacing w:after="0"/>
              <w:rPr>
                <w:sz w:val="20"/>
                <w:szCs w:val="20"/>
                <w:color w:val="auto"/>
              </w:rPr>
            </w:pPr>
            <w:r>
              <w:rPr>
                <w:rFonts w:ascii="Arial" w:cs="Arial" w:eastAsia="Arial" w:hAnsi="Arial"/>
                <w:sz w:val="18"/>
                <w:szCs w:val="18"/>
                <w:color w:val="auto"/>
              </w:rPr>
              <w:t>Principal repayment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Credit Facility. Under these arrangements, we typically pay a fixed interest rate in exchange for LIBOR-based variable interest throughout the life of the agreement.</w:t>
      </w:r>
    </w:p>
    <w:p>
      <w:pPr>
        <w:spacing w:after="0" w:line="148"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During 2016, we entered into three interest rate swap agreements with effective dates of April 7, 2016 and May 11, 2016, an underlying aggregate notional amount of $105.0 million, and a fixed interest rate of 1.05%. These swaps were designated and accounted for as cash flow hedges from inception and mature on April 7, 2021 and May 11, 2021. These interest rate swap agreements remain in effect with our new Credit Facility. See Note 7, “Fair Value of Financial Instruments,” regarding the valuation of our interest rate swaps.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our Credit Facility, in September 2017 we entered into three additional forward-starting interest rate swap agreements that became effective in November 2017. These swaps have an underlying aggregate notional amount of $500.0 million, fixed interest rates of 1.65% and 1.69%, mature on September 1, 2022, and were designated and accounted for as cash flow hedges from inception.</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initially report the effective portion of a derivative’s mark-to-market gain or loss as a component of AOCL and subsequently reclassify the gain or loss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2017 and 2016, the amounts recorded in AOCL were $1.7 million and $0.2 million, respectively, related to the interest rate swap agreements in effect on those dates. Additionally, at October 31, 2017, the amount expected to be reclassified from AOCL to earnings for those interest rate swap agreements during the next twelve months was insignificant.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22" w:right="239" w:bottom="1440" w:gutter="0" w:footer="0" w:header="0"/>
        </w:sectPr>
      </w:pPr>
    </w:p>
    <w:bookmarkStart w:id="78" w:name="page79"/>
    <w:bookmarkEnd w:id="78"/>
    <w:p>
      <w:pPr>
        <w:ind w:right="8640" w:firstLine="8"/>
        <w:spacing w:after="0" w:line="451" w:lineRule="auto"/>
        <w:tabs>
          <w:tab w:leader="none" w:pos="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Plans</w:t>
      </w:r>
    </w:p>
    <w:p>
      <w:pPr>
        <w:jc w:val="both"/>
        <w:ind w:right="20" w:firstLine="648"/>
        <w:spacing w:after="0" w:line="262" w:lineRule="auto"/>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 The Plans were previously amended to preclude new participants. All but one of the Plans are unfunded.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for the Plans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obligations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63"/>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Projected benefit obligations</w:t>
            </w:r>
          </w:p>
        </w:tc>
        <w:tc>
          <w:tcPr>
            <w:tcW w:w="48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7"/>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Fair value of assets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2017, approximately 47% of the Plan assets were invested in equities, 43% in fixed income, and 10% in cash. The expected return on assets was $0.4 million during 2017 and $0.5 million for each of 2016 and 2015. The aggregate net periodic benefit cost for all Plans was $0.2 million for each of 2017, 2016, and 2015. Future benefit payments in the aggregate are expected to be $13.8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deferred compensation plans that permit eligible employees and directors to defer a portion of their compensation. At October 31, 2017 and 2016, the total liability of all deferred compensation was $17.6 million and $19.1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2017 and 2016, the fair value of these assets was $4.6 million and $4.9 million, respectively, and was included in “Other noncurrent assets” on the accompanying consolidated balance sheets. Aggregate expense recognized under these deferred compensation plans was $0.4 million for each of 2017 and 2016 and $0.5 million for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sponsor four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2017, 2016, and 2015, we made matching contributions required by the plans of $13.7 million, $11.7 million, and $12.1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and Postretirement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participate in various multiemployer pension plans under union and industry-wide agreements, which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2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Key Information for Individually Significant Multiemployer Defined Benefit Pension Plans</w:t>
      </w:r>
      <w:r>
        <w:rPr>
          <w:rFonts w:ascii="Arial" w:cs="Arial" w:eastAsia="Arial" w:hAnsi="Arial"/>
          <w:sz w:val="21"/>
          <w:szCs w:val="21"/>
          <w:b w:val="1"/>
          <w:bCs w:val="1"/>
          <w:i w:val="1"/>
          <w:iCs w:val="1"/>
          <w:color w:val="auto"/>
          <w:vertAlign w:val="superscript"/>
        </w:rPr>
        <w:t>(1)</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Pension Protection Act Zone</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center"/>
              <w:ind w:right="100"/>
              <w:spacing w:after="0" w:line="155" w:lineRule="exact"/>
              <w:rPr>
                <w:sz w:val="20"/>
                <w:szCs w:val="20"/>
                <w:color w:val="auto"/>
              </w:rPr>
            </w:pPr>
            <w:r>
              <w:rPr>
                <w:rFonts w:ascii="Arial" w:cs="Arial" w:eastAsia="Arial" w:hAnsi="Arial"/>
                <w:sz w:val="11"/>
                <w:szCs w:val="11"/>
                <w:b w:val="1"/>
                <w:bCs w:val="1"/>
                <w:color w:val="auto"/>
              </w:rPr>
              <w:t>Status</w:t>
            </w:r>
            <w:r>
              <w:rPr>
                <w:rFonts w:ascii="Arial" w:cs="Arial" w:eastAsia="Arial" w:hAnsi="Arial"/>
                <w:sz w:val="17"/>
                <w:szCs w:val="17"/>
                <w:b w:val="1"/>
                <w:bCs w:val="1"/>
                <w:color w:val="auto"/>
                <w:vertAlign w:val="superscript"/>
              </w:rPr>
              <w:t>(3)</w:t>
            </w:r>
          </w:p>
        </w:tc>
        <w:tc>
          <w:tcPr>
            <w:tcW w:w="1420" w:type="dxa"/>
            <w:vAlign w:val="bottom"/>
            <w:gridSpan w:val="3"/>
          </w:tcPr>
          <w:p>
            <w:pPr>
              <w:jc w:val="center"/>
              <w:ind w:right="260"/>
              <w:spacing w:after="0" w:line="155" w:lineRule="exact"/>
              <w:rPr>
                <w:sz w:val="20"/>
                <w:szCs w:val="20"/>
                <w:color w:val="auto"/>
              </w:rPr>
            </w:pPr>
            <w:r>
              <w:rPr>
                <w:rFonts w:ascii="Arial" w:cs="Arial" w:eastAsia="Arial" w:hAnsi="Arial"/>
                <w:sz w:val="11"/>
                <w:szCs w:val="11"/>
                <w:b w:val="1"/>
                <w:bCs w:val="1"/>
                <w:color w:val="auto"/>
              </w:rPr>
              <w:t>FIP/RP Status</w:t>
            </w:r>
            <w:r>
              <w:rPr>
                <w:rFonts w:ascii="Arial" w:cs="Arial" w:eastAsia="Arial" w:hAnsi="Arial"/>
                <w:sz w:val="17"/>
                <w:szCs w:val="17"/>
                <w:b w:val="1"/>
                <w:bCs w:val="1"/>
                <w:color w:val="auto"/>
                <w:vertAlign w:val="superscript"/>
              </w:rPr>
              <w:t>(4)</w:t>
            </w:r>
          </w:p>
        </w:tc>
        <w:tc>
          <w:tcPr>
            <w:tcW w:w="2120" w:type="dxa"/>
            <w:vAlign w:val="bottom"/>
            <w:gridSpan w:val="5"/>
          </w:tcPr>
          <w:p>
            <w:pPr>
              <w:jc w:val="right"/>
              <w:ind w:right="357"/>
              <w:spacing w:after="0"/>
              <w:rPr>
                <w:sz w:val="20"/>
                <w:szCs w:val="20"/>
                <w:color w:val="auto"/>
              </w:rPr>
            </w:pPr>
            <w:r>
              <w:rPr>
                <w:rFonts w:ascii="Arial" w:cs="Arial" w:eastAsia="Arial" w:hAnsi="Arial"/>
                <w:sz w:val="13"/>
                <w:szCs w:val="13"/>
                <w:b w:val="1"/>
                <w:bCs w:val="1"/>
                <w:color w:val="auto"/>
              </w:rPr>
              <w:t>Contributions by ABM</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Pending/</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Surcharge</w:t>
            </w: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Pension Fund</w:t>
            </w:r>
          </w:p>
        </w:tc>
        <w:tc>
          <w:tcPr>
            <w:tcW w:w="1040" w:type="dxa"/>
            <w:vAlign w:val="bottom"/>
            <w:tcBorders>
              <w:bottom w:val="single" w:sz="8" w:color="auto"/>
            </w:tcBorders>
          </w:tcPr>
          <w:p>
            <w:pPr>
              <w:ind w:left="240"/>
              <w:spacing w:after="0" w:line="195" w:lineRule="exact"/>
              <w:rPr>
                <w:sz w:val="20"/>
                <w:szCs w:val="20"/>
                <w:color w:val="auto"/>
              </w:rPr>
            </w:pPr>
            <w:r>
              <w:rPr>
                <w:rFonts w:ascii="Arial" w:cs="Arial" w:eastAsia="Arial" w:hAnsi="Arial"/>
                <w:sz w:val="13"/>
                <w:szCs w:val="13"/>
                <w:b w:val="1"/>
                <w:bCs w:val="1"/>
                <w:color w:val="auto"/>
              </w:rPr>
              <w:t>EIN/PN</w:t>
            </w:r>
            <w:r>
              <w:rPr>
                <w:rFonts w:ascii="Arial" w:cs="Arial" w:eastAsia="Arial" w:hAnsi="Arial"/>
                <w:sz w:val="22"/>
                <w:szCs w:val="22"/>
                <w:b w:val="1"/>
                <w:bCs w:val="1"/>
                <w:color w:val="auto"/>
                <w:vertAlign w:val="superscript"/>
              </w:rPr>
              <w:t>(2)</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Implemented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3"/>
                <w:szCs w:val="13"/>
                <w:b w:val="1"/>
                <w:bCs w:val="1"/>
                <w:color w:val="auto"/>
                <w:w w:val="95"/>
              </w:rPr>
              <w:t>Imposed</w:t>
            </w:r>
            <w:r>
              <w:rPr>
                <w:rFonts w:ascii="Arial" w:cs="Arial" w:eastAsia="Arial" w:hAnsi="Arial"/>
                <w:sz w:val="22"/>
                <w:szCs w:val="22"/>
                <w:b w:val="1"/>
                <w:bCs w:val="1"/>
                <w:color w:val="auto"/>
                <w:w w:val="95"/>
                <w:vertAlign w:val="superscript"/>
              </w:rPr>
              <w:t>(5)</w:t>
            </w:r>
          </w:p>
        </w:tc>
        <w:tc>
          <w:tcPr>
            <w:tcW w:w="0" w:type="dxa"/>
            <w:vAlign w:val="bottom"/>
          </w:tcPr>
          <w:p>
            <w:pPr>
              <w:spacing w:after="0"/>
              <w:rPr>
                <w:sz w:val="1"/>
                <w:szCs w:val="1"/>
                <w:color w:val="auto"/>
              </w:rPr>
            </w:pPr>
          </w:p>
        </w:tc>
      </w:tr>
      <w:tr>
        <w:trPr>
          <w:trHeight w:val="420"/>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color w:val="auto"/>
              </w:rPr>
              <w:t>Building Service 32BJ Pension Fund</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13-1879376 /</w:t>
            </w:r>
          </w:p>
        </w:tc>
        <w:tc>
          <w:tcPr>
            <w:tcW w:w="12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Red</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Red</w:t>
            </w: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5"/>
              </w:rPr>
              <w:t>Implemented</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24"/>
                <w:szCs w:val="2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24"/>
                <w:szCs w:val="2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85"/>
        </w:trPr>
        <w:tc>
          <w:tcPr>
            <w:tcW w:w="2500" w:type="dxa"/>
            <w:vAlign w:val="bottom"/>
            <w:gridSpan w:val="3"/>
            <w:vMerge w:val="continue"/>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6/30/2016</w:t>
            </w: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00" w:type="dxa"/>
            <w:vAlign w:val="bottom"/>
            <w:gridSpan w:val="3"/>
          </w:tcPr>
          <w:p>
            <w:pPr>
              <w:ind w:left="40"/>
              <w:spacing w:after="0"/>
              <w:rPr>
                <w:sz w:val="20"/>
                <w:szCs w:val="20"/>
                <w:color w:val="auto"/>
              </w:rPr>
            </w:pPr>
            <w:r>
              <w:rPr>
                <w:rFonts w:ascii="Arial" w:cs="Arial" w:eastAsia="Arial" w:hAnsi="Arial"/>
                <w:sz w:val="13"/>
                <w:szCs w:val="13"/>
                <w:color w:val="auto"/>
              </w:rPr>
              <w:t>Central Pension Fund of the IUOE &amp;</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36-6052390 /</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color w:val="auto"/>
              </w:rPr>
              <w:t>Participating Employers</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1/31/2017</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1/31/2016</w:t>
            </w: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0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color w:val="auto"/>
              </w:rPr>
              <w:t>S.E.I.U. National Industry Pension Fund</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52-6148540 /</w:t>
            </w: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Red</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Red</w:t>
            </w: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5"/>
              </w:rPr>
              <w:t>Implemented</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4"/>
                <w:szCs w:val="1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85"/>
        </w:trPr>
        <w:tc>
          <w:tcPr>
            <w:tcW w:w="2500" w:type="dxa"/>
            <w:vAlign w:val="bottom"/>
            <w:gridSpan w:val="3"/>
            <w:vMerge w:val="continue"/>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12/31/2016</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12/31/2015</w:t>
            </w: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00" w:type="dxa"/>
            <w:vAlign w:val="bottom"/>
            <w:gridSpan w:val="3"/>
          </w:tcPr>
          <w:p>
            <w:pPr>
              <w:ind w:left="40"/>
              <w:spacing w:after="0"/>
              <w:rPr>
                <w:sz w:val="20"/>
                <w:szCs w:val="20"/>
                <w:color w:val="auto"/>
              </w:rPr>
            </w:pPr>
            <w:r>
              <w:rPr>
                <w:rFonts w:ascii="Arial" w:cs="Arial" w:eastAsia="Arial" w:hAnsi="Arial"/>
                <w:sz w:val="13"/>
                <w:szCs w:val="13"/>
                <w:color w:val="auto"/>
              </w:rPr>
              <w:t>Local 25 SEIU &amp; Participating Employers</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7"/>
              </w:rPr>
              <w:t>36-6486542/001</w:t>
            </w: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color w:val="auto"/>
              </w:rPr>
              <w:t>Pension Trust</w:t>
            </w: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9/30/2016</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9/30/2015</w:t>
            </w: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0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00" w:type="dxa"/>
            <w:vAlign w:val="bottom"/>
            <w:gridSpan w:val="3"/>
          </w:tcPr>
          <w:p>
            <w:pPr>
              <w:ind w:left="40"/>
              <w:spacing w:after="0"/>
              <w:rPr>
                <w:sz w:val="20"/>
                <w:szCs w:val="20"/>
                <w:color w:val="auto"/>
              </w:rPr>
            </w:pPr>
            <w:r>
              <w:rPr>
                <w:rFonts w:ascii="Arial" w:cs="Arial" w:eastAsia="Arial" w:hAnsi="Arial"/>
                <w:sz w:val="13"/>
                <w:szCs w:val="13"/>
                <w:color w:val="auto"/>
              </w:rPr>
              <w:t>IUOE Stationary Engineers Local 39</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94-6118939 /</w:t>
            </w: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4"/>
                <w:szCs w:val="1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color w:val="auto"/>
              </w:rPr>
              <w:t>Pension Plan</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12/31/2016</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12/31/2015</w:t>
            </w: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0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500" w:type="dxa"/>
            <w:vAlign w:val="bottom"/>
            <w:gridSpan w:val="3"/>
          </w:tcPr>
          <w:p>
            <w:pPr>
              <w:ind w:left="40"/>
              <w:spacing w:after="0"/>
              <w:rPr>
                <w:sz w:val="20"/>
                <w:szCs w:val="20"/>
                <w:color w:val="auto"/>
              </w:rPr>
            </w:pPr>
            <w:r>
              <w:rPr>
                <w:rFonts w:ascii="Arial" w:cs="Arial" w:eastAsia="Arial" w:hAnsi="Arial"/>
                <w:sz w:val="13"/>
                <w:szCs w:val="13"/>
                <w:color w:val="auto"/>
                <w:w w:val="97"/>
              </w:rPr>
              <w:t>Western Conference of Teamsters Pension</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91-6145047 /</w:t>
            </w:r>
          </w:p>
        </w:tc>
        <w:tc>
          <w:tcPr>
            <w:tcW w:w="1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0"/>
                <w:szCs w:val="20"/>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20"/>
                <w:szCs w:val="20"/>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color w:val="auto"/>
              </w:rPr>
              <w:t>Plan</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12/31/2016</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12/31/2015</w:t>
            </w: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0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500" w:type="dxa"/>
            <w:vAlign w:val="bottom"/>
            <w:gridSpan w:val="3"/>
            <w:vMerge w:val="restart"/>
          </w:tcPr>
          <w:p>
            <w:pPr>
              <w:ind w:left="40"/>
              <w:spacing w:after="0"/>
              <w:rPr>
                <w:sz w:val="20"/>
                <w:szCs w:val="20"/>
                <w:color w:val="auto"/>
              </w:rPr>
            </w:pPr>
            <w:r>
              <w:rPr>
                <w:rFonts w:ascii="Arial" w:cs="Arial" w:eastAsia="Arial" w:hAnsi="Arial"/>
                <w:sz w:val="13"/>
                <w:szCs w:val="13"/>
                <w:color w:val="auto"/>
              </w:rPr>
              <w:t>Local 68 Engineers Union Pension Plan</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51-0176618 /</w:t>
            </w:r>
          </w:p>
        </w:tc>
        <w:tc>
          <w:tcPr>
            <w:tcW w:w="1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Green</w:t>
            </w: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w w:val="97"/>
              </w:rPr>
              <w:t>N/A*</w:t>
            </w: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0"/>
                <w:szCs w:val="20"/>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0"/>
                <w:szCs w:val="20"/>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N/A*</w:t>
            </w:r>
          </w:p>
        </w:tc>
        <w:tc>
          <w:tcPr>
            <w:tcW w:w="0" w:type="dxa"/>
            <w:vAlign w:val="bottom"/>
          </w:tcPr>
          <w:p>
            <w:pPr>
              <w:spacing w:after="0"/>
              <w:rPr>
                <w:sz w:val="1"/>
                <w:szCs w:val="1"/>
                <w:color w:val="auto"/>
              </w:rPr>
            </w:pPr>
          </w:p>
        </w:tc>
      </w:tr>
      <w:tr>
        <w:trPr>
          <w:trHeight w:val="85"/>
        </w:trPr>
        <w:tc>
          <w:tcPr>
            <w:tcW w:w="2500" w:type="dxa"/>
            <w:vAlign w:val="bottom"/>
            <w:gridSpan w:val="3"/>
            <w:vMerge w:val="continue"/>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6/30/2016</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6/30/2015</w:t>
            </w: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500" w:type="dxa"/>
            <w:vAlign w:val="bottom"/>
            <w:gridSpan w:val="3"/>
          </w:tcPr>
          <w:p>
            <w:pPr>
              <w:ind w:left="40"/>
              <w:spacing w:after="0"/>
              <w:rPr>
                <w:sz w:val="20"/>
                <w:szCs w:val="20"/>
                <w:color w:val="auto"/>
              </w:rPr>
            </w:pPr>
            <w:r>
              <w:rPr>
                <w:rFonts w:ascii="Arial" w:cs="Arial" w:eastAsia="Arial" w:hAnsi="Arial"/>
                <w:sz w:val="13"/>
                <w:szCs w:val="13"/>
                <w:i w:val="1"/>
                <w:iCs w:val="1"/>
                <w:color w:val="auto"/>
              </w:rPr>
              <w:t>All Other Plans: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50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Contributions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6"/>
              <w:spacing w:after="0"/>
              <w:rPr>
                <w:sz w:val="20"/>
                <w:szCs w:val="20"/>
                <w:color w:val="auto"/>
              </w:rPr>
            </w:pPr>
            <w:r>
              <w:rPr>
                <w:rFonts w:ascii="Arial" w:cs="Arial" w:eastAsia="Arial" w:hAnsi="Arial"/>
                <w:sz w:val="13"/>
                <w:szCs w:val="13"/>
                <w:b w:val="1"/>
                <w:bCs w:val="1"/>
                <w:color w:val="auto"/>
              </w:rPr>
              <w:t>63.1</w:t>
            </w: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   59.3</w:t>
            </w:r>
          </w:p>
        </w:tc>
        <w:tc>
          <w:tcPr>
            <w:tcW w:w="120" w:type="dxa"/>
            <w:vAlign w:val="bottom"/>
          </w:tcPr>
          <w:p>
            <w:pPr>
              <w:spacing w:after="0"/>
              <w:rPr>
                <w:sz w:val="21"/>
                <w:szCs w:val="21"/>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   58.5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-1680210</wp:posOffset>
            </wp:positionV>
            <wp:extent cx="723773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-1268730</wp:posOffset>
            </wp:positionV>
            <wp:extent cx="723773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23773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3773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-2066290</wp:posOffset>
            </wp:positionV>
            <wp:extent cx="723773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36"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3"/>
          <w:szCs w:val="13"/>
          <w:color w:val="auto"/>
        </w:rPr>
        <w:t>*</w:t>
        <w:tab/>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center"/>
        <w:ind w:right="140"/>
        <w:spacing w:after="0" w:line="249" w:lineRule="auto"/>
        <w:rPr>
          <w:sz w:val="20"/>
          <w:szCs w:val="20"/>
          <w:color w:val="auto"/>
        </w:rPr>
      </w:pPr>
      <w:r>
        <w:rPr>
          <w:rFonts w:ascii="Arial" w:cs="Arial" w:eastAsia="Arial" w:hAnsi="Arial"/>
          <w:sz w:val="13"/>
          <w:szCs w:val="13"/>
          <w:b w:val="1"/>
          <w:bCs w:val="1"/>
          <w:color w:val="auto"/>
        </w:rPr>
        <w:t>Expiration Dates of Collective Bargaining Agreements</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12/31/2019</w:t>
      </w:r>
    </w:p>
    <w:p>
      <w:pPr>
        <w:spacing w:after="0" w:line="107" w:lineRule="exact"/>
        <w:rPr>
          <w:sz w:val="20"/>
          <w:szCs w:val="20"/>
          <w:color w:val="auto"/>
        </w:rPr>
      </w:pPr>
    </w:p>
    <w:p>
      <w:pPr>
        <w:ind w:left="60" w:right="180" w:hanging="20"/>
        <w:spacing w:after="0" w:line="259" w:lineRule="auto"/>
        <w:rPr>
          <w:sz w:val="20"/>
          <w:szCs w:val="20"/>
          <w:color w:val="auto"/>
        </w:rPr>
      </w:pPr>
      <w:r>
        <w:rPr>
          <w:rFonts w:ascii="Arial" w:cs="Arial" w:eastAsia="Arial" w:hAnsi="Arial"/>
          <w:sz w:val="12"/>
          <w:szCs w:val="12"/>
          <w:color w:val="auto"/>
        </w:rPr>
        <w:t>12/31/2017-12/31/2020</w:t>
      </w:r>
    </w:p>
    <w:p>
      <w:pPr>
        <w:spacing w:after="0" w:line="9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7/31/2020</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4/8/2018-</w:t>
      </w:r>
    </w:p>
    <w:p>
      <w:pPr>
        <w:ind w:left="100"/>
        <w:spacing w:after="0"/>
        <w:rPr>
          <w:sz w:val="20"/>
          <w:szCs w:val="20"/>
          <w:color w:val="auto"/>
        </w:rPr>
      </w:pPr>
      <w:r>
        <w:rPr>
          <w:rFonts w:ascii="Arial" w:cs="Arial" w:eastAsia="Arial" w:hAnsi="Arial"/>
          <w:sz w:val="13"/>
          <w:szCs w:val="13"/>
          <w:color w:val="auto"/>
        </w:rPr>
        <w:t>6/30/2018</w:t>
      </w:r>
    </w:p>
    <w:p>
      <w:pPr>
        <w:spacing w:after="0" w:line="40" w:lineRule="exact"/>
        <w:rPr>
          <w:sz w:val="20"/>
          <w:szCs w:val="20"/>
          <w:color w:val="auto"/>
        </w:rPr>
      </w:pPr>
    </w:p>
    <w:p>
      <w:pPr>
        <w:ind w:left="100" w:right="220" w:hanging="20"/>
        <w:spacing w:after="0" w:line="259" w:lineRule="auto"/>
        <w:rPr>
          <w:sz w:val="20"/>
          <w:szCs w:val="20"/>
          <w:color w:val="auto"/>
        </w:rPr>
      </w:pPr>
      <w:r>
        <w:rPr>
          <w:rFonts w:ascii="Arial" w:cs="Arial" w:eastAsia="Arial" w:hAnsi="Arial"/>
          <w:sz w:val="12"/>
          <w:szCs w:val="12"/>
          <w:color w:val="auto"/>
        </w:rPr>
        <w:t>2/28/2019-7/31/2019</w:t>
      </w:r>
    </w:p>
    <w:p>
      <w:pPr>
        <w:spacing w:after="0" w:line="26" w:lineRule="exact"/>
        <w:rPr>
          <w:sz w:val="20"/>
          <w:szCs w:val="20"/>
          <w:color w:val="auto"/>
        </w:rPr>
      </w:pPr>
    </w:p>
    <w:p>
      <w:pPr>
        <w:ind w:left="60" w:right="180" w:hanging="20"/>
        <w:spacing w:after="0" w:line="259" w:lineRule="auto"/>
        <w:rPr>
          <w:sz w:val="20"/>
          <w:szCs w:val="20"/>
          <w:color w:val="auto"/>
        </w:rPr>
      </w:pPr>
      <w:r>
        <w:rPr>
          <w:rFonts w:ascii="Arial" w:cs="Arial" w:eastAsia="Arial" w:hAnsi="Arial"/>
          <w:sz w:val="12"/>
          <w:szCs w:val="12"/>
          <w:color w:val="auto"/>
        </w:rPr>
        <w:t>11/30/2018-12/31/2021</w:t>
      </w:r>
    </w:p>
    <w:p>
      <w:pPr>
        <w:spacing w:after="0" w:line="161" w:lineRule="exact"/>
        <w:rPr>
          <w:sz w:val="20"/>
          <w:szCs w:val="20"/>
          <w:color w:val="auto"/>
        </w:rPr>
      </w:pPr>
    </w:p>
    <w:p>
      <w:pPr>
        <w:ind w:left="100" w:right="220" w:hanging="20"/>
        <w:spacing w:after="0" w:line="259" w:lineRule="auto"/>
        <w:rPr>
          <w:sz w:val="20"/>
          <w:szCs w:val="20"/>
          <w:color w:val="auto"/>
        </w:rPr>
      </w:pPr>
      <w:r>
        <w:rPr>
          <w:rFonts w:ascii="Arial" w:cs="Arial" w:eastAsia="Arial" w:hAnsi="Arial"/>
          <w:sz w:val="12"/>
          <w:szCs w:val="12"/>
          <w:color w:val="auto"/>
        </w:rPr>
        <w:t>2/28/2018-8/31/2021</w:t>
      </w:r>
    </w:p>
    <w:p>
      <w:pPr>
        <w:spacing w:after="0" w:line="1061" w:lineRule="exact"/>
        <w:rPr>
          <w:sz w:val="20"/>
          <w:szCs w:val="20"/>
          <w:color w:val="auto"/>
        </w:rPr>
      </w:pPr>
    </w:p>
    <w:p>
      <w:pPr>
        <w:sectPr>
          <w:pgSz w:w="11900" w:h="16838" w:orient="portrait"/>
          <w:cols w:equalWidth="0" w:num="2">
            <w:col w:w="10280" w:space="240"/>
            <w:col w:w="900"/>
          </w:cols>
          <w:pgMar w:left="240" w:top="522" w:right="239" w:bottom="1440" w:gutter="0" w:footer="0" w:header="0"/>
        </w:sectPr>
      </w:pPr>
    </w:p>
    <w:p>
      <w:pPr>
        <w:ind w:right="20" w:firstLine="8"/>
        <w:spacing w:after="0" w:line="263" w:lineRule="auto"/>
        <w:tabs>
          <w:tab w:leader="none" w:pos="162"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136" w:lineRule="exact"/>
        <w:rPr>
          <w:rFonts w:ascii="Arial" w:cs="Arial" w:eastAsia="Arial" w:hAnsi="Arial"/>
          <w:sz w:val="18"/>
          <w:szCs w:val="18"/>
          <w:color w:val="auto"/>
          <w:vertAlign w:val="superscript"/>
        </w:rPr>
      </w:pPr>
    </w:p>
    <w:p>
      <w:pPr>
        <w:ind w:firstLine="8"/>
        <w:spacing w:after="0" w:line="210" w:lineRule="auto"/>
        <w:tabs>
          <w:tab w:leader="none" w:pos="191"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The “EIN/PN” column provides the Employer Identification Number and the three-digit plan number assigned to the plan by the Internal Revenue Service (“IRS”).</w:t>
      </w:r>
    </w:p>
    <w:p>
      <w:pPr>
        <w:spacing w:after="0" w:line="157" w:lineRule="exact"/>
        <w:rPr>
          <w:rFonts w:ascii="Arial" w:cs="Arial" w:eastAsia="Arial" w:hAnsi="Arial"/>
          <w:sz w:val="22"/>
          <w:szCs w:val="22"/>
          <w:color w:val="auto"/>
          <w:vertAlign w:val="superscript"/>
        </w:rPr>
      </w:pPr>
    </w:p>
    <w:p>
      <w:pPr>
        <w:jc w:val="both"/>
        <w:ind w:firstLine="8"/>
        <w:spacing w:after="0" w:line="221" w:lineRule="auto"/>
        <w:tabs>
          <w:tab w:leader="none" w:pos="193"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The Pension Protection Act Zone Status columns provide the two most recent Pension Protection Act zone statuses available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110"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Indicates whether a Financial Improvement Plan (“FIP”) for yellow zone plans or a Rehabilitation Plan (“RP”) for red zone plans is pending or implemented.</w:t>
      </w:r>
    </w:p>
    <w:p>
      <w:pPr>
        <w:spacing w:after="0" w:line="156" w:lineRule="exact"/>
        <w:rPr>
          <w:rFonts w:ascii="Arial" w:cs="Arial" w:eastAsia="Arial" w:hAnsi="Arial"/>
          <w:sz w:val="21"/>
          <w:szCs w:val="21"/>
          <w:color w:val="auto"/>
          <w:vertAlign w:val="superscript"/>
        </w:rPr>
      </w:pPr>
    </w:p>
    <w:p>
      <w:pPr>
        <w:ind w:firstLine="8"/>
        <w:spacing w:after="0" w:line="210" w:lineRule="auto"/>
        <w:tabs>
          <w:tab w:leader="none" w:pos="202"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Indicates whether our contribution rate in 2017 included an amount in addition to the contribution rate specified in the applicable collective bargaining agreement as imposed by a plan in the red zone.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22"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Multiemployer Pension Plans for which ABM is a Significant Contributor</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w:t>
            </w: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per most currently available Forms 5500</w:t>
            </w:r>
          </w:p>
        </w:tc>
        <w:tc>
          <w:tcPr>
            <w:tcW w:w="0" w:type="dxa"/>
            <w:vAlign w:val="bottom"/>
          </w:tcPr>
          <w:p>
            <w:pPr>
              <w:spacing w:after="0"/>
              <w:rPr>
                <w:sz w:val="1"/>
                <w:szCs w:val="1"/>
                <w:color w:val="auto"/>
              </w:rPr>
            </w:pPr>
          </w:p>
        </w:tc>
      </w:tr>
      <w:tr>
        <w:trPr>
          <w:trHeight w:val="216"/>
        </w:trPr>
        <w:tc>
          <w:tcPr>
            <w:tcW w:w="616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vMerge w:val="restart"/>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(as of the Plan’s year end)</w:t>
            </w:r>
          </w:p>
        </w:tc>
        <w:tc>
          <w:tcPr>
            <w:tcW w:w="0" w:type="dxa"/>
            <w:vAlign w:val="bottom"/>
          </w:tcPr>
          <w:p>
            <w:pPr>
              <w:spacing w:after="0"/>
              <w:rPr>
                <w:sz w:val="1"/>
                <w:szCs w:val="1"/>
                <w:color w:val="auto"/>
              </w:rPr>
            </w:pPr>
          </w:p>
        </w:tc>
      </w:tr>
      <w:tr>
        <w:trPr>
          <w:trHeight w:val="60"/>
        </w:trPr>
        <w:tc>
          <w:tcPr>
            <w:tcW w:w="61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Arizona Sheet Metal Pension Trust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6/30/2016, 6/30/2015 and 6/30/2014</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Building Service 32BJ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6/30/2016, 6/30/2015 and 6/30/2014</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 Service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4/30/2016, 4/30/2015 and 4/30/2014</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12/31/2016, 12/31/2015 and 12/31/2014</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IUOE Stationary Engineers Local 39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12/31/2016 and 12/31/2014</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Local 210’s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12/31/2016, 12/31/2015 and12/31/2014</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Local 25 SEIU &amp; Participating Employers Pension Trust</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9/30/2016, 9/30/2015 and 9/30/2014</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Massachusetts Service Employees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12/31/2016, 12/31/2015 and 12/31/2014</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S.E.I.U. National Industry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12/31/2016, 12/31/2015 and 12/31/2014</w:t>
            </w: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12/31/2016, 12/31/2015, and 12/31/2014</w:t>
            </w:r>
          </w:p>
        </w:tc>
        <w:tc>
          <w:tcPr>
            <w:tcW w:w="0" w:type="dxa"/>
            <w:vAlign w:val="bottom"/>
          </w:tcPr>
          <w:p>
            <w:pPr>
              <w:spacing w:after="0"/>
              <w:rPr>
                <w:sz w:val="1"/>
                <w:szCs w:val="1"/>
                <w:color w:val="auto"/>
              </w:rPr>
            </w:pPr>
          </w:p>
        </w:tc>
      </w:tr>
      <w:tr>
        <w:trPr>
          <w:trHeight w:val="20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12/31/2016, 12/31/2015 and 12/31/2014</w:t>
            </w:r>
          </w:p>
        </w:tc>
        <w:tc>
          <w:tcPr>
            <w:tcW w:w="0" w:type="dxa"/>
            <w:vAlign w:val="bottom"/>
          </w:tcPr>
          <w:p>
            <w:pPr>
              <w:spacing w:after="0"/>
              <w:rPr>
                <w:sz w:val="1"/>
                <w:szCs w:val="1"/>
                <w:color w:val="auto"/>
              </w:rPr>
            </w:pPr>
          </w:p>
        </w:tc>
      </w:tr>
      <w:tr>
        <w:trPr>
          <w:trHeight w:val="91"/>
        </w:trPr>
        <w:tc>
          <w:tcPr>
            <w:tcW w:w="6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Trust Fund</w:t>
            </w:r>
          </w:p>
        </w:tc>
        <w:tc>
          <w:tcPr>
            <w:tcW w:w="51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280" w:type="dxa"/>
            <w:vAlign w:val="bottom"/>
            <w:gridSpan w:val="2"/>
            <w:vMerge w:val="continue"/>
            <w:shd w:val="clear" w:color="auto" w:fill="CCEEFF"/>
          </w:tcPr>
          <w:p>
            <w:pPr>
              <w:spacing w:after="0"/>
              <w:rPr>
                <w:sz w:val="8"/>
                <w:szCs w:val="8"/>
                <w:color w:val="auto"/>
              </w:rPr>
            </w:pPr>
          </w:p>
        </w:tc>
        <w:tc>
          <w:tcPr>
            <w:tcW w:w="5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Teamsters Local 617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2/28/2017, 2/29/2016 and 2/28/2015</w:t>
            </w:r>
          </w:p>
        </w:tc>
        <w:tc>
          <w:tcPr>
            <w:tcW w:w="0" w:type="dxa"/>
            <w:vAlign w:val="bottom"/>
          </w:tcPr>
          <w:p>
            <w:pPr>
              <w:spacing w:after="0"/>
              <w:rPr>
                <w:sz w:val="1"/>
                <w:szCs w:val="1"/>
                <w:color w:val="auto"/>
              </w:rPr>
            </w:pP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Teamsters Local Union No. 727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2/28/2017 and 2/29/2016</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0" w:firstLine="8"/>
        <w:spacing w:after="0" w:line="250" w:lineRule="auto"/>
        <w:tabs>
          <w:tab w:leader="none" w:pos="1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plans are not separately listed in our multiemployer table as they represent an insignificant portion of our total multiemployer pension plan contributions.</w:t>
      </w:r>
    </w:p>
    <w:p>
      <w:pPr>
        <w:spacing w:after="0" w:line="346"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There have been no significant changes that affect the comparability of total contributions for any of the periods presented. </w:t>
      </w:r>
      <w:r>
        <w:rPr>
          <w:rFonts w:ascii="Arial" w:cs="Arial" w:eastAsia="Arial" w:hAnsi="Arial"/>
          <w:sz w:val="18"/>
          <w:szCs w:val="18"/>
          <w:b w:val="1"/>
          <w:bCs w:val="1"/>
          <w:i w:val="1"/>
          <w:iCs w:val="1"/>
          <w:color w:val="auto"/>
        </w:rPr>
        <w:t>Multiemployer Defined Contribution Plans</w:t>
      </w:r>
    </w:p>
    <w:p>
      <w:pPr>
        <w:spacing w:after="0" w:line="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addition to contributions noted above, we also make contributions to multiemployer defined contribution plans. During 2017, 2016, and 2015, our contributions to the defined contribution plans were $5.4 million, $6.6 million, and $6.8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Other Postretirement Benefit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2017, 2016, and 2015, our contributions to such plans were $247.9 million, $224.5 million, and $216.8 million, respectively. There have been no significant changes that affect the comparability of total contributions for any of the periods presented.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26" w:right="239" w:bottom="1440" w:gutter="0" w:footer="0" w:header="0"/>
        </w:sectPr>
      </w:pPr>
    </w:p>
    <w:bookmarkStart w:id="81" w:name="page82"/>
    <w:bookmarkEnd w:id="81"/>
    <w:p>
      <w:pPr>
        <w:ind w:right="7760" w:firstLine="8"/>
        <w:spacing w:after="0" w:line="438" w:lineRule="auto"/>
        <w:tabs>
          <w:tab w:leader="none" w:pos="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and Other Similar Commitments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Payments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Operating and</w:t>
            </w:r>
          </w:p>
        </w:tc>
      </w:tr>
      <w:tr>
        <w:trPr>
          <w:trHeight w:val="212"/>
        </w:trPr>
        <w:tc>
          <w:tcPr>
            <w:tcW w:w="78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8"/>
                <w:szCs w:val="18"/>
                <w:color w:val="auto"/>
              </w:rPr>
            </w:pPr>
          </w:p>
        </w:tc>
        <w:tc>
          <w:tcPr>
            <w:tcW w:w="1520" w:type="dxa"/>
            <w:vAlign w:val="bottom"/>
          </w:tcPr>
          <w:p>
            <w:pPr>
              <w:jc w:val="right"/>
              <w:ind w:right="470"/>
              <w:spacing w:after="0" w:line="21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1"/>
                <w:szCs w:val="21"/>
                <w:b w:val="1"/>
                <w:bCs w:val="1"/>
                <w:color w:val="auto"/>
                <w:vertAlign w:val="superscript"/>
              </w:rPr>
              <w:t>(1)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2019</w:t>
            </w: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2020</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2021</w:t>
            </w: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2022</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64"/>
        </w:trPr>
        <w:tc>
          <w:tcPr>
            <w:tcW w:w="78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r>
      <w:tr>
        <w:trPr>
          <w:trHeight w:val="257"/>
        </w:trPr>
        <w:tc>
          <w:tcPr>
            <w:tcW w:w="7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319.0</w:t>
            </w: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Includes total estimated sublease rental income of $20.6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and Other Expense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Minimum rental and other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Contingent rental and 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October 31, 2017, these letters of credit and surety bonds totaled $ 146.4 million and $486.2 million, respectively. Included in the total amount of surety bonds is $2.5 million of bonds with an effective date starting after October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October 31, 2017 and 2016, total guarantees were $157.9 million and $66.3 million, respectively, and these guarantees extend through 2038 and 2034,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Primarily, these agreements are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the maximum potential amount of future payments we could be required to make under these arrangements is not determinable.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22" w:right="239" w:bottom="1440" w:gutter="0" w:footer="0" w:header="0"/>
        </w:sectPr>
      </w:pPr>
    </w:p>
    <w:bookmarkStart w:id="82" w:name="page83"/>
    <w:bookmarkEnd w:id="82"/>
    <w:p>
      <w:pPr>
        <w:jc w:val="both"/>
        <w:ind w:firstLine="648"/>
        <w:spacing w:after="0" w:line="262"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 Audits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 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2017, the total amount accrued for all probable litigation losses where a reasonable estimate of the loss could be made was $16.2 million. This $16.2 million includes the accrual of $8.3 million in connection with the Hussein and Isse cases, each discussed below.</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$3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44" w:right="239" w:bottom="1440" w:gutter="0" w:footer="0" w:header="0"/>
        </w:sectPr>
      </w:pPr>
    </w:p>
    <w:bookmarkStart w:id="83" w:name="page84"/>
    <w:bookmarkEnd w:id="83"/>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et al. v. American Commercial Security Services, filed July 12, 2005, in the Superior Court of California, Los Angeles County (the “Augustus case”)</w:t>
      </w:r>
    </w:p>
    <w:p>
      <w:pPr>
        <w:spacing w:after="0" w:line="1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was a certified class action involving violations of certain California state laws relating to rest breaks. The case centered on whether requiring security guards to remain on call during rest breaks violated Section 226.7 of the California Labor Code. On July 31, 2012, the Superior Court of California, Los Angeles County (the “Superior Court”), entered summary judgment in favor of plaintiffs in the amount of approximately $89.7 million (the “common fund”). Subsequently, the Superior Court also awarded plaintiffs’ attorneys’ fees of approximately $4.5 million in addition to approximately 30% of the common fund. Under California law, post-judgment interest on a judgment accrues at a rate of 10% simple interest per year from the date the judgment is entered until it is satisfied.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The plaintiffs filed a petition for review with the California Supreme Court on March 4, 2015, and on April 29, 2015, the California Supreme Court granted the plaintiffs’ petition. On December 22, 2016, the California Supreme Court rendered its decision, holding that on-call and on-duty rest breaks are prohibited by California law, and reversed the Appeals Court judgment on this issue. The amount of post-judgment interest as of December 22, 2016 was approximately $41.2 million.</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On February 6, 2017, ABM Security Services, Inc., a wholly-owned subsidiary of ABM Industries Incorporated, entered into a Class Action Settlement and Release with plaintiffs Jennifer Augustus, Delores Hall, Emanuel Davis, and Carlton Anthony Waite, on behalf of themselves and the settlement class members, to settle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on a class-wide basis for $110.0 million (the “Augustus Settlement Agreement”). On March 17, 2017, the Augustus Settlement Agreement was amended to address certain procedural matters, and it received final approval of the Superior Court on July 6, 2017. The Augustus Settlement Agreement called for two payments of $55.0 million each. The first payment was made on July 19, 2017, and the second payment, plus an additional payment of $4.8 million for payroll taxes, was made on August 29, 2017.</w:t>
      </w:r>
    </w:p>
    <w:p>
      <w:pPr>
        <w:spacing w:after="0" w:line="311"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Karapetyan v. ABM Industries Incorporated and ABM Security Services, Inc., et al., filed on October 23, 2015, pending in the United States District Court for the Central District of California (the “Karapetyan case”)</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was a putative class action in which the plaintiff sought to represent a class of security guards who worked during time periods subsequent to the class period in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The plaintiff alleged that ABM violated certain California state laws relating to meal and rest breaks and other wage and hour claims. On April 17, 2017, ABM Industries Incorporated, ABM Security Services, Inc., ABM Onsite Services, Inc., and ABM Onsite Services – West, Inc. entered into a Class Action Settlement and Release with plaintiff Vardan Karapetyan, on behalf of himself and the settlement class members, to settle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on a class-wide basis for $ 5.0 million. The United States District Court for the Central District of California granted final approval of the settlement on September 7, 2017. The full settlement payment in the amount of $5.0 million, plus an additional $0.2 million in payroll taxes, was made on October 13, 2017.</w:t>
      </w:r>
    </w:p>
    <w:p>
      <w:pPr>
        <w:spacing w:after="0" w:line="31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26" w:right="239" w:bottom="1440" w:gutter="0" w:footer="0" w:header="0"/>
        </w:sectPr>
      </w:pPr>
    </w:p>
    <w:bookmarkStart w:id="84" w:name="page85"/>
    <w:bookmarkEnd w:id="84"/>
    <w:p>
      <w:pPr>
        <w:ind w:left="660"/>
        <w:spacing w:after="0" w:line="282" w:lineRule="auto"/>
        <w:rPr>
          <w:sz w:val="20"/>
          <w:szCs w:val="20"/>
          <w:color w:val="auto"/>
        </w:rPr>
      </w:pPr>
      <w:r>
        <w:rPr>
          <w:rFonts w:ascii="Arial" w:cs="Arial" w:eastAsia="Arial" w:hAnsi="Arial"/>
          <w:sz w:val="18"/>
          <w:szCs w:val="18"/>
          <w:i w:val="1"/>
          <w:iCs w:val="1"/>
          <w:color w:val="auto"/>
        </w:rPr>
        <w:t>Hussein and Hirsi v. Air Serv Corporation filed on January 20, 2016, pending in the United States District Court for the Western District of Washington at Seattle (the “Hussein case”) and</w:t>
      </w:r>
    </w:p>
    <w:p>
      <w:pPr>
        <w:spacing w:after="0" w:line="10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Isse et al. v. Air Serv Corporation filed on February 7, 2017, pending in the Superior Court of Washington for King County (the “Isse” case)</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13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lawsuits for a combined total of $8.3 million, inclusive of damages, interest, attorneys’ fees, and employer payroll taxes. Eligible employees will be able to participate in either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or </w:t>
      </w:r>
      <w:r>
        <w:rPr>
          <w:rFonts w:ascii="Arial" w:cs="Arial" w:eastAsia="Arial" w:hAnsi="Arial"/>
          <w:sz w:val="18"/>
          <w:szCs w:val="18"/>
          <w:i w:val="1"/>
          <w:iCs w:val="1"/>
          <w:color w:val="auto"/>
        </w:rPr>
        <w:t>Isse</w:t>
      </w:r>
      <w:r>
        <w:rPr>
          <w:rFonts w:ascii="Arial" w:cs="Arial" w:eastAsia="Arial" w:hAnsi="Arial"/>
          <w:sz w:val="18"/>
          <w:szCs w:val="18"/>
          <w:color w:val="auto"/>
        </w:rPr>
        <w:t xml:space="preserve"> settlements, but cannot recover in both settlements. The settlements in both cases will require court approval because of the nature of the claims being released. We are working with our clients to obtain partial or full reimbursement for the settlements.</w:t>
      </w:r>
    </w:p>
    <w:p>
      <w:pPr>
        <w:spacing w:after="0" w:line="126" w:lineRule="exact"/>
        <w:rPr>
          <w:sz w:val="20"/>
          <w:szCs w:val="20"/>
          <w:color w:val="auto"/>
        </w:rPr>
      </w:pPr>
    </w:p>
    <w:p>
      <w:pPr>
        <w:ind w:right="8000" w:firstLine="8"/>
        <w:spacing w:after="0" w:line="451" w:lineRule="auto"/>
        <w:tabs>
          <w:tab w:leader="none" w:pos="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AND COMMON STOCK Preferred Stock</w:t>
      </w:r>
    </w:p>
    <w:p>
      <w:pPr>
        <w:ind w:left="660"/>
        <w:spacing w:after="0"/>
        <w:rPr>
          <w:sz w:val="20"/>
          <w:szCs w:val="20"/>
          <w:color w:val="auto"/>
        </w:rPr>
      </w:pPr>
      <w:r>
        <w:rPr>
          <w:rFonts w:ascii="Arial" w:cs="Arial" w:eastAsia="Arial" w:hAnsi="Arial"/>
          <w:sz w:val="18"/>
          <w:szCs w:val="18"/>
          <w:color w:val="auto"/>
        </w:rPr>
        <w:t>We are authorized to issue 500,000 shares of preferred stock. None of these preferred shares are 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October 31, 2017, authorization for $134.1 million of repurchases remained under our share repurchase program. We do not anticipate additional repurchases in the near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Years Ended October 31,</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30"/>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00" w:type="dxa"/>
            <w:vAlign w:val="bottom"/>
          </w:tcPr>
          <w:p>
            <w:pPr>
              <w:spacing w:after="0"/>
              <w:rPr>
                <w:sz w:val="19"/>
                <w:szCs w:val="19"/>
                <w:color w:val="auto"/>
              </w:rPr>
            </w:pPr>
          </w:p>
        </w:tc>
        <w:tc>
          <w:tcPr>
            <w:tcW w:w="17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40.07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30.72</w:t>
            </w:r>
          </w:p>
        </w:tc>
      </w:tr>
      <w:tr>
        <w:trPr>
          <w:trHeight w:val="277"/>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621"/>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ind w:right="14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16. SHARE-BASED COMPENSATION PLANS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performance shares, and stock options.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2, 2006, our stockholders approved the 2006 Equity Incentive Plan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2006 Equity Plan was amended in March 2015 to increase the total shares of common stock authorized for issuance to 11,679,265. At October 31, 2017, there were 1,787,954 shares of common stock available for grant for future equity-based compensation awards under the plan. In addition, there are certain plans under which we can no longer issue awards, although awards outstanding under these plans may still vest and be exercised.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maintain an employee stock purchase plan, which our stockholders approved on March 9, 2004 (the “2004 Employee Stock Purchase Plan”). The 2004 Employee Stock Purchase Plan was amended in March 2016 to increase the total shares of common stock authorized for issuance to 4,000,000. Effective May 1, 2006, the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2017, there were 971,412 remaining unissued shares under the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by Type of Award and Related Income Tax Benefit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Performance shares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before income taxes</w:t>
            </w:r>
            <w:r>
              <w:rPr>
                <w:rFonts w:ascii="Arial" w:cs="Arial" w:eastAsia="Arial" w:hAnsi="Arial"/>
                <w:sz w:val="21"/>
                <w:szCs w:val="21"/>
                <w:color w:val="auto"/>
                <w:vertAlign w:val="superscript"/>
              </w:rPr>
              <w:t>(1)</w:t>
            </w: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net of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Includes share-based compensation expenses related to discontinued operations of $0.3 million for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 and Dividend Equivalent Rights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RSUs granted to eligible employees generally vest with respect to 50% of the underlying award on the second and fourth anniversary of the award. RSUs granted to directors vest over three years. In general, the receipt of RSUs is subject to the Grantee’s continuing employment or service as a director.</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2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RSU Activity</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2"/>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46"/>
        </w:trPr>
        <w:tc>
          <w:tcPr>
            <w:tcW w:w="72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1"/>
                <w:szCs w:val="21"/>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2016</w:t>
            </w:r>
          </w:p>
        </w:tc>
        <w:tc>
          <w:tcPr>
            <w:tcW w:w="2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41.79</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Vested (including 0.1 shares withheld for income taxes)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31.29</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2017</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34.18</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2017, total unrecognized compensation cost, net of estimated forfeitures, related to RSUs was $21.0 million, which is expected to be recognized ratably over a weighted-average vesting period of 3.1 years. In 2017, 2016, and 2015, the weighted-average grant date fair value per share of awards granted was $41.79, $35.62, and $29.31, respectively. In 2017, 2016, and 2015, the total grant date fair value of RSUs vested and converted to shares of ABM common stock was $9.4 million, $7.2 million, and $9.4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 Including TSR Performance Shares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The number of TSR awards that will vest is based on our total shareholder return relative to the S&amp;P 600 at the time of grant over the respective three-year performance period. Vesting of 0% to 150% of the awards originally granted may occur depending on the respective performance metrics under both award types.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46"/>
        </w:trPr>
        <w:tc>
          <w:tcPr>
            <w:tcW w:w="72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1"/>
                <w:szCs w:val="21"/>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2016</w:t>
            </w:r>
          </w:p>
        </w:tc>
        <w:tc>
          <w:tcPr>
            <w:tcW w:w="2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29.28</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39.21</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Vested (including 0.1 shares withheld for income taxes)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Performance adjustments</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28.06</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October 31, 2017</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32.83</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2017, total unrecognized compensation cost related to performance share awards was $11.5 million, which is expected to be recognized ratably over a weighted-average vesting period of 1.9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3 years.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2017, 2016, and 2015, the weighted-average grant date fair value per share of awards granted was $ 39.21, $28.99, and $29.82, respectively. In 2017, 2016, and 2015, the total grant date fair value of performance shares vested and converted to shares of ABM common stock was $7.0 million, $6.6 million, and $5.0 million.</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2017, 2016 and 2015, we used the Monte Carlo simulation valuation technique to estimate the fair value of TSR performance share grants, which used the assumptions in the table below.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2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Monte Carlo Assumptions</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61"/>
        </w:trPr>
        <w:tc>
          <w:tcPr>
            <w:tcW w:w="55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2.14 years</w:t>
            </w:r>
          </w:p>
        </w:tc>
        <w:tc>
          <w:tcPr>
            <w:tcW w:w="4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2.13 years</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 years</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1"/>
                <w:szCs w:val="21"/>
                <w:color w:val="auto"/>
                <w:vertAlign w:val="superscript"/>
              </w:rPr>
              <w:t>(3)</w:t>
            </w: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314"/>
        </w:trPr>
        <w:tc>
          <w:tcPr>
            <w:tcW w:w="5540" w:type="dxa"/>
            <w:vAlign w:val="bottom"/>
          </w:tcPr>
          <w:p>
            <w:pPr>
              <w:ind w:left="40"/>
              <w:spacing w:after="0"/>
              <w:rPr>
                <w:sz w:val="20"/>
                <w:szCs w:val="20"/>
                <w:color w:val="auto"/>
              </w:rPr>
            </w:pPr>
            <w:r>
              <w:rPr>
                <w:rFonts w:ascii="Arial" w:cs="Arial" w:eastAsia="Arial" w:hAnsi="Arial"/>
                <w:sz w:val="18"/>
                <w:szCs w:val="18"/>
                <w:color w:val="auto"/>
              </w:rPr>
              <w:t>Stock price</w:t>
            </w:r>
            <w:r>
              <w:rPr>
                <w:rFonts w:ascii="Arial" w:cs="Arial" w:eastAsia="Arial" w:hAnsi="Arial"/>
                <w:sz w:val="21"/>
                <w:szCs w:val="21"/>
                <w:color w:val="auto"/>
                <w:vertAlign w:val="superscript"/>
              </w:rPr>
              <w:t>(4)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4"/>
                <w:szCs w:val="24"/>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30.25</w:t>
            </w:r>
          </w:p>
        </w:tc>
      </w:tr>
    </w:tbl>
    <w:p>
      <w:pPr>
        <w:spacing w:after="0" w:line="74" w:lineRule="exact"/>
        <w:rPr>
          <w:sz w:val="20"/>
          <w:szCs w:val="20"/>
          <w:color w:val="auto"/>
        </w:rPr>
      </w:pPr>
    </w:p>
    <w:p>
      <w:pPr>
        <w:ind w:left="240" w:hanging="178"/>
        <w:spacing w:after="0"/>
        <w:tabs>
          <w:tab w:leader="none" w:pos="240"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The expected life represents the remaining performance period of the awards.</w:t>
      </w:r>
    </w:p>
    <w:p>
      <w:pPr>
        <w:spacing w:after="0" w:line="156" w:lineRule="exact"/>
        <w:rPr>
          <w:rFonts w:ascii="Arial" w:cs="Arial" w:eastAsia="Arial" w:hAnsi="Arial"/>
          <w:sz w:val="21"/>
          <w:szCs w:val="21"/>
          <w:color w:val="auto"/>
          <w:vertAlign w:val="superscript"/>
        </w:rPr>
      </w:pPr>
    </w:p>
    <w:p>
      <w:pPr>
        <w:ind w:left="60" w:firstLine="2"/>
        <w:spacing w:after="0" w:line="235" w:lineRule="auto"/>
        <w:tabs>
          <w:tab w:leader="none" w:pos="222"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157" w:lineRule="exact"/>
        <w:rPr>
          <w:rFonts w:ascii="Arial" w:cs="Arial" w:eastAsia="Arial" w:hAnsi="Arial"/>
          <w:sz w:val="19"/>
          <w:szCs w:val="19"/>
          <w:color w:val="auto"/>
          <w:vertAlign w:val="superscript"/>
        </w:rPr>
      </w:pPr>
    </w:p>
    <w:p>
      <w:pPr>
        <w:ind w:left="60" w:right="20" w:firstLine="2"/>
        <w:spacing w:after="0" w:line="222" w:lineRule="auto"/>
        <w:tabs>
          <w:tab w:leader="none" w:pos="238"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133" w:lineRule="exact"/>
        <w:rPr>
          <w:rFonts w:ascii="Arial" w:cs="Arial" w:eastAsia="Arial" w:hAnsi="Arial"/>
          <w:sz w:val="21"/>
          <w:szCs w:val="21"/>
          <w:color w:val="auto"/>
          <w:vertAlign w:val="superscript"/>
        </w:rPr>
      </w:pPr>
    </w:p>
    <w:p>
      <w:pPr>
        <w:ind w:left="220" w:hanging="158"/>
        <w:spacing w:after="0"/>
        <w:tabs>
          <w:tab w:leader="none" w:pos="22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The stock price is the closing price of our common stock on the valuation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Typically, stock options vest and become exercisable at a rate of 25% per year beginning one year after the date of grant. However, terms of stock options can vary, and certain stock options granted on January 10, 2011 vested on the fifth anniversary of the award. During 2017, 2016, and 2015, no stock options were granted. All option grants provide for an option exercise price equal to the closing market value of the common stock on the date of grant. Options typically expire 7 years after the date of grant.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Weighted-Average</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9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Exercise Price per</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 Term (in</w:t>
            </w:r>
          </w:p>
        </w:tc>
        <w:tc>
          <w:tcPr>
            <w:tcW w:w="120" w:type="dxa"/>
            <w:vAlign w:val="bottom"/>
          </w:tcPr>
          <w:p>
            <w:pPr>
              <w:spacing w:after="0"/>
              <w:rPr>
                <w:sz w:val="17"/>
                <w:szCs w:val="17"/>
                <w:color w:val="auto"/>
              </w:rPr>
            </w:pPr>
          </w:p>
        </w:tc>
        <w:tc>
          <w:tcPr>
            <w:tcW w:w="18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Aggregate Intrinsic</w:t>
            </w:r>
          </w:p>
        </w:tc>
      </w:tr>
      <w:tr>
        <w:trPr>
          <w:trHeight w:val="252"/>
        </w:trPr>
        <w:tc>
          <w:tcPr>
            <w:tcW w:w="3540" w:type="dxa"/>
            <w:vAlign w:val="bottom"/>
          </w:tcPr>
          <w:p>
            <w:pPr>
              <w:spacing w:after="0"/>
              <w:rPr>
                <w:sz w:val="21"/>
                <w:szCs w:val="21"/>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 millions)</w:t>
            </w:r>
          </w:p>
        </w:tc>
        <w:tc>
          <w:tcPr>
            <w:tcW w:w="120" w:type="dxa"/>
            <w:vAlign w:val="bottom"/>
          </w:tcPr>
          <w:p>
            <w:pPr>
              <w:spacing w:after="0"/>
              <w:rPr>
                <w:sz w:val="21"/>
                <w:szCs w:val="21"/>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Share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years)</w:t>
            </w:r>
            <w:r>
              <w:rPr>
                <w:rFonts w:ascii="Arial" w:cs="Arial" w:eastAsia="Arial" w:hAnsi="Arial"/>
                <w:sz w:val="21"/>
                <w:szCs w:val="21"/>
                <w:b w:val="1"/>
                <w:bCs w:val="1"/>
                <w:color w:val="auto"/>
                <w:w w:val="94"/>
                <w:vertAlign w:val="superscript"/>
              </w:rPr>
              <w:t>(1)</w:t>
            </w:r>
          </w:p>
        </w:tc>
        <w:tc>
          <w:tcPr>
            <w:tcW w:w="120" w:type="dxa"/>
            <w:vAlign w:val="bottom"/>
          </w:tcPr>
          <w:p>
            <w:pPr>
              <w:spacing w:after="0"/>
              <w:rPr>
                <w:sz w:val="21"/>
                <w:szCs w:val="21"/>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Value (in millions)</w:t>
            </w:r>
            <w:r>
              <w:rPr>
                <w:rFonts w:ascii="Arial" w:cs="Arial" w:eastAsia="Arial" w:hAnsi="Arial"/>
                <w:sz w:val="21"/>
                <w:szCs w:val="21"/>
                <w:b w:val="1"/>
                <w:bCs w:val="1"/>
                <w:color w:val="auto"/>
                <w:w w:val="94"/>
                <w:vertAlign w:val="superscript"/>
              </w:rPr>
              <w:t>(2)</w:t>
            </w:r>
          </w:p>
        </w:tc>
      </w:tr>
      <w:tr>
        <w:trPr>
          <w:trHeight w:val="26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2016</w:t>
            </w:r>
          </w:p>
        </w:tc>
        <w:tc>
          <w:tcPr>
            <w:tcW w:w="1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17.74</w:t>
            </w:r>
          </w:p>
        </w:tc>
        <w:tc>
          <w:tcPr>
            <w:tcW w:w="12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spacing w:after="0"/>
              <w:rPr>
                <w:sz w:val="22"/>
                <w:szCs w:val="22"/>
                <w:color w:val="auto"/>
              </w:rPr>
            </w:pP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spacing w:after="0"/>
              <w:rPr>
                <w:sz w:val="23"/>
                <w:szCs w:val="23"/>
                <w:color w:val="auto"/>
              </w:rPr>
            </w:pPr>
          </w:p>
        </w:tc>
      </w:tr>
      <w:tr>
        <w:trPr>
          <w:trHeight w:val="25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October 31, 2017</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October 31, 2017</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bl>
    <w:p>
      <w:pPr>
        <w:spacing w:after="0" w:line="13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Excludes contractual terms associated with plans prior to the 2006 Equity Plan due to the uncertainty of expiration.</w:t>
      </w:r>
    </w:p>
    <w:p>
      <w:pPr>
        <w:spacing w:after="0" w:line="125" w:lineRule="exact"/>
        <w:rPr>
          <w:rFonts w:ascii="Arial" w:cs="Arial" w:eastAsia="Arial" w:hAnsi="Arial"/>
          <w:sz w:val="21"/>
          <w:szCs w:val="21"/>
          <w:color w:val="auto"/>
          <w:vertAlign w:val="superscript"/>
        </w:rPr>
      </w:pPr>
    </w:p>
    <w:p>
      <w:pPr>
        <w:ind w:left="200" w:hanging="192"/>
        <w:spacing w:after="0"/>
        <w:tabs>
          <w:tab w:leader="none" w:pos="20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Amount by which the current market price of our common stock on October 31, 2017 exceeds the exercise price.</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2017, we had no unrecognized compensation cost related to stock option grants. For 2017, 2016, and 2015, the total intrinsic value of stock options exercised was $ 2.6 million, $ 3.4 million, and $ 8.8 million, respectively. In 2017, 2016, and 2015, the total grant date fair value of stock options vested was $0.2 million, $1.7 million, and $2.1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33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28575</wp:posOffset>
            </wp:positionV>
            <wp:extent cx="27616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granted purchase rights per share</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6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Common stock issued</w:t>
            </w:r>
          </w:p>
        </w:tc>
        <w:tc>
          <w:tcPr>
            <w:tcW w:w="1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7"/>
        </w:trPr>
        <w:tc>
          <w:tcPr>
            <w:tcW w:w="5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common stock issued per share</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28.77</w:t>
            </w:r>
          </w:p>
        </w:tc>
      </w:tr>
      <w:tr>
        <w:trPr>
          <w:trHeight w:val="257"/>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Aggregate purchases</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635"/>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60" w:type="dxa"/>
            <w:vAlign w:val="bottom"/>
          </w:tcPr>
          <w:p>
            <w:pPr>
              <w:jc w:val="right"/>
              <w:ind w:right="117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17.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Sources of Income From Continuing Operations Before Income Taxes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Components of Income Tax (Provision) Benefit</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Current: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2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2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Deferred:</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7"/>
        </w:trPr>
        <w:tc>
          <w:tcPr>
            <w:tcW w:w="2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64"/>
        </w:trPr>
        <w:tc>
          <w:tcPr>
            <w:tcW w:w="2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57"/>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(provision) benefit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the U.S. Statutory Tax Rate to Annual Effective Tax Rate (Benefit)</w:t>
      </w:r>
    </w:p>
    <w:p>
      <w:pPr>
        <w:spacing w:after="0" w:line="347"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28575</wp:posOffset>
            </wp:positionV>
            <wp:extent cx="3319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558"/>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558"/>
              <w:spacing w:after="0"/>
              <w:rPr>
                <w:sz w:val="20"/>
                <w:szCs w:val="20"/>
                <w:color w:val="auto"/>
              </w:rPr>
            </w:pPr>
            <w:r>
              <w:rPr>
                <w:rFonts w:ascii="Arial" w:cs="Arial" w:eastAsia="Arial" w:hAnsi="Arial"/>
                <w:sz w:val="18"/>
                <w:szCs w:val="18"/>
                <w:b w:val="1"/>
                <w:bCs w:val="1"/>
                <w:color w:val="auto"/>
              </w:rPr>
              <w:t>2015</w:t>
            </w:r>
          </w:p>
        </w:tc>
      </w:tr>
      <w:tr>
        <w:trPr>
          <w:trHeight w:val="257"/>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U.S. statutory rate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240" w:type="dxa"/>
            <w:vAlign w:val="bottom"/>
            <w:gridSpan w:val="2"/>
          </w:tcPr>
          <w:p>
            <w:pPr>
              <w:ind w:left="180"/>
              <w:spacing w:after="0"/>
              <w:rPr>
                <w:sz w:val="20"/>
                <w:szCs w:val="20"/>
                <w:color w:val="auto"/>
              </w:rPr>
            </w:pPr>
            <w:r>
              <w:rPr>
                <w:rFonts w:ascii="Arial" w:cs="Arial" w:eastAsia="Arial" w:hAnsi="Arial"/>
                <w:sz w:val="16"/>
                <w:szCs w:val="16"/>
                <w:color w:val="auto"/>
              </w:rPr>
              <w:t>State and local income taxes, net of federal tax benefit</w:t>
            </w: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1680" w:type="dxa"/>
            <w:vAlign w:val="bottom"/>
          </w:tcPr>
          <w:p>
            <w:pPr>
              <w:jc w:val="right"/>
              <w:ind w:right="158"/>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680" w:type="dxa"/>
            <w:vAlign w:val="bottom"/>
          </w:tcPr>
          <w:p>
            <w:pPr>
              <w:jc w:val="right"/>
              <w:ind w:right="138"/>
              <w:spacing w:after="0"/>
              <w:rPr>
                <w:sz w:val="20"/>
                <w:szCs w:val="20"/>
                <w:color w:val="auto"/>
              </w:rPr>
            </w:pPr>
            <w:r>
              <w:rPr>
                <w:rFonts w:ascii="Arial" w:cs="Arial" w:eastAsia="Arial" w:hAnsi="Arial"/>
                <w:sz w:val="16"/>
                <w:szCs w:val="16"/>
                <w:color w:val="auto"/>
              </w:rPr>
              <w:t>6.5</w:t>
            </w:r>
          </w:p>
        </w:tc>
      </w:tr>
      <w:tr>
        <w:trPr>
          <w:trHeight w:val="28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Federal and state tax credits</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(9.6)</w:t>
            </w:r>
          </w:p>
        </w:tc>
      </w:tr>
      <w:tr>
        <w:trPr>
          <w:trHeight w:val="260"/>
        </w:trPr>
        <w:tc>
          <w:tcPr>
            <w:tcW w:w="7240" w:type="dxa"/>
            <w:vAlign w:val="bottom"/>
            <w:gridSpan w:val="2"/>
          </w:tcPr>
          <w:p>
            <w:pPr>
              <w:ind w:left="180"/>
              <w:spacing w:after="0"/>
              <w:rPr>
                <w:sz w:val="20"/>
                <w:szCs w:val="20"/>
                <w:color w:val="auto"/>
              </w:rPr>
            </w:pPr>
            <w:r>
              <w:rPr>
                <w:rFonts w:ascii="Arial" w:cs="Arial" w:eastAsia="Arial" w:hAnsi="Arial"/>
                <w:sz w:val="16"/>
                <w:szCs w:val="16"/>
                <w:color w:val="auto"/>
              </w:rPr>
              <w:t>Impact of foreign operations</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680" w:type="dxa"/>
            <w:vAlign w:val="bottom"/>
          </w:tcPr>
          <w:p>
            <w:pPr>
              <w:jc w:val="right"/>
              <w:ind w:right="98"/>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1680" w:type="dxa"/>
            <w:vAlign w:val="bottom"/>
          </w:tcPr>
          <w:p>
            <w:pPr>
              <w:jc w:val="right"/>
              <w:ind w:right="98"/>
              <w:spacing w:after="0"/>
              <w:rPr>
                <w:sz w:val="20"/>
                <w:szCs w:val="20"/>
                <w:color w:val="auto"/>
              </w:rPr>
            </w:pPr>
            <w:r>
              <w:rPr>
                <w:rFonts w:ascii="Arial" w:cs="Arial" w:eastAsia="Arial" w:hAnsi="Arial"/>
                <w:sz w:val="16"/>
                <w:szCs w:val="16"/>
                <w:color w:val="auto"/>
              </w:rPr>
              <w:t>(3.6)</w:t>
            </w:r>
          </w:p>
        </w:tc>
      </w:tr>
      <w:tr>
        <w:trPr>
          <w:trHeight w:val="28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Changes in uncertain tax positions</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(5.2)</w:t>
            </w:r>
          </w:p>
        </w:tc>
      </w:tr>
      <w:tr>
        <w:trPr>
          <w:trHeight w:val="260"/>
        </w:trPr>
        <w:tc>
          <w:tcPr>
            <w:tcW w:w="7240" w:type="dxa"/>
            <w:vAlign w:val="bottom"/>
            <w:gridSpan w:val="2"/>
          </w:tcPr>
          <w:p>
            <w:pPr>
              <w:ind w:left="180"/>
              <w:spacing w:after="0"/>
              <w:rPr>
                <w:sz w:val="20"/>
                <w:szCs w:val="20"/>
                <w:color w:val="auto"/>
              </w:rPr>
            </w:pPr>
            <w:r>
              <w:rPr>
                <w:rFonts w:ascii="Arial" w:cs="Arial" w:eastAsia="Arial" w:hAnsi="Arial"/>
                <w:sz w:val="16"/>
                <w:szCs w:val="16"/>
                <w:color w:val="auto"/>
              </w:rPr>
              <w:t>Incremental tax benefit from share-based compensation awards</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1680" w:type="dxa"/>
            <w:vAlign w:val="bottom"/>
          </w:tcPr>
          <w:p>
            <w:pPr>
              <w:jc w:val="right"/>
              <w:ind w:right="98"/>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168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8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 credits for energy efficient government buildings</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(2.8)</w:t>
            </w:r>
          </w:p>
        </w:tc>
      </w:tr>
      <w:tr>
        <w:trPr>
          <w:trHeight w:val="260"/>
        </w:trPr>
        <w:tc>
          <w:tcPr>
            <w:tcW w:w="7240" w:type="dxa"/>
            <w:vAlign w:val="bottom"/>
            <w:gridSpan w:val="2"/>
          </w:tcPr>
          <w:p>
            <w:pPr>
              <w:ind w:left="180"/>
              <w:spacing w:after="0"/>
              <w:rPr>
                <w:sz w:val="20"/>
                <w:szCs w:val="20"/>
                <w:color w:val="auto"/>
              </w:rPr>
            </w:pPr>
            <w:r>
              <w:rPr>
                <w:rFonts w:ascii="Arial" w:cs="Arial" w:eastAsia="Arial" w:hAnsi="Arial"/>
                <w:sz w:val="16"/>
                <w:szCs w:val="16"/>
                <w:color w:val="auto"/>
              </w:rPr>
              <w:t>Nondeductible expenses</w:t>
            </w: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1680" w:type="dxa"/>
            <w:vAlign w:val="bottom"/>
          </w:tcPr>
          <w:p>
            <w:pPr>
              <w:jc w:val="right"/>
              <w:ind w:right="158"/>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1680" w:type="dxa"/>
            <w:vAlign w:val="bottom"/>
          </w:tcPr>
          <w:p>
            <w:pPr>
              <w:jc w:val="right"/>
              <w:ind w:right="138"/>
              <w:spacing w:after="0"/>
              <w:rPr>
                <w:sz w:val="20"/>
                <w:szCs w:val="20"/>
                <w:color w:val="auto"/>
              </w:rPr>
            </w:pPr>
            <w:r>
              <w:rPr>
                <w:rFonts w:ascii="Arial" w:cs="Arial" w:eastAsia="Arial" w:hAnsi="Arial"/>
                <w:sz w:val="16"/>
                <w:szCs w:val="16"/>
                <w:color w:val="auto"/>
              </w:rPr>
              <w:t>3.8</w:t>
            </w:r>
          </w:p>
        </w:tc>
      </w:tr>
      <w:tr>
        <w:trPr>
          <w:trHeight w:val="273"/>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1.2</w:t>
            </w:r>
          </w:p>
        </w:tc>
      </w:tr>
      <w:tr>
        <w:trPr>
          <w:trHeight w:val="240"/>
        </w:trPr>
        <w:tc>
          <w:tcPr>
            <w:tcW w:w="7240" w:type="dxa"/>
            <w:vAlign w:val="bottom"/>
            <w:gridSpan w:val="2"/>
          </w:tcPr>
          <w:p>
            <w:pPr>
              <w:ind w:left="40"/>
              <w:spacing w:after="0"/>
              <w:rPr>
                <w:sz w:val="20"/>
                <w:szCs w:val="20"/>
                <w:color w:val="auto"/>
              </w:rPr>
            </w:pPr>
            <w:r>
              <w:rPr>
                <w:rFonts w:ascii="Arial" w:cs="Arial" w:eastAsia="Arial" w:hAnsi="Arial"/>
                <w:sz w:val="16"/>
                <w:szCs w:val="16"/>
                <w:b w:val="1"/>
                <w:bCs w:val="1"/>
                <w:color w:val="auto"/>
              </w:rPr>
              <w:t>Annual effective tax rate (benefit)</w:t>
            </w:r>
          </w:p>
        </w:tc>
        <w:tc>
          <w:tcPr>
            <w:tcW w:w="620" w:type="dxa"/>
            <w:vAlign w:val="bottom"/>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25.3 %</w:t>
            </w:r>
          </w:p>
        </w:tc>
      </w:tr>
      <w:tr>
        <w:trPr>
          <w:trHeight w:val="20"/>
        </w:trPr>
        <w:tc>
          <w:tcPr>
            <w:tcW w:w="6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income taxes for 2017 were favorably impacted by a benefit of $17.8 million, including interest of $1.2 million, related to expiring statutes of limitations for an uncertain tax position. In addition, in 2017 we also benefited from $3.6 million of excess tax benefits related to the vesting of share-based compensation awards, $1.9 million of tax credits for energy efficient government buildings, and the 2017 WOTC.</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income taxes for 2016 were favorably impacted by a benefit of $20.8 million, including interest of $0.6 million, related to expiring statutes of limitations for an uncertain tax position, $6.7 million of WOTC related to new hires in 2016, $ 5.1 million of WOTC from the retroactive reinstatement of the WOTC for calendar year 2015, $2.2 million of excess tax benefits related to the vesting of share-based compensation awards, and $1.2 million of tax credits for energy efficient government buildings.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2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Components of Deferred Tax Assets and Liabilities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0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9"/>
                <w:szCs w:val="19"/>
                <w:color w:val="auto"/>
              </w:rPr>
            </w:pPr>
          </w:p>
        </w:tc>
        <w:tc>
          <w:tcPr>
            <w:tcW w:w="18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5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 tax assets attributable to:</w:t>
            </w:r>
          </w:p>
        </w:tc>
        <w:tc>
          <w:tcPr>
            <w:tcW w:w="56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Self-insurance claims (net of recoverables)</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2"/>
                <w:szCs w:val="22"/>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 and other compensation</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Impairment loss on assets held for sale</w:t>
            </w:r>
          </w:p>
        </w:tc>
        <w:tc>
          <w:tcPr>
            <w:tcW w:w="560" w:type="dxa"/>
            <w:vAlign w:val="bottom"/>
          </w:tcPr>
          <w:p>
            <w:pPr>
              <w:spacing w:after="0"/>
              <w:rPr>
                <w:sz w:val="22"/>
                <w:szCs w:val="22"/>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receivable allowances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Settlement liabilities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accruals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Other comprehensive income</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taxes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Federal net operating loss carryforwards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Tax credits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Unrecognized tax benefits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65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Gross deferred tax assets</w:t>
            </w:r>
          </w:p>
        </w:tc>
        <w:tc>
          <w:tcPr>
            <w:tcW w:w="56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b w:val="1"/>
                <w:bCs w:val="1"/>
                <w:color w:val="auto"/>
              </w:rPr>
              <w:t>Valuation allowance</w:t>
            </w:r>
          </w:p>
        </w:tc>
        <w:tc>
          <w:tcPr>
            <w:tcW w:w="5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0"/>
        </w:trPr>
        <w:tc>
          <w:tcPr>
            <w:tcW w:w="65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 assets</w:t>
            </w:r>
          </w:p>
        </w:tc>
        <w:tc>
          <w:tcPr>
            <w:tcW w:w="5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233.8</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 tax liabilities attributable to:</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Goodwill and other acquired intangibles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Equity in earnings of foreign investments</w:t>
            </w:r>
          </w:p>
        </w:tc>
        <w:tc>
          <w:tcPr>
            <w:tcW w:w="5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65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 liabilities</w:t>
            </w:r>
          </w:p>
        </w:tc>
        <w:tc>
          <w:tcPr>
            <w:tcW w:w="5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220" w:type="dxa"/>
            <w:vAlign w:val="bottom"/>
            <w:tcBorders>
              <w:bottom w:val="single" w:sz="8" w:color="CCEEFF"/>
            </w:tcBorders>
          </w:tcPr>
          <w:p>
            <w:pPr>
              <w:spacing w:after="0"/>
              <w:rPr>
                <w:sz w:val="24"/>
                <w:szCs w:val="24"/>
                <w:color w:val="auto"/>
              </w:rPr>
            </w:pPr>
          </w:p>
        </w:tc>
        <w:tc>
          <w:tcPr>
            <w:tcW w:w="35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shd w:val="clear" w:color="auto" w:fill="CCEEFF"/>
              </w:rPr>
              <w:t>Net deferred tax (liabilities) assets</w:t>
            </w:r>
          </w:p>
        </w:tc>
        <w:tc>
          <w:tcPr>
            <w:tcW w:w="3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Operating Loss Carryforwards and Tax Credits</w:t>
            </w: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500" w:type="dxa"/>
            <w:vAlign w:val="bottom"/>
            <w:gridSpan w:val="4"/>
            <w:vMerge w:val="continue"/>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State operating loss carryforwards totaling $208.4 million at October 31, 2017 are being carried forward in a number of state jurisdictions where we are permitted to use tax operating losses from prior periods to reduce future taxable income. These operating losses will expire between 2018 and 2037. Federal operating loss carryforwards totaling $56.8 million are available to reduce future taxable income and will expire between 2037 and 2038. Federal and state tax credits totaling $25.1 million are available to reduce future cash taxes and will expire between 2021 and 2038, other than alternate minimum tax credits which do not expire.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valuation allowance represents the amount of tax benefits related to state net operating loss carryforwards that are not likely to be realized. We believe the remaining net deferred tax assets are more likely than not to be realizable based on estimates of future taxable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Deferred Tax Asset Valuation Allowance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GCA Services acquisition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 of Security business</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2"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522"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Unrecognized Tax Benefits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2017, 2016, and 2015, there were $50.5 million, $52.0 million, and $75.6 million, respectively, of unrecognized tax benefits that if recognized in the future would impact our effective tax rate. We estimate that a decrease in unrecognized tax benefits of up to approximately $12.2 million is reasonably possible over the next twelve months due to the resolution of certain tax matters. At October 31, 2017 and 2016, accrued interest and penalties were $1.9 million and $2.3 million, respectively. For interest and penalties we recognized a benefit of $0.5 million and $0.9 million in 2017 and 2016, respectively, and expense of $1.0 million in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Total Unrecognized Tax Benefits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lapse of statute of limitations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Years Open for Examination, by Entity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5960" w:type="dxa"/>
            <w:vAlign w:val="bottom"/>
            <w:tcBorders>
              <w:bottom w:val="single" w:sz="8" w:color="auto"/>
            </w:tcBorders>
          </w:tcPr>
          <w:p>
            <w:pPr>
              <w:ind w:left="3840"/>
              <w:spacing w:after="0"/>
              <w:rPr>
                <w:sz w:val="20"/>
                <w:szCs w:val="20"/>
                <w:color w:val="auto"/>
              </w:rPr>
            </w:pPr>
            <w:r>
              <w:rPr>
                <w:rFonts w:ascii="Arial" w:cs="Arial" w:eastAsia="Arial" w:hAnsi="Arial"/>
                <w:sz w:val="18"/>
                <w:szCs w:val="18"/>
                <w:b w:val="1"/>
                <w:bCs w:val="1"/>
                <w:color w:val="auto"/>
              </w:rPr>
              <w:t>Open by Statute</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ABM state tax returns</w:t>
            </w:r>
            <w:r>
              <w:rPr>
                <w:rFonts w:ascii="Arial" w:cs="Arial" w:eastAsia="Arial" w:hAnsi="Arial"/>
                <w:sz w:val="21"/>
                <w:szCs w:val="21"/>
                <w:color w:val="auto"/>
                <w:vertAlign w:val="superscript"/>
              </w:rPr>
              <w:t>(1)</w:t>
            </w:r>
          </w:p>
        </w:tc>
        <w:tc>
          <w:tcPr>
            <w:tcW w:w="596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99"/>
              </w:rPr>
              <w:t>10/31/2013 – 10/31/2017</w:t>
            </w: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ABM federal tax returns</w:t>
            </w:r>
          </w:p>
        </w:tc>
        <w:tc>
          <w:tcPr>
            <w:tcW w:w="5960" w:type="dxa"/>
            <w:vAlign w:val="bottom"/>
          </w:tcPr>
          <w:p>
            <w:pPr>
              <w:jc w:val="center"/>
              <w:ind w:left="3030"/>
              <w:spacing w:after="0"/>
              <w:rPr>
                <w:sz w:val="20"/>
                <w:szCs w:val="20"/>
                <w:color w:val="auto"/>
              </w:rPr>
            </w:pPr>
            <w:r>
              <w:rPr>
                <w:rFonts w:ascii="Arial" w:cs="Arial" w:eastAsia="Arial" w:hAnsi="Arial"/>
                <w:sz w:val="18"/>
                <w:szCs w:val="18"/>
                <w:color w:val="auto"/>
                <w:w w:val="99"/>
              </w:rPr>
              <w:t>10/31/2014 – 10/31/2017</w:t>
            </w:r>
          </w:p>
        </w:tc>
      </w:tr>
      <w:tr>
        <w:trPr>
          <w:trHeight w:val="26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GCA state tax returns</w:t>
            </w:r>
          </w:p>
        </w:tc>
        <w:tc>
          <w:tcPr>
            <w:tcW w:w="596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99"/>
              </w:rPr>
              <w:t>12/31/2013 – 9/1/2017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GCA federal tax returns</w:t>
            </w:r>
          </w:p>
        </w:tc>
        <w:tc>
          <w:tcPr>
            <w:tcW w:w="5960" w:type="dxa"/>
            <w:vAlign w:val="bottom"/>
          </w:tcPr>
          <w:p>
            <w:pPr>
              <w:jc w:val="center"/>
              <w:ind w:left="3030"/>
              <w:spacing w:after="0"/>
              <w:rPr>
                <w:sz w:val="20"/>
                <w:szCs w:val="20"/>
                <w:color w:val="auto"/>
              </w:rPr>
            </w:pPr>
            <w:r>
              <w:rPr>
                <w:rFonts w:ascii="Arial" w:cs="Arial" w:eastAsia="Arial" w:hAnsi="Arial"/>
                <w:sz w:val="18"/>
                <w:szCs w:val="18"/>
                <w:color w:val="auto"/>
                <w:w w:val="99"/>
              </w:rPr>
              <w:t>12/31/2014 – 9/1/2017</w:t>
            </w:r>
          </w:p>
        </w:tc>
      </w:tr>
    </w:tbl>
    <w:p>
      <w:pPr>
        <w:spacing w:after="0" w:line="177" w:lineRule="exact"/>
        <w:rPr>
          <w:sz w:val="20"/>
          <w:szCs w:val="20"/>
          <w:color w:val="auto"/>
        </w:rPr>
      </w:pPr>
    </w:p>
    <w:p>
      <w:pPr>
        <w:ind w:firstLine="8"/>
        <w:spacing w:after="0"/>
        <w:tabs>
          <w:tab w:leader="none" w:pos="162"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We are currently being examined by the taxing authorities in the states of Alabama, Arizona, California, Connecticut, Florida, Massachusetts, New Jersey, New York, and Tennessee.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Reinvestment of Foreign Earnings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reinvest our foreign earnings to fund future non-U.S. growth and expansion. As a result, we do not anticipate remitting such earnings to the United States and have not provided for federal and state income taxes or foreign withholding taxes that may result if such earnings of our foreign subsidiaries are remitted to the United States.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22" w:right="239" w:bottom="1440" w:gutter="0" w:footer="0" w:header="0"/>
        </w:sectPr>
      </w:pPr>
    </w:p>
    <w:bookmarkStart w:id="91" w:name="page92"/>
    <w:bookmarkEnd w:id="91"/>
    <w:p>
      <w:pPr>
        <w:ind w:right="7220" w:firstLine="8"/>
        <w:spacing w:after="0" w:line="451" w:lineRule="auto"/>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 Segment Information</w:t>
      </w:r>
    </w:p>
    <w:p>
      <w:pPr>
        <w:jc w:val="both"/>
        <w:ind w:right="20" w:firstLine="648"/>
        <w:spacing w:after="0" w:line="252"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Our reportable segments consist of Business &amp; Industry (“B&amp;I”), Aviation, Emerging Industries Group, Technical Solutions, and the newly acquired GCA Services. Among other changes, once we integrate GCA into our industry group model in 2018, we anticipate our Education industry group will become a reportable segment. We also expect to present a new Technology &amp; Manufacturing reportable segment, that will combine our High Tech industry group and the legacy GCA and ABM Industrial &amp; Manufacturing (“I&amp;M”) businesses. ABM’s legacy I&amp;M business was included in the B&amp;I segment. Refer to Note 2, “Basis of Presentation and Significant Accounting Policies,” for information related to the former Government Services business.</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980" w:type="dxa"/>
            <w:vAlign w:val="bottom"/>
            <w:tcBorders>
              <w:top w:val="single" w:sz="8" w:color="auto"/>
              <w:left w:val="single" w:sz="8" w:color="auto"/>
              <w:bottom w:val="single" w:sz="8" w:color="auto"/>
            </w:tcBorders>
            <w:shd w:val="clear" w:color="auto" w:fill="CCEEFF"/>
          </w:tcPr>
          <w:p>
            <w:pPr>
              <w:spacing w:after="0"/>
              <w:rPr>
                <w:sz w:val="22"/>
                <w:szCs w:val="22"/>
                <w:color w:val="auto"/>
              </w:rPr>
            </w:pPr>
          </w:p>
        </w:tc>
        <w:tc>
          <w:tcPr>
            <w:tcW w:w="8460" w:type="dxa"/>
            <w:vAlign w:val="bottom"/>
            <w:tcBorders>
              <w:top w:val="single" w:sz="8" w:color="auto"/>
              <w:bottom w:val="single" w:sz="8" w:color="auto"/>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ONGOING REPORTABLE SEGMENTS AND DESCRIPTIONS</w:t>
            </w:r>
          </w:p>
        </w:tc>
        <w:tc>
          <w:tcPr>
            <w:tcW w:w="0" w:type="dxa"/>
            <w:vAlign w:val="bottom"/>
          </w:tcPr>
          <w:p>
            <w:pPr>
              <w:spacing w:after="0"/>
              <w:rPr>
                <w:sz w:val="1"/>
                <w:szCs w:val="1"/>
                <w:color w:val="auto"/>
              </w:rPr>
            </w:pPr>
          </w:p>
        </w:tc>
      </w:tr>
      <w:tr>
        <w:trPr>
          <w:trHeight w:val="229"/>
        </w:trPr>
        <w:tc>
          <w:tcPr>
            <w:tcW w:w="298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tcBorders>
          </w:tcPr>
          <w:p>
            <w:pPr>
              <w:jc w:val="center"/>
              <w:ind w:left="290"/>
              <w:spacing w:after="0" w:line="202" w:lineRule="exact"/>
              <w:rPr>
                <w:sz w:val="20"/>
                <w:szCs w:val="20"/>
                <w:color w:val="auto"/>
              </w:rPr>
            </w:pPr>
            <w:r>
              <w:rPr>
                <w:rFonts w:ascii="Arial" w:cs="Arial" w:eastAsia="Arial" w:hAnsi="Arial"/>
                <w:sz w:val="18"/>
                <w:szCs w:val="18"/>
                <w:color w:val="auto"/>
                <w:w w:val="96"/>
              </w:rPr>
              <w:t>B&amp;I</w:t>
            </w:r>
          </w:p>
        </w:tc>
        <w:tc>
          <w:tcPr>
            <w:tcW w:w="380" w:type="dxa"/>
            <w:vAlign w:val="bottom"/>
            <w:tcBorders>
              <w:right w:val="single" w:sz="8" w:color="auto"/>
            </w:tcBorders>
          </w:tcPr>
          <w:p>
            <w:pPr>
              <w:spacing w:after="0"/>
              <w:rPr>
                <w:sz w:val="17"/>
                <w:szCs w:val="17"/>
                <w:color w:val="auto"/>
              </w:rPr>
            </w:pPr>
          </w:p>
        </w:tc>
        <w:tc>
          <w:tcPr>
            <w:tcW w:w="80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sports and entertainment venues, and industrial and</w:t>
            </w:r>
          </w:p>
        </w:tc>
        <w:tc>
          <w:tcPr>
            <w:tcW w:w="0" w:type="dxa"/>
            <w:vAlign w:val="bottom"/>
          </w:tcPr>
          <w:p>
            <w:pPr>
              <w:spacing w:after="0"/>
              <w:rPr>
                <w:sz w:val="1"/>
                <w:szCs w:val="1"/>
                <w:color w:val="auto"/>
              </w:rPr>
            </w:pPr>
          </w:p>
        </w:tc>
      </w:tr>
      <w:tr>
        <w:trPr>
          <w:trHeight w:val="224"/>
        </w:trPr>
        <w:tc>
          <w:tcPr>
            <w:tcW w:w="298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manufacturing sites.</w:t>
            </w:r>
          </w:p>
        </w:tc>
        <w:tc>
          <w:tcPr>
            <w:tcW w:w="0" w:type="dxa"/>
            <w:vAlign w:val="bottom"/>
          </w:tcPr>
          <w:p>
            <w:pPr>
              <w:spacing w:after="0"/>
              <w:rPr>
                <w:sz w:val="1"/>
                <w:szCs w:val="1"/>
                <w:color w:val="auto"/>
              </w:rPr>
            </w:pPr>
          </w:p>
        </w:tc>
      </w:tr>
      <w:tr>
        <w:trPr>
          <w:trHeight w:val="229"/>
        </w:trPr>
        <w:tc>
          <w:tcPr>
            <w:tcW w:w="298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tcBorders>
            <w:vMerge w:val="restart"/>
          </w:tcPr>
          <w:p>
            <w:pPr>
              <w:jc w:val="center"/>
              <w:ind w:left="290"/>
              <w:spacing w:after="0"/>
              <w:rPr>
                <w:sz w:val="20"/>
                <w:szCs w:val="20"/>
                <w:color w:val="auto"/>
              </w:rPr>
            </w:pPr>
            <w:r>
              <w:rPr>
                <w:rFonts w:ascii="Arial" w:cs="Arial" w:eastAsia="Arial" w:hAnsi="Arial"/>
                <w:sz w:val="18"/>
                <w:szCs w:val="18"/>
                <w:color w:val="auto"/>
                <w:w w:val="99"/>
              </w:rPr>
              <w:t>Aviation</w:t>
            </w:r>
          </w:p>
        </w:tc>
        <w:tc>
          <w:tcPr>
            <w:tcW w:w="380" w:type="dxa"/>
            <w:vAlign w:val="bottom"/>
            <w:tcBorders>
              <w:right w:val="single" w:sz="8" w:color="auto"/>
            </w:tcBorders>
          </w:tcPr>
          <w:p>
            <w:pPr>
              <w:spacing w:after="0"/>
              <w:rPr>
                <w:sz w:val="17"/>
                <w:szCs w:val="17"/>
                <w:color w:val="auto"/>
              </w:rPr>
            </w:pPr>
          </w:p>
        </w:tc>
        <w:tc>
          <w:tcPr>
            <w:tcW w:w="80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assistance, catering, air cabin maintenance, and transportation. Aviation also includes an investment</w:t>
            </w:r>
          </w:p>
        </w:tc>
        <w:tc>
          <w:tcPr>
            <w:tcW w:w="0" w:type="dxa"/>
            <w:vAlign w:val="bottom"/>
          </w:tcPr>
          <w:p>
            <w:pPr>
              <w:spacing w:after="0"/>
              <w:rPr>
                <w:sz w:val="1"/>
                <w:szCs w:val="1"/>
                <w:color w:val="auto"/>
              </w:rPr>
            </w:pPr>
          </w:p>
        </w:tc>
      </w:tr>
      <w:tr>
        <w:trPr>
          <w:trHeight w:val="109"/>
        </w:trPr>
        <w:tc>
          <w:tcPr>
            <w:tcW w:w="2980" w:type="dxa"/>
            <w:vAlign w:val="bottom"/>
            <w:tcBorders>
              <w:left w:val="single" w:sz="8" w:color="auto"/>
            </w:tcBorders>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0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 an unconsolidated affiliate that was previously part of our government business under our legacy</w:t>
            </w:r>
          </w:p>
        </w:tc>
        <w:tc>
          <w:tcPr>
            <w:tcW w:w="0" w:type="dxa"/>
            <w:vAlign w:val="bottom"/>
          </w:tcPr>
          <w:p>
            <w:pPr>
              <w:spacing w:after="0"/>
              <w:rPr>
                <w:sz w:val="1"/>
                <w:szCs w:val="1"/>
                <w:color w:val="auto"/>
              </w:rPr>
            </w:pPr>
          </w:p>
        </w:tc>
      </w:tr>
      <w:tr>
        <w:trPr>
          <w:trHeight w:val="94"/>
        </w:trPr>
        <w:tc>
          <w:tcPr>
            <w:tcW w:w="2980" w:type="dxa"/>
            <w:vAlign w:val="bottom"/>
            <w:tcBorders>
              <w:left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8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98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Building &amp; Energy Solutions segment.</w:t>
            </w:r>
          </w:p>
        </w:tc>
        <w:tc>
          <w:tcPr>
            <w:tcW w:w="0" w:type="dxa"/>
            <w:vAlign w:val="bottom"/>
          </w:tcPr>
          <w:p>
            <w:pPr>
              <w:spacing w:after="0"/>
              <w:rPr>
                <w:sz w:val="1"/>
                <w:szCs w:val="1"/>
                <w:color w:val="auto"/>
              </w:rPr>
            </w:pPr>
          </w:p>
        </w:tc>
      </w:tr>
      <w:tr>
        <w:trPr>
          <w:trHeight w:val="229"/>
        </w:trPr>
        <w:tc>
          <w:tcPr>
            <w:tcW w:w="298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Our Emerging Industries Group is comprised of our Education, Healthcare, and High Tech industry</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tcBorders>
          </w:tcPr>
          <w:p>
            <w:pPr>
              <w:jc w:val="center"/>
              <w:ind w:left="290"/>
              <w:spacing w:after="0" w:line="202" w:lineRule="exact"/>
              <w:rPr>
                <w:sz w:val="20"/>
                <w:szCs w:val="20"/>
                <w:color w:val="auto"/>
              </w:rPr>
            </w:pPr>
            <w:r>
              <w:rPr>
                <w:rFonts w:ascii="Arial" w:cs="Arial" w:eastAsia="Arial" w:hAnsi="Arial"/>
                <w:sz w:val="18"/>
                <w:szCs w:val="18"/>
                <w:color w:val="auto"/>
              </w:rPr>
              <w:t>Emerging Industries Group</w:t>
            </w:r>
          </w:p>
        </w:tc>
        <w:tc>
          <w:tcPr>
            <w:tcW w:w="380" w:type="dxa"/>
            <w:vAlign w:val="bottom"/>
            <w:tcBorders>
              <w:right w:val="single" w:sz="8" w:color="auto"/>
            </w:tcBorders>
          </w:tcPr>
          <w:p>
            <w:pPr>
              <w:spacing w:after="0"/>
              <w:rPr>
                <w:sz w:val="17"/>
                <w:szCs w:val="17"/>
                <w:color w:val="auto"/>
              </w:rPr>
            </w:pPr>
          </w:p>
        </w:tc>
        <w:tc>
          <w:tcPr>
            <w:tcW w:w="80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groups. Services include janitorial, facilities engineering, and parking services for clients in these</w:t>
            </w:r>
          </w:p>
        </w:tc>
        <w:tc>
          <w:tcPr>
            <w:tcW w:w="0" w:type="dxa"/>
            <w:vAlign w:val="bottom"/>
          </w:tcPr>
          <w:p>
            <w:pPr>
              <w:spacing w:after="0"/>
              <w:rPr>
                <w:sz w:val="1"/>
                <w:szCs w:val="1"/>
                <w:color w:val="auto"/>
              </w:rPr>
            </w:pPr>
          </w:p>
        </w:tc>
      </w:tr>
      <w:tr>
        <w:trPr>
          <w:trHeight w:val="224"/>
        </w:trPr>
        <w:tc>
          <w:tcPr>
            <w:tcW w:w="298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industries.</w:t>
            </w:r>
          </w:p>
        </w:tc>
        <w:tc>
          <w:tcPr>
            <w:tcW w:w="0" w:type="dxa"/>
            <w:vAlign w:val="bottom"/>
          </w:tcPr>
          <w:p>
            <w:pPr>
              <w:spacing w:after="0"/>
              <w:rPr>
                <w:sz w:val="1"/>
                <w:szCs w:val="1"/>
                <w:color w:val="auto"/>
              </w:rPr>
            </w:pPr>
          </w:p>
        </w:tc>
      </w:tr>
      <w:tr>
        <w:trPr>
          <w:trHeight w:val="229"/>
        </w:trPr>
        <w:tc>
          <w:tcPr>
            <w:tcW w:w="298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Technical Solutions provides specialized mechanical and electrical services. These services can</w:t>
            </w: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tcBorders>
          </w:tcPr>
          <w:p>
            <w:pPr>
              <w:jc w:val="center"/>
              <w:ind w:left="270"/>
              <w:spacing w:after="0" w:line="202" w:lineRule="exact"/>
              <w:rPr>
                <w:sz w:val="20"/>
                <w:szCs w:val="20"/>
                <w:color w:val="auto"/>
              </w:rPr>
            </w:pPr>
            <w:r>
              <w:rPr>
                <w:rFonts w:ascii="Arial" w:cs="Arial" w:eastAsia="Arial" w:hAnsi="Arial"/>
                <w:sz w:val="18"/>
                <w:szCs w:val="18"/>
                <w:color w:val="auto"/>
                <w:w w:val="98"/>
              </w:rPr>
              <w:t>Technical Solutions</w:t>
            </w:r>
          </w:p>
        </w:tc>
        <w:tc>
          <w:tcPr>
            <w:tcW w:w="380" w:type="dxa"/>
            <w:vAlign w:val="bottom"/>
            <w:tcBorders>
              <w:right w:val="single" w:sz="8" w:color="auto"/>
            </w:tcBorders>
          </w:tcPr>
          <w:p>
            <w:pPr>
              <w:spacing w:after="0"/>
              <w:rPr>
                <w:sz w:val="17"/>
                <w:szCs w:val="17"/>
                <w:color w:val="auto"/>
              </w:rPr>
            </w:pPr>
          </w:p>
        </w:tc>
        <w:tc>
          <w:tcPr>
            <w:tcW w:w="80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also be leveraged for cross-selling within B&amp;I, Aviation, and the Emerging Industries Group, both</w:t>
            </w:r>
          </w:p>
        </w:tc>
        <w:tc>
          <w:tcPr>
            <w:tcW w:w="0" w:type="dxa"/>
            <w:vAlign w:val="bottom"/>
          </w:tcPr>
          <w:p>
            <w:pPr>
              <w:spacing w:after="0"/>
              <w:rPr>
                <w:sz w:val="1"/>
                <w:szCs w:val="1"/>
                <w:color w:val="auto"/>
              </w:rPr>
            </w:pPr>
          </w:p>
        </w:tc>
      </w:tr>
      <w:tr>
        <w:trPr>
          <w:trHeight w:val="224"/>
        </w:trPr>
        <w:tc>
          <w:tcPr>
            <w:tcW w:w="298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domestically and internationally.</w:t>
            </w:r>
          </w:p>
        </w:tc>
        <w:tc>
          <w:tcPr>
            <w:tcW w:w="0" w:type="dxa"/>
            <w:vAlign w:val="bottom"/>
          </w:tcPr>
          <w:p>
            <w:pPr>
              <w:spacing w:after="0"/>
              <w:rPr>
                <w:sz w:val="1"/>
                <w:szCs w:val="1"/>
                <w:color w:val="auto"/>
              </w:rPr>
            </w:pPr>
          </w:p>
        </w:tc>
      </w:tr>
      <w:tr>
        <w:trPr>
          <w:trHeight w:val="229"/>
        </w:trPr>
        <w:tc>
          <w:tcPr>
            <w:tcW w:w="2980" w:type="dxa"/>
            <w:vAlign w:val="bottom"/>
            <w:tcBorders>
              <w:left w:val="single" w:sz="8" w:color="auto"/>
            </w:tcBorders>
            <w:vMerge w:val="restart"/>
          </w:tcPr>
          <w:p>
            <w:pPr>
              <w:jc w:val="center"/>
              <w:ind w:left="290"/>
              <w:spacing w:after="0"/>
              <w:rPr>
                <w:sz w:val="20"/>
                <w:szCs w:val="20"/>
                <w:color w:val="auto"/>
              </w:rPr>
            </w:pPr>
            <w:r>
              <w:rPr>
                <w:rFonts w:ascii="Arial" w:cs="Arial" w:eastAsia="Arial" w:hAnsi="Arial"/>
                <w:sz w:val="18"/>
                <w:szCs w:val="18"/>
                <w:color w:val="auto"/>
                <w:w w:val="99"/>
              </w:rPr>
              <w:t>GCA Services</w:t>
            </w:r>
          </w:p>
        </w:tc>
        <w:tc>
          <w:tcPr>
            <w:tcW w:w="380" w:type="dxa"/>
            <w:vAlign w:val="bottom"/>
            <w:tcBorders>
              <w:right w:val="single" w:sz="8" w:color="auto"/>
            </w:tcBorders>
          </w:tcPr>
          <w:p>
            <w:pPr>
              <w:spacing w:after="0"/>
              <w:rPr>
                <w:sz w:val="19"/>
                <w:szCs w:val="19"/>
                <w:color w:val="auto"/>
              </w:rPr>
            </w:pPr>
          </w:p>
        </w:tc>
        <w:tc>
          <w:tcPr>
            <w:tcW w:w="8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GCA Services is a provider of integrated facility services to educational institutions and commercial</w:t>
            </w:r>
          </w:p>
        </w:tc>
        <w:tc>
          <w:tcPr>
            <w:tcW w:w="0" w:type="dxa"/>
            <w:vAlign w:val="bottom"/>
          </w:tcPr>
          <w:p>
            <w:pPr>
              <w:spacing w:after="0"/>
              <w:rPr>
                <w:sz w:val="1"/>
                <w:szCs w:val="1"/>
                <w:color w:val="auto"/>
              </w:rPr>
            </w:pPr>
          </w:p>
        </w:tc>
      </w:tr>
      <w:tr>
        <w:trPr>
          <w:trHeight w:val="109"/>
        </w:trPr>
        <w:tc>
          <w:tcPr>
            <w:tcW w:w="2980" w:type="dxa"/>
            <w:vAlign w:val="bottom"/>
            <w:tcBorders>
              <w:left w:val="single" w:sz="8" w:color="auto"/>
            </w:tcBorders>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115"/>
        </w:trPr>
        <w:tc>
          <w:tcPr>
            <w:tcW w:w="2980" w:type="dxa"/>
            <w:vAlign w:val="bottom"/>
            <w:tcBorders>
              <w:left w:val="single" w:sz="8" w:color="auto"/>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8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 Management does not review asset information by segment, therefore we do not present assets in this note.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40"/>
          </w:cols>
          <w:pgMar w:left="240" w:top="522" w:right="2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2,992.5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2,949.1</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2,890.3</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790.0</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Emerging Industries Group</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777.0</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296.9</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GCA Services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56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5,453.6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5,144.7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4,897.8</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145.5</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Emerging Industries Group</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GCA Services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3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income from unconsolidated affiliates, net, included in Aviation</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Government Services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Adjustment for tax credits for energy efficient government buildings, included in</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Technical Solutions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6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21"/>
                <w:szCs w:val="21"/>
                <w:b w:val="1"/>
                <w:bCs w:val="1"/>
                <w:color w:val="auto"/>
                <w:vertAlign w:val="superscript"/>
              </w:rPr>
              <w:t>(1)</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Emerging Industries Group</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Technical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GCA Services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Government Services</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8890</wp:posOffset>
            </wp:positionV>
            <wp:extent cx="31984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180" w:hanging="172"/>
        <w:spacing w:after="0" w:line="235" w:lineRule="auto"/>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Excludes amortization related to income from unconsolidated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 Based on the Country in Which the Sale Originated</w:t>
      </w:r>
      <w:r>
        <w:rPr>
          <w:rFonts w:ascii="Arial" w:cs="Arial" w:eastAsia="Arial" w:hAnsi="Arial"/>
          <w:sz w:val="10"/>
          <w:szCs w:val="10"/>
          <w:b w:val="1"/>
          <w:bCs w:val="1"/>
          <w:color w:val="auto"/>
        </w:rPr>
        <w:t>(1)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5,126.8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4,845.3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4,687.2</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5,453.6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5,144.7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4,897.8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1"/>
          <w:szCs w:val="11"/>
          <w:color w:val="auto"/>
        </w:rPr>
      </w:pPr>
      <w:r>
        <w:rPr>
          <w:rFonts w:ascii="Arial" w:cs="Arial" w:eastAsia="Arial" w:hAnsi="Arial"/>
          <w:sz w:val="16"/>
          <w:szCs w:val="16"/>
          <w:color w:val="auto"/>
        </w:rPr>
        <w:t>Substantially all of our long-lived assets are related to United States operations.</w:t>
      </w:r>
    </w:p>
    <w:p>
      <w:pPr>
        <w:sectPr>
          <w:pgSz w:w="11900" w:h="16838" w:orient="portrait"/>
          <w:cols w:equalWidth="0" w:num="1">
            <w:col w:w="11420"/>
          </w:cols>
          <w:pgMar w:left="240" w:top="522"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522"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Fiscal Quarter</w:t>
            </w: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54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Second</w:t>
            </w:r>
          </w:p>
        </w:tc>
        <w:tc>
          <w:tcPr>
            <w:tcW w:w="24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Third</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Fourth</w:t>
            </w:r>
          </w:p>
        </w:tc>
        <w:tc>
          <w:tcPr>
            <w:tcW w:w="1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October 31, 2017</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6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1,326.7</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1,310.5</w:t>
            </w:r>
          </w:p>
        </w:tc>
        <w:tc>
          <w:tcPr>
            <w:tcW w:w="32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1,318.4</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1,497.9</w:t>
            </w:r>
          </w:p>
        </w:tc>
        <w:tc>
          <w:tcPr>
            <w:tcW w:w="160" w:type="dxa"/>
            <w:vAlign w:val="bottom"/>
          </w:tcPr>
          <w:p>
            <w:pPr>
              <w:spacing w:after="0"/>
              <w:rPr>
                <w:sz w:val="22"/>
                <w:szCs w:val="22"/>
                <w:color w:val="auto"/>
              </w:rPr>
            </w:pPr>
          </w:p>
        </w:tc>
      </w:tr>
      <w:tr>
        <w:trPr>
          <w:trHeight w:val="277"/>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145.9</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24"/>
                <w:szCs w:val="24"/>
                <w:color w:val="auto"/>
              </w:rPr>
            </w:pPr>
          </w:p>
        </w:tc>
      </w:tr>
      <w:tr>
        <w:trPr>
          <w:trHeight w:val="26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2"/>
                <w:szCs w:val="22"/>
                <w:color w:val="auto"/>
              </w:rPr>
            </w:pPr>
          </w:p>
        </w:tc>
      </w:tr>
      <w:tr>
        <w:trPr>
          <w:trHeight w:val="270"/>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3"/>
                <w:szCs w:val="23"/>
                <w:color w:val="auto"/>
              </w:rPr>
            </w:pPr>
          </w:p>
        </w:tc>
      </w:tr>
      <w:tr>
        <w:trPr>
          <w:trHeight w:val="297"/>
        </w:trPr>
        <w:tc>
          <w:tcPr>
            <w:tcW w:w="54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78"/>
        </w:trPr>
        <w:tc>
          <w:tcPr>
            <w:tcW w:w="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Basic</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2"/>
                <w:szCs w:val="2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 — Diluted</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32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3"/>
                <w:szCs w:val="23"/>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0.55</w:t>
            </w: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0.58</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78"/>
        </w:trPr>
        <w:tc>
          <w:tcPr>
            <w:tcW w:w="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48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October 31, 2016</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7"/>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1,257.1</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1,296.9</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1,322.3</w:t>
            </w:r>
          </w:p>
        </w:tc>
        <w:tc>
          <w:tcPr>
            <w:tcW w:w="160" w:type="dxa"/>
            <w:vAlign w:val="bottom"/>
          </w:tcPr>
          <w:p>
            <w:pPr>
              <w:spacing w:after="0"/>
              <w:rPr>
                <w:sz w:val="24"/>
                <w:szCs w:val="24"/>
                <w:color w:val="auto"/>
              </w:rPr>
            </w:pPr>
          </w:p>
        </w:tc>
      </w:tr>
      <w:tr>
        <w:trPr>
          <w:trHeight w:val="26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127.1</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129.5</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135.6</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22"/>
                <w:szCs w:val="22"/>
                <w:color w:val="auto"/>
              </w:rPr>
            </w:pPr>
          </w:p>
        </w:tc>
      </w:tr>
      <w:tr>
        <w:trPr>
          <w:trHeight w:val="277"/>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4"/>
                <w:szCs w:val="24"/>
                <w:color w:val="auto"/>
              </w:rPr>
            </w:pPr>
          </w:p>
        </w:tc>
      </w:tr>
      <w:tr>
        <w:trPr>
          <w:trHeight w:val="264"/>
        </w:trPr>
        <w:tc>
          <w:tcPr>
            <w:tcW w:w="54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(loss) from discontinued operations, net of taxes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2"/>
                <w:szCs w:val="22"/>
                <w:color w:val="auto"/>
              </w:rPr>
            </w:pPr>
          </w:p>
        </w:tc>
      </w:tr>
      <w:tr>
        <w:trPr>
          <w:trHeight w:val="257"/>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3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 — Basic</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32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3"/>
                <w:szCs w:val="23"/>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0.55</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4"/>
                <w:szCs w:val="24"/>
                <w:color w:val="auto"/>
              </w:rPr>
            </w:pPr>
          </w:p>
        </w:tc>
      </w:tr>
      <w:tr>
        <w:trPr>
          <w:trHeight w:val="278"/>
        </w:trPr>
        <w:tc>
          <w:tcPr>
            <w:tcW w:w="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Diluted</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2"/>
                <w:szCs w:val="22"/>
                <w:color w:val="auto"/>
              </w:rPr>
            </w:pPr>
          </w:p>
        </w:tc>
      </w:tr>
      <w:tr>
        <w:trPr>
          <w:trHeight w:val="257"/>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54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340" w:type="dxa"/>
            <w:vAlign w:val="bottom"/>
            <w:tcBorders>
              <w:top w:val="single" w:sz="8" w:color="CCEEFF"/>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ind w:left="240" w:hanging="178"/>
        <w:spacing w:after="0"/>
        <w:tabs>
          <w:tab w:leader="none" w:pos="24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Includes transaction expenses of $22.0 million, or $0.38 per diluted share, related to the GCA acquisition.</w:t>
      </w:r>
    </w:p>
    <w:p>
      <w:pPr>
        <w:spacing w:after="0" w:line="109" w:lineRule="exact"/>
        <w:rPr>
          <w:rFonts w:ascii="Arial" w:cs="Arial" w:eastAsia="Arial" w:hAnsi="Arial"/>
          <w:sz w:val="21"/>
          <w:szCs w:val="21"/>
          <w:color w:val="auto"/>
          <w:vertAlign w:val="superscript"/>
        </w:rPr>
      </w:pPr>
    </w:p>
    <w:p>
      <w:pPr>
        <w:ind w:left="240" w:hanging="178"/>
        <w:spacing w:after="0"/>
        <w:tabs>
          <w:tab w:leader="none" w:pos="24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Includes a tax benefit of $19.0 million, or $0.33 per diluted share, related to expiring statutes of limitations.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522" w:right="41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20. SUBSEQUENT EVENTS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of 2017 was approved by Congress on December 20, 2017, and as of the filing of this report, it is awaiting signature by President Donald J. Trump. The law includes significant changes to the U.S. corporate income tax system, including a Federal corporate rate reduction from 35% to 21%, limitations on the deductibility of interest expense and executive compensation, and the transition of U.S. international taxation from a worldwide tax system to a territorial tax system. This change may result in a U.S. tax liability on those earnings which have not previously been repatriated to the U.S., with future foreign earnings potentially not subject to U.S. income taxes when repatriated. The majority of the provisions will have an impact on ABM beginning in fiscal years 2018 and 2019. We are in the process of analyzing the final legislation and determining an estimate of the financial impact.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2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that evaluation, our management concluded that our internal control over financial reporting was effective as of October 31, 2017.</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acquired Mechanical Solutions, Inc. (“MSI”) and OFJ Connections Ltd (“OFJ”) on December 1, 2016 and GCA Holding Corp., the indirect parent company of GCA Services Group (“GCA”), on September 1, 2017. Management excluded these three businesses from its assessment of the effectiveness of the Company’s internal control over financial reporting as of October 31, 2017. These three businesses represented, in aggregate, approximately 5% of the Company’s total consolidated assets (excluding goodwill and intangibles which are included within the scope of the assessment) and 4% of total consolidated revenues, as of and for the year ended October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Report on Internal Controls over Financial Reporting of the Registered Public Accounting Firm</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During 2017, we completed the acquisitions of GCA, MSI, and OFJ. As described above, we excluded these acquisitions from the scope of management’s report on internal controls over financial reporting for the year ended October 31, 2017. We are in the process of integrating these acquisitions into our overall internal control over financial reporting process and will include them in scope for the year ending October 31, 2018. In addition, we are currently migrating many of our financial reporting and other processes to our Enterprise Services Center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initiative. We plan to continue migrating such processes during 2018. Both the process of integrating these acquisitions into our overall internal control over financial reporting process and the migration of financial reporting and other processes into our Enterprise Services Center may result in additions or changes to our internal control over financial reporting.</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fourth fiscal quarter of 2017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22" w:right="239" w:bottom="1440" w:gutter="0" w:footer="0" w:header="0"/>
        </w:sectPr>
      </w:pPr>
    </w:p>
    <w:bookmarkStart w:id="96" w:name="page97"/>
    <w:bookmarkEnd w:id="96"/>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Information about our executive officers is found in Part I, Item 1 of this Form 10-K under “Executive Officers of Registrant.” Additional information required by this item is set forth under the captions “Proposal No. 1—Election of Directors,” “Corporate Governance and Board Matters,” “Audit-Related Matters,” and “Section 16(a) Beneficial Ownership Reporting Compliance” in our Definitive Proxy Statement for our Annual Meeting of Shareholders scheduled to be held on March 7, 2018 (“2018 Proxy Statement”). This information is incorporated by reference into this Annual Report on Form 10-K. Our 2018 Proxy Statement will be filed with the Securities and Exchange Commission within 120 days after the conclusion of our fiscal year ended October 31, 2017.</w:t>
      </w:r>
    </w:p>
    <w:p>
      <w:pPr>
        <w:spacing w:after="0" w:line="155" w:lineRule="exact"/>
        <w:rPr>
          <w:sz w:val="20"/>
          <w:szCs w:val="20"/>
          <w:color w:val="auto"/>
        </w:rPr>
      </w:pPr>
    </w:p>
    <w:p>
      <w:pPr>
        <w:ind w:right="500" w:firstLine="648"/>
        <w:spacing w:after="0" w:line="438" w:lineRule="auto"/>
        <w:rPr>
          <w:sz w:val="20"/>
          <w:szCs w:val="20"/>
          <w:color w:val="auto"/>
        </w:rPr>
      </w:pPr>
      <w:r>
        <w:rPr>
          <w:rFonts w:ascii="Arial" w:cs="Arial" w:eastAsia="Arial" w:hAnsi="Arial"/>
          <w:sz w:val="18"/>
          <w:szCs w:val="18"/>
          <w:color w:val="auto"/>
        </w:rPr>
        <w:t xml:space="preserve">On March 24, 2017, we filed our Annual CEO Certification as required by Section 303A.12 of the NYSE Listed Company Manual. </w:t>
      </w:r>
      <w:r>
        <w:rPr>
          <w:rFonts w:ascii="Arial" w:cs="Arial" w:eastAsia="Arial" w:hAnsi="Arial"/>
          <w:sz w:val="18"/>
          <w:szCs w:val="18"/>
          <w:b w:val="1"/>
          <w:bCs w:val="1"/>
          <w:color w:val="auto"/>
        </w:rPr>
        <w:t>Code of Business Conduct</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adopted and posted on our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 Conduct, which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Information with respect to executive compensation is incorporated by reference from the information set forth under the captions “Director Compensation,” “Executive Compensation,” and “Corporate Governance and Board Matters” in our 2018 Proxy Statement.</w:t>
      </w:r>
    </w:p>
    <w:p>
      <w:pPr>
        <w:spacing w:after="0" w:line="12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Information with respect to security ownership of certain beneficial owners and management and equity compensation plan information and related stockholder matters is incorporated by reference from the information set forth under the captions “Security Ownership of Certain Beneficial Owners,” “Security Ownership of Directors and Executive Officers,” and “Equity Compensation Plan Information” in our 2018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certain relationships and related transactions and with respect to director independence is incorporated by reference from the information set forth under the captions “Certain Relationships and Transactions with Related Persons” and “Corporate Governance and Board Matters” in our 2018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Information with respect to our Audit Committee’s pre-approval policy for audit services and our principal accounting fees and services is incorporated by reference from the information set forth under the caption “Audit-Related Matters” in our 2018 Proxy Statement.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22"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9"/>
        </w:trPr>
        <w:tc>
          <w:tcPr>
            <w:tcW w:w="11200" w:type="dxa"/>
            <w:vAlign w:val="bottom"/>
          </w:tcPr>
          <w:p>
            <w:pPr>
              <w:ind w:left="534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120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0"/>
        </w:trPr>
        <w:tc>
          <w:tcPr>
            <w:tcW w:w="11200" w:type="dxa"/>
            <w:vAlign w:val="bottom"/>
          </w:tcPr>
          <w:p>
            <w:pPr>
              <w:ind w:left="340"/>
              <w:spacing w:after="0"/>
              <w:rPr>
                <w:sz w:val="20"/>
                <w:szCs w:val="20"/>
                <w:color w:val="auto"/>
              </w:rPr>
            </w:pPr>
            <w:r>
              <w:rPr>
                <w:rFonts w:ascii="Arial" w:cs="Arial" w:eastAsia="Arial" w:hAnsi="Arial"/>
                <w:sz w:val="17"/>
                <w:szCs w:val="17"/>
                <w:color w:val="auto"/>
              </w:rPr>
              <w:t>(a) The following documents are filed as part of this report: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0" w:type="dxa"/>
            <w:vAlign w:val="bottom"/>
          </w:tcPr>
          <w:p>
            <w:pPr>
              <w:ind w:left="320"/>
              <w:spacing w:after="0"/>
              <w:rPr>
                <w:sz w:val="20"/>
                <w:szCs w:val="20"/>
                <w:color w:val="auto"/>
              </w:rPr>
            </w:pPr>
            <w:r>
              <w:rPr>
                <w:rFonts w:ascii="Arial" w:cs="Arial" w:eastAsia="Arial" w:hAnsi="Arial"/>
                <w:sz w:val="17"/>
                <w:szCs w:val="17"/>
                <w:color w:val="auto"/>
              </w:rPr>
              <w:t>Report of Independent Registered Public Accounting Firm</w:t>
            </w:r>
          </w:p>
        </w:tc>
        <w:tc>
          <w:tcPr>
            <w:tcW w:w="200" w:type="dxa"/>
            <w:vAlign w:val="bottom"/>
            <w:tcBorders>
              <w:bottom w:val="single" w:sz="8" w:color="0000FF"/>
            </w:tcBorders>
          </w:tcPr>
          <w:p>
            <w:pPr>
              <w:jc w:val="right"/>
              <w:spacing w:after="0"/>
              <w:rPr>
                <w:rFonts w:ascii="Arial" w:cs="Arial" w:eastAsia="Arial" w:hAnsi="Arial"/>
                <w:sz w:val="17"/>
                <w:szCs w:val="17"/>
                <w:color w:val="0000FF"/>
                <w:w w:val="94"/>
              </w:rPr>
            </w:pPr>
            <w:hyperlink w:anchor="page52">
              <w:r>
                <w:rPr>
                  <w:rFonts w:ascii="Arial" w:cs="Arial" w:eastAsia="Arial" w:hAnsi="Arial"/>
                  <w:sz w:val="17"/>
                  <w:szCs w:val="17"/>
                  <w:color w:val="0000FF"/>
                  <w:w w:val="94"/>
                </w:rPr>
                <w:t>49</w:t>
              </w:r>
            </w:hyperlink>
          </w:p>
        </w:tc>
        <w:tc>
          <w:tcPr>
            <w:tcW w:w="20" w:type="dxa"/>
            <w:vAlign w:val="bottom"/>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Balance Sheets at October 31, 2017 and 2016</w:t>
            </w:r>
          </w:p>
        </w:tc>
        <w:tc>
          <w:tcPr>
            <w:tcW w:w="2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50</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11200" w:type="dxa"/>
            <w:vAlign w:val="bottom"/>
            <w:tcBorders>
              <w:top w:val="single" w:sz="8" w:color="CCEEFF"/>
            </w:tcBorders>
          </w:tcPr>
          <w:p>
            <w:pPr>
              <w:ind w:left="320"/>
              <w:spacing w:after="0"/>
              <w:rPr>
                <w:sz w:val="20"/>
                <w:szCs w:val="20"/>
                <w:color w:val="auto"/>
              </w:rPr>
            </w:pPr>
            <w:r>
              <w:rPr>
                <w:rFonts w:ascii="Arial" w:cs="Arial" w:eastAsia="Arial" w:hAnsi="Arial"/>
                <w:sz w:val="17"/>
                <w:szCs w:val="17"/>
                <w:color w:val="auto"/>
              </w:rPr>
              <w:t>Consolidated Statements of Comprehensive Income for the Years Ended October 31, 2017, 2016, and 2015</w:t>
            </w:r>
          </w:p>
        </w:tc>
        <w:tc>
          <w:tcPr>
            <w:tcW w:w="200" w:type="dxa"/>
            <w:vAlign w:val="bottom"/>
            <w:tcBorders>
              <w:top w:val="single" w:sz="8" w:color="CCEEFF"/>
              <w:bottom w:val="single" w:sz="8" w:color="0000FF"/>
            </w:tcBorders>
          </w:tcPr>
          <w:p>
            <w:pPr>
              <w:jc w:val="right"/>
              <w:spacing w:after="0"/>
              <w:rPr>
                <w:rFonts w:ascii="Arial" w:cs="Arial" w:eastAsia="Arial" w:hAnsi="Arial"/>
                <w:sz w:val="17"/>
                <w:szCs w:val="17"/>
                <w:color w:val="0000FF"/>
                <w:w w:val="94"/>
              </w:rPr>
            </w:pPr>
            <w:hyperlink w:anchor="page54">
              <w:r>
                <w:rPr>
                  <w:rFonts w:ascii="Arial" w:cs="Arial" w:eastAsia="Arial" w:hAnsi="Arial"/>
                  <w:sz w:val="17"/>
                  <w:szCs w:val="17"/>
                  <w:color w:val="0000FF"/>
                  <w:w w:val="94"/>
                </w:rPr>
                <w:t>51</w:t>
              </w:r>
            </w:hyperlink>
          </w:p>
        </w:tc>
        <w:tc>
          <w:tcPr>
            <w:tcW w:w="20" w:type="dxa"/>
            <w:vAlign w:val="bottom"/>
            <w:tcBorders>
              <w:top w:val="single" w:sz="8" w:color="CCEEFF"/>
            </w:tcBorders>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Statements of Stockholders’ Equity for the Years Ended October 31, 2017, 2016, and 2015</w:t>
            </w:r>
          </w:p>
        </w:tc>
        <w:tc>
          <w:tcPr>
            <w:tcW w:w="20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94"/>
              </w:rPr>
            </w:pPr>
            <w:hyperlink w:anchor="page55">
              <w:r>
                <w:rPr>
                  <w:rFonts w:ascii="Arial" w:cs="Arial" w:eastAsia="Arial" w:hAnsi="Arial"/>
                  <w:sz w:val="17"/>
                  <w:szCs w:val="17"/>
                  <w:color w:val="0000FF"/>
                  <w:w w:val="94"/>
                </w:rPr>
                <w:t>52</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11200" w:type="dxa"/>
            <w:vAlign w:val="bottom"/>
            <w:tcBorders>
              <w:top w:val="single" w:sz="8" w:color="CCEEFF"/>
            </w:tcBorders>
          </w:tcPr>
          <w:p>
            <w:pPr>
              <w:ind w:left="320"/>
              <w:spacing w:after="0"/>
              <w:rPr>
                <w:sz w:val="20"/>
                <w:szCs w:val="20"/>
                <w:color w:val="auto"/>
              </w:rPr>
            </w:pPr>
            <w:r>
              <w:rPr>
                <w:rFonts w:ascii="Arial" w:cs="Arial" w:eastAsia="Arial" w:hAnsi="Arial"/>
                <w:sz w:val="17"/>
                <w:szCs w:val="17"/>
                <w:color w:val="auto"/>
              </w:rPr>
              <w:t>Consolidated Statements of Cash Flows for the Years Ended October 31, 2017, 2016, and 2015</w:t>
            </w:r>
          </w:p>
        </w:tc>
        <w:tc>
          <w:tcPr>
            <w:tcW w:w="200" w:type="dxa"/>
            <w:vAlign w:val="bottom"/>
            <w:tcBorders>
              <w:top w:val="single" w:sz="8" w:color="CCEEFF"/>
              <w:bottom w:val="single" w:sz="8" w:color="0000FF"/>
            </w:tcBorders>
          </w:tcPr>
          <w:p>
            <w:pPr>
              <w:jc w:val="right"/>
              <w:spacing w:after="0"/>
              <w:rPr>
                <w:rFonts w:ascii="Arial" w:cs="Arial" w:eastAsia="Arial" w:hAnsi="Arial"/>
                <w:sz w:val="17"/>
                <w:szCs w:val="17"/>
                <w:color w:val="0000FF"/>
                <w:w w:val="94"/>
              </w:rPr>
            </w:pPr>
            <w:hyperlink w:anchor="page56">
              <w:r>
                <w:rPr>
                  <w:rFonts w:ascii="Arial" w:cs="Arial" w:eastAsia="Arial" w:hAnsi="Arial"/>
                  <w:sz w:val="17"/>
                  <w:szCs w:val="17"/>
                  <w:color w:val="0000FF"/>
                  <w:w w:val="94"/>
                </w:rPr>
                <w:t>53</w:t>
              </w:r>
            </w:hyperlink>
          </w:p>
        </w:tc>
        <w:tc>
          <w:tcPr>
            <w:tcW w:w="20" w:type="dxa"/>
            <w:vAlign w:val="bottom"/>
            <w:tcBorders>
              <w:top w:val="single" w:sz="8" w:color="CCEEFF"/>
            </w:tcBorders>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1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2"/>
        </w:trPr>
        <w:tc>
          <w:tcPr>
            <w:tcW w:w="11200" w:type="dxa"/>
            <w:vAlign w:val="bottom"/>
          </w:tcPr>
          <w:p>
            <w:pPr>
              <w:ind w:left="4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Financial Statement Schedule</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9"/>
        </w:trPr>
        <w:tc>
          <w:tcPr>
            <w:tcW w:w="11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Valuation and Qualifying Accounts for the Years Ended October 31, 2017, 2016, and 2015</w:t>
            </w:r>
          </w:p>
        </w:tc>
        <w:tc>
          <w:tcPr>
            <w:tcW w:w="20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94"/>
              </w:rPr>
            </w:pPr>
            <w:hyperlink w:anchor="page100">
              <w:r>
                <w:rPr>
                  <w:rFonts w:ascii="Arial" w:cs="Arial" w:eastAsia="Arial" w:hAnsi="Arial"/>
                  <w:sz w:val="17"/>
                  <w:szCs w:val="17"/>
                  <w:color w:val="0000FF"/>
                  <w:w w:val="94"/>
                </w:rPr>
                <w:t>96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84"/>
        </w:trPr>
        <w:tc>
          <w:tcPr>
            <w:tcW w:w="11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11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Exhibits</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0" w:type="dxa"/>
            <w:vAlign w:val="bottom"/>
          </w:tcPr>
          <w:p>
            <w:pPr>
              <w:ind w:left="320"/>
              <w:spacing w:after="0"/>
              <w:rPr>
                <w:sz w:val="20"/>
                <w:szCs w:val="20"/>
                <w:color w:val="auto"/>
              </w:rPr>
            </w:pPr>
            <w:r>
              <w:rPr>
                <w:rFonts w:ascii="Arial" w:cs="Arial" w:eastAsia="Arial" w:hAnsi="Arial"/>
                <w:sz w:val="17"/>
                <w:szCs w:val="17"/>
                <w:color w:val="auto"/>
              </w:rPr>
              <w:t>See Exhibit Index</w:t>
            </w:r>
          </w:p>
        </w:tc>
        <w:tc>
          <w:tcPr>
            <w:tcW w:w="200" w:type="dxa"/>
            <w:vAlign w:val="bottom"/>
            <w:tcBorders>
              <w:bottom w:val="single" w:sz="8" w:color="0000FF"/>
            </w:tcBorders>
          </w:tcPr>
          <w:p>
            <w:pPr>
              <w:jc w:val="right"/>
              <w:spacing w:after="0"/>
              <w:rPr>
                <w:rFonts w:ascii="Arial" w:cs="Arial" w:eastAsia="Arial" w:hAnsi="Arial"/>
                <w:sz w:val="17"/>
                <w:szCs w:val="17"/>
                <w:color w:val="0000FF"/>
                <w:w w:val="94"/>
              </w:rPr>
            </w:pPr>
            <w:hyperlink w:anchor="page101">
              <w:r>
                <w:rPr>
                  <w:rFonts w:ascii="Arial" w:cs="Arial" w:eastAsia="Arial" w:hAnsi="Arial"/>
                  <w:sz w:val="17"/>
                  <w:szCs w:val="17"/>
                  <w:color w:val="0000FF"/>
                  <w:w w:val="94"/>
                </w:rPr>
                <w:t>97</w:t>
              </w:r>
            </w:hyperlink>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900"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w:t>
      </w:r>
    </w:p>
    <w:p>
      <w:pPr>
        <w:spacing w:after="0" w:line="355"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5624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Scott Salmirs</w:t>
      </w:r>
    </w:p>
    <w:p>
      <w:pPr>
        <w:jc w:val="center"/>
        <w:ind w:right="-139"/>
        <w:spacing w:after="0"/>
        <w:rPr>
          <w:sz w:val="20"/>
          <w:szCs w:val="20"/>
          <w:color w:val="auto"/>
        </w:rPr>
      </w:pPr>
      <w:r>
        <w:rPr>
          <w:rFonts w:ascii="Arial" w:cs="Arial" w:eastAsia="Arial" w:hAnsi="Arial"/>
          <w:sz w:val="18"/>
          <w:szCs w:val="18"/>
          <w:color w:val="auto"/>
        </w:rPr>
        <w:t>President and Chief Executive Officer and Director</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22, 2017</w:t>
      </w:r>
    </w:p>
    <w:p>
      <w:pPr>
        <w:spacing w:after="0" w:line="17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304"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562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Scott Salmirs</w:t>
      </w:r>
    </w:p>
    <w:p>
      <w:pPr>
        <w:jc w:val="center"/>
        <w:ind w:right="-139"/>
        <w:spacing w:after="0" w:line="234" w:lineRule="auto"/>
        <w:rPr>
          <w:sz w:val="20"/>
          <w:szCs w:val="20"/>
          <w:color w:val="auto"/>
        </w:rPr>
      </w:pPr>
      <w:r>
        <w:rPr>
          <w:rFonts w:ascii="Arial" w:cs="Arial" w:eastAsia="Arial" w:hAnsi="Arial"/>
          <w:sz w:val="18"/>
          <w:szCs w:val="18"/>
          <w:color w:val="auto"/>
        </w:rPr>
        <w:t>President and Chief Executive Officer and Director</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22, 2017</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 Anthony Scaglione</w:t>
      </w:r>
    </w:p>
    <w:p>
      <w:pPr>
        <w:jc w:val="center"/>
        <w:ind w:right="1200"/>
        <w:spacing w:after="0" w:line="234" w:lineRule="auto"/>
        <w:rPr>
          <w:sz w:val="20"/>
          <w:szCs w:val="20"/>
          <w:color w:val="auto"/>
        </w:rPr>
      </w:pPr>
      <w:r>
        <w:rPr>
          <w:rFonts w:ascii="Arial" w:cs="Arial" w:eastAsia="Arial" w:hAnsi="Arial"/>
          <w:sz w:val="18"/>
          <w:szCs w:val="18"/>
          <w:color w:val="auto"/>
        </w:rPr>
        <w:t>Executive Vice President and Chief</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Financial Officer</w:t>
      </w:r>
    </w:p>
    <w:p>
      <w:pPr>
        <w:spacing w:after="0" w:line="26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(Principal Financial Officer)</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22, 2017</w:t>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1216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Sudhakar Kesavan</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Chairman of the Board and Director</w:t>
      </w:r>
    </w:p>
    <w:p>
      <w:pPr>
        <w:spacing w:after="0" w:line="6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22, 2017</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J. Philip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 Philip Ferguson,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22, 2017</w:t>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Art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1216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Art A. Garcia, Director</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22, 2017</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Lauralee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Lauralee E. Martin,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22, 2017</w:t>
      </w:r>
    </w:p>
    <w:p>
      <w:pPr>
        <w:spacing w:after="0" w:line="33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216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Winifred M. Webb,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22,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Dean A. Chin</w:t>
      </w:r>
    </w:p>
    <w:p>
      <w:pPr>
        <w:jc w:val="center"/>
        <w:ind w:right="420"/>
        <w:spacing w:after="0"/>
        <w:rPr>
          <w:sz w:val="20"/>
          <w:szCs w:val="20"/>
          <w:color w:val="auto"/>
        </w:rPr>
      </w:pPr>
      <w:r>
        <w:rPr>
          <w:rFonts w:ascii="Arial" w:cs="Arial" w:eastAsia="Arial" w:hAnsi="Arial"/>
          <w:sz w:val="17"/>
          <w:szCs w:val="17"/>
          <w:color w:val="auto"/>
        </w:rPr>
        <w:t>Senior Vice President, Chief Accounting Officer, and</w:t>
      </w:r>
    </w:p>
    <w:p>
      <w:pPr>
        <w:spacing w:after="0" w:line="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Corporate Controller</w:t>
      </w:r>
    </w:p>
    <w:p>
      <w:pPr>
        <w:spacing w:after="0" w:line="26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(Principal Accounting Officer)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22, 2017</w:t>
      </w:r>
    </w:p>
    <w:p>
      <w:pPr>
        <w:spacing w:after="0" w:line="3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143510</wp:posOffset>
            </wp:positionV>
            <wp:extent cx="3181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Linda Chavez, Director</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December 22,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Anthony G.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Anthony G. Fernandes, Director</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December 22, 2017</w:t>
      </w:r>
    </w:p>
    <w:p>
      <w:pPr>
        <w:spacing w:after="0" w:line="3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143510</wp:posOffset>
            </wp:positionV>
            <wp:extent cx="3181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Thomas M. Gartland, Director</w:t>
      </w: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December 22, 2017</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Filippo Passerini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31813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Filippo Passerini, Director</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December 22, 2017</w:t>
      </w:r>
    </w:p>
    <w:p>
      <w:pPr>
        <w:spacing w:after="0" w:line="1280" w:lineRule="exact"/>
        <w:rPr>
          <w:sz w:val="20"/>
          <w:szCs w:val="20"/>
          <w:color w:val="auto"/>
        </w:rPr>
      </w:pPr>
    </w:p>
    <w:p>
      <w:pPr>
        <w:sectPr>
          <w:pgSz w:w="11900" w:h="16838" w:orient="portrait"/>
          <w:cols w:equalWidth="0" w:num="2">
            <w:col w:w="6120" w:space="720"/>
            <w:col w:w="4580"/>
          </w:cols>
          <w:pgMar w:left="240" w:top="522" w:right="2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522" w:right="239"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Charges to</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Balance</w:t>
            </w:r>
          </w:p>
        </w:tc>
        <w:tc>
          <w:tcPr>
            <w:tcW w:w="3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Costs and</w:t>
            </w:r>
          </w:p>
        </w:tc>
        <w:tc>
          <w:tcPr>
            <w:tcW w:w="1580" w:type="dxa"/>
            <w:vAlign w:val="bottom"/>
            <w:gridSpan w:val="2"/>
          </w:tcPr>
          <w:p>
            <w:pPr>
              <w:jc w:val="center"/>
              <w:ind w:right="120"/>
              <w:spacing w:after="0" w:line="189" w:lineRule="exact"/>
              <w:rPr>
                <w:sz w:val="20"/>
                <w:szCs w:val="20"/>
                <w:color w:val="auto"/>
              </w:rPr>
            </w:pPr>
            <w:r>
              <w:rPr>
                <w:rFonts w:ascii="Arial" w:cs="Arial" w:eastAsia="Arial" w:hAnsi="Arial"/>
                <w:sz w:val="16"/>
                <w:szCs w:val="16"/>
                <w:b w:val="1"/>
                <w:bCs w:val="1"/>
                <w:color w:val="auto"/>
                <w:w w:val="97"/>
              </w:rPr>
              <w:t>Write-offs</w:t>
            </w:r>
            <w:r>
              <w:rPr>
                <w:rFonts w:ascii="Arial" w:cs="Arial" w:eastAsia="Arial" w:hAnsi="Arial"/>
                <w:sz w:val="21"/>
                <w:szCs w:val="21"/>
                <w:b w:val="1"/>
                <w:bCs w:val="1"/>
                <w:color w:val="auto"/>
                <w:w w:val="97"/>
                <w:vertAlign w:val="superscript"/>
              </w:rPr>
              <w:t>(1)</w:t>
            </w:r>
            <w:r>
              <w:rPr>
                <w:rFonts w:ascii="Arial" w:cs="Arial" w:eastAsia="Arial" w:hAnsi="Arial"/>
                <w:sz w:val="16"/>
                <w:szCs w:val="16"/>
                <w:b w:val="1"/>
                <w:bCs w:val="1"/>
                <w:color w:val="auto"/>
                <w:w w:val="97"/>
              </w:rPr>
              <w:t>/</w:t>
            </w:r>
          </w:p>
        </w:tc>
        <w:tc>
          <w:tcPr>
            <w:tcW w:w="20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Balance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Beginning of Year</w:t>
            </w:r>
          </w:p>
        </w:tc>
        <w:tc>
          <w:tcPr>
            <w:tcW w:w="3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Expenses</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Allowance Taken</w:t>
            </w:r>
          </w:p>
        </w:tc>
        <w:tc>
          <w:tcPr>
            <w:tcW w:w="2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End of Year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Accounts receivable and sales allowances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580" w:type="dxa"/>
            <w:vAlign w:val="bottom"/>
            <w:gridSpan w:val="3"/>
            <w:vMerge w:val="continue"/>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6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9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60" w:type="dxa"/>
            <w:vAlign w:val="bottom"/>
            <w:gridSpan w:val="2"/>
            <w:vMerge w:val="continue"/>
            <w:shd w:val="clear" w:color="auto" w:fill="CCEEFF"/>
          </w:tcPr>
          <w:p>
            <w:pPr>
              <w:spacing w:after="0"/>
              <w:rPr>
                <w:sz w:val="7"/>
                <w:szCs w:val="7"/>
                <w:color w:val="auto"/>
              </w:rPr>
            </w:pPr>
          </w:p>
        </w:tc>
        <w:tc>
          <w:tcPr>
            <w:tcW w:w="39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60" w:type="dxa"/>
            <w:vAlign w:val="bottom"/>
            <w:gridSpan w:val="2"/>
            <w:vMerge w:val="restart"/>
          </w:tcPr>
          <w:p>
            <w:pPr>
              <w:ind w:left="40"/>
              <w:spacing w:after="0"/>
              <w:rPr>
                <w:sz w:val="20"/>
                <w:szCs w:val="20"/>
                <w:color w:val="auto"/>
              </w:rPr>
            </w:pPr>
            <w:r>
              <w:rPr>
                <w:rFonts w:ascii="Arial" w:cs="Arial" w:eastAsia="Arial" w:hAnsi="Arial"/>
                <w:sz w:val="16"/>
                <w:szCs w:val="16"/>
                <w:color w:val="auto"/>
              </w:rPr>
              <w:t>2016</w:t>
            </w: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8.6</w:t>
            </w:r>
          </w:p>
        </w:tc>
        <w:tc>
          <w:tcPr>
            <w:tcW w:w="360" w:type="dxa"/>
            <w:vAlign w:val="bottom"/>
          </w:tcPr>
          <w:p>
            <w:pPr>
              <w:spacing w:after="0"/>
              <w:rPr>
                <w:sz w:val="15"/>
                <w:szCs w:val="15"/>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18.1</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0"/>
        </w:trPr>
        <w:tc>
          <w:tcPr>
            <w:tcW w:w="660" w:type="dxa"/>
            <w:vAlign w:val="bottom"/>
            <w:gridSpan w:val="2"/>
            <w:vMerge w:val="continue"/>
          </w:tcPr>
          <w:p>
            <w:pPr>
              <w:spacing w:after="0"/>
              <w:rPr>
                <w:sz w:val="6"/>
                <w:szCs w:val="6"/>
                <w:color w:val="auto"/>
              </w:rPr>
            </w:pPr>
          </w:p>
        </w:tc>
        <w:tc>
          <w:tcPr>
            <w:tcW w:w="3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3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Write-offs are net of recoveries.</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Includes amounts that were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819"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60" w:type="dxa"/>
            <w:vAlign w:val="bottom"/>
            <w:gridSpan w:val="34"/>
          </w:tcPr>
          <w:p>
            <w:pPr>
              <w:ind w:left="100"/>
              <w:spacing w:after="0"/>
              <w:rPr>
                <w:sz w:val="20"/>
                <w:szCs w:val="20"/>
                <w:color w:val="auto"/>
              </w:rPr>
            </w:pPr>
            <w:r>
              <w:rPr>
                <w:rFonts w:ascii="Arial" w:cs="Arial" w:eastAsia="Arial" w:hAnsi="Arial"/>
                <w:sz w:val="18"/>
                <w:szCs w:val="18"/>
                <w:b w:val="1"/>
                <w:bCs w:val="1"/>
                <w:color w:val="auto"/>
              </w:rPr>
              <w:t>Exhibit Description</w:t>
            </w:r>
          </w:p>
        </w:tc>
      </w:tr>
      <w:tr>
        <w:trPr>
          <w:trHeight w:val="270"/>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1"/>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1160" w:type="dxa"/>
            <w:vAlign w:val="bottom"/>
          </w:tcPr>
          <w:p>
            <w:pPr>
              <w:ind w:left="4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18"/>
          </w:tcPr>
          <w:p>
            <w:pPr>
              <w:spacing w:after="0" w:line="19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Agreement and Plan of Merger, dated July 11, 2017,</w:t>
              </w:r>
            </w:hyperlink>
          </w:p>
        </w:tc>
        <w:tc>
          <w:tcPr>
            <w:tcW w:w="460" w:type="dxa"/>
            <w:vAlign w:val="bottom"/>
            <w:gridSpan w:val="17"/>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among GCA Holding Corp., ABM Industries Incorporated,</w:t>
              </w:r>
            </w:hyperlink>
          </w:p>
        </w:tc>
        <w:tc>
          <w:tcPr>
            <w:tcW w:w="80" w:type="dxa"/>
            <w:vAlign w:val="bottom"/>
            <w:gridSpan w:val="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35"/>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Grade Sub One, Inc., Grade Sub Two, LLC and Thomas</w:t>
              </w:r>
            </w:hyperlink>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H. Lee Equity Fund VII, L.P. and Broad Street Principal</w:t>
              </w:r>
            </w:hyperlink>
          </w:p>
        </w:tc>
        <w:tc>
          <w:tcPr>
            <w:tcW w:w="100" w:type="dxa"/>
            <w:vAlign w:val="bottom"/>
            <w:tcBorders>
              <w:top w:val="single" w:sz="8" w:color="0000FF"/>
            </w:tcBorders>
            <w:gridSpan w:val="4"/>
          </w:tcPr>
          <w:p>
            <w:pPr>
              <w:spacing w:after="0"/>
              <w:rPr>
                <w:sz w:val="15"/>
                <w:szCs w:val="15"/>
                <w:color w:val="auto"/>
              </w:rPr>
            </w:pPr>
          </w:p>
        </w:tc>
        <w:tc>
          <w:tcPr>
            <w:tcW w:w="18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Investments Holdings, L.P., acting jointly as the</w:t>
              </w:r>
            </w:hyperlink>
          </w:p>
        </w:tc>
        <w:tc>
          <w:tcPr>
            <w:tcW w:w="900" w:type="dxa"/>
            <w:vAlign w:val="bottom"/>
            <w:gridSpan w:val="2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Securityholder Representative</w:t>
              </w:r>
            </w:hyperlink>
          </w:p>
        </w:tc>
        <w:tc>
          <w:tcPr>
            <w:tcW w:w="2240" w:type="dxa"/>
            <w:vAlign w:val="bottom"/>
            <w:gridSpan w:val="29"/>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Borders>
              <w:bottom w:val="single" w:sz="8" w:color="0000FF"/>
            </w:tcBorders>
            <w:gridSpan w:val="24"/>
          </w:tcPr>
          <w:p>
            <w:pPr>
              <w:spacing w:after="0"/>
              <w:rPr>
                <w:rFonts w:ascii="Arial" w:cs="Arial" w:eastAsia="Arial" w:hAnsi="Arial"/>
                <w:sz w:val="18"/>
                <w:szCs w:val="18"/>
                <w:color w:val="0000FF"/>
                <w:w w:val="99"/>
              </w:rPr>
            </w:pPr>
            <w:hyperlink r:id="rId82">
              <w:r>
                <w:rPr>
                  <w:rFonts w:ascii="Arial" w:cs="Arial" w:eastAsia="Arial" w:hAnsi="Arial"/>
                  <w:sz w:val="18"/>
                  <w:szCs w:val="18"/>
                  <w:color w:val="0000FF"/>
                  <w:w w:val="99"/>
                </w:rPr>
                <w:t>Restated Certificate of Incorporation of ABM Industries</w:t>
              </w:r>
            </w:hyperlink>
          </w:p>
        </w:tc>
        <w:tc>
          <w:tcPr>
            <w:tcW w:w="300" w:type="dxa"/>
            <w:vAlign w:val="bottom"/>
            <w:gridSpan w:val="11"/>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Incorporated, dated November 25, 2003</w:t>
              </w:r>
            </w:hyperlink>
          </w:p>
        </w:tc>
        <w:tc>
          <w:tcPr>
            <w:tcW w:w="1460" w:type="dxa"/>
            <w:vAlign w:val="bottom"/>
            <w:gridSpan w:val="27"/>
          </w:tcPr>
          <w:p>
            <w:pPr>
              <w:spacing w:after="0"/>
              <w:rPr>
                <w:sz w:val="15"/>
                <w:szCs w:val="15"/>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35"/>
          </w:tcPr>
          <w:p>
            <w:pPr>
              <w:spacing w:after="0"/>
              <w:rPr>
                <w:rFonts w:ascii="Arial" w:cs="Arial" w:eastAsia="Arial" w:hAnsi="Arial"/>
                <w:sz w:val="18"/>
                <w:szCs w:val="18"/>
                <w:color w:val="0000FF"/>
              </w:rPr>
            </w:pPr>
            <w:hyperlink r:id="rId83">
              <w:r>
                <w:rPr>
                  <w:rFonts w:ascii="Arial" w:cs="Arial" w:eastAsia="Arial" w:hAnsi="Arial"/>
                  <w:sz w:val="18"/>
                  <w:szCs w:val="18"/>
                  <w:color w:val="0000FF"/>
                </w:rPr>
                <w:t>Bylaws, as amended January 24, 2017</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Borders>
              <w:bottom w:val="single" w:sz="8" w:color="0000FF"/>
            </w:tcBorders>
            <w:gridSpan w:val="20"/>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Shareholders’ Agreement, dated September 1, 2017,</w:t>
              </w:r>
            </w:hyperlink>
          </w:p>
        </w:tc>
        <w:tc>
          <w:tcPr>
            <w:tcW w:w="420" w:type="dxa"/>
            <w:vAlign w:val="bottom"/>
            <w:gridSpan w:val="15"/>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among ABM Industries Incorporated, Thomas H. Lee</w:t>
              </w:r>
            </w:hyperlink>
          </w:p>
        </w:tc>
        <w:tc>
          <w:tcPr>
            <w:tcW w:w="440" w:type="dxa"/>
            <w:vAlign w:val="bottom"/>
            <w:gridSpan w:val="1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Equity Fund VII, L.P., Thomas H. Lee Parallel Fund VII,</w:t>
              </w:r>
            </w:hyperlink>
          </w:p>
        </w:tc>
        <w:tc>
          <w:tcPr>
            <w:tcW w:w="26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bottom w:val="single" w:sz="8" w:color="0000FF"/>
            </w:tcBorders>
            <w:gridSpan w:val="23"/>
          </w:tcPr>
          <w:p>
            <w:pPr>
              <w:spacing w:after="0" w:line="182" w:lineRule="exact"/>
              <w:rPr>
                <w:rFonts w:ascii="Arial" w:cs="Arial" w:eastAsia="Arial" w:hAnsi="Arial"/>
                <w:sz w:val="18"/>
                <w:szCs w:val="18"/>
                <w:color w:val="0000FF"/>
                <w:w w:val="98"/>
              </w:rPr>
            </w:pPr>
            <w:hyperlink r:id="rId84">
              <w:r>
                <w:rPr>
                  <w:rFonts w:ascii="Arial" w:cs="Arial" w:eastAsia="Arial" w:hAnsi="Arial"/>
                  <w:sz w:val="18"/>
                  <w:szCs w:val="18"/>
                  <w:color w:val="0000FF"/>
                  <w:w w:val="98"/>
                </w:rPr>
                <w:t>L.P., Thomas H. Lee Parallel (Cayman) Fund VII, L.P.,</w:t>
              </w:r>
            </w:hyperlink>
          </w:p>
        </w:tc>
        <w:tc>
          <w:tcPr>
            <w:tcW w:w="360" w:type="dxa"/>
            <w:vAlign w:val="bottom"/>
            <w:gridSpan w:val="1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35"/>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THL Executive Fund VII, L.P., THL Fund VII Coinvestment</w:t>
              </w:r>
            </w:hyperlink>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Partners, L.P., Broad Street Principal Investments</w:t>
              </w:r>
            </w:hyperlink>
          </w:p>
        </w:tc>
        <w:tc>
          <w:tcPr>
            <w:tcW w:w="660" w:type="dxa"/>
            <w:vAlign w:val="bottom"/>
            <w:tcBorders>
              <w:top w:val="single" w:sz="8" w:color="0000FF"/>
            </w:tcBorders>
            <w:gridSpan w:val="20"/>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tcBorders>
              <w:bottom w:val="single" w:sz="8" w:color="0000FF"/>
            </w:tcBorders>
            <w:gridSpan w:val="31"/>
          </w:tcPr>
          <w:p>
            <w:pPr>
              <w:spacing w:after="0" w:line="182" w:lineRule="exact"/>
              <w:rPr>
                <w:rFonts w:ascii="Arial" w:cs="Arial" w:eastAsia="Arial" w:hAnsi="Arial"/>
                <w:sz w:val="18"/>
                <w:szCs w:val="18"/>
                <w:color w:val="0000FF"/>
                <w:w w:val="98"/>
              </w:rPr>
            </w:pPr>
            <w:hyperlink r:id="rId84">
              <w:r>
                <w:rPr>
                  <w:rFonts w:ascii="Arial" w:cs="Arial" w:eastAsia="Arial" w:hAnsi="Arial"/>
                  <w:sz w:val="18"/>
                  <w:szCs w:val="18"/>
                  <w:color w:val="0000FF"/>
                  <w:w w:val="98"/>
                </w:rPr>
                <w:t>Holdings, L.P., Bridge Street 2015, L.P., MBD 2015, L.P.,</w:t>
              </w:r>
            </w:hyperlink>
          </w:p>
        </w:tc>
        <w:tc>
          <w:tcPr>
            <w:tcW w:w="14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35"/>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Stone Street 2015, L.P., 2015 Employee Offshore</w:t>
              </w:r>
            </w:hyperlink>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8"/>
              </w:rPr>
            </w:pPr>
            <w:hyperlink r:id="rId84">
              <w:r>
                <w:rPr>
                  <w:rFonts w:ascii="Arial" w:cs="Arial" w:eastAsia="Arial" w:hAnsi="Arial"/>
                  <w:sz w:val="18"/>
                  <w:szCs w:val="18"/>
                  <w:color w:val="0000FF"/>
                  <w:w w:val="98"/>
                </w:rPr>
                <w:t>Aggregator, L.P., and Goldman Sachs &amp; Co. LLC</w:t>
              </w:r>
            </w:hyperlink>
          </w:p>
        </w:tc>
        <w:tc>
          <w:tcPr>
            <w:tcW w:w="40" w:type="dxa"/>
            <w:vAlign w:val="bottom"/>
            <w:tcBorders>
              <w:top w:val="single" w:sz="8" w:color="0000FF"/>
            </w:tcBorders>
          </w:tcPr>
          <w:p>
            <w:pPr>
              <w:spacing w:after="0"/>
              <w:rPr>
                <w:sz w:val="15"/>
                <w:szCs w:val="15"/>
                <w:color w:val="auto"/>
              </w:rPr>
            </w:pPr>
          </w:p>
        </w:tc>
        <w:tc>
          <w:tcPr>
            <w:tcW w:w="720" w:type="dxa"/>
            <w:vAlign w:val="bottom"/>
            <w:gridSpan w:val="22"/>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35"/>
          </w:tcPr>
          <w:p>
            <w:pPr>
              <w:spacing w:after="0"/>
              <w:rPr>
                <w:rFonts w:ascii="Arial" w:cs="Arial" w:eastAsia="Arial" w:hAnsi="Arial"/>
                <w:sz w:val="18"/>
                <w:szCs w:val="18"/>
                <w:color w:val="0000FF"/>
              </w:rPr>
            </w:pPr>
            <w:hyperlink r:id="rId85">
              <w:r>
                <w:rPr>
                  <w:rFonts w:ascii="Arial" w:cs="Arial" w:eastAsia="Arial" w:hAnsi="Arial"/>
                  <w:sz w:val="18"/>
                  <w:szCs w:val="18"/>
                  <w:color w:val="0000FF"/>
                </w:rPr>
                <w:t>Credit Agreement, dated as of September 1, 2017, by and</w:t>
              </w:r>
            </w:hyperlink>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among ABM Industries Incorporated, a Delaware</w:t>
              </w:r>
            </w:hyperlink>
          </w:p>
        </w:tc>
        <w:tc>
          <w:tcPr>
            <w:tcW w:w="720" w:type="dxa"/>
            <w:vAlign w:val="bottom"/>
            <w:tcBorders>
              <w:top w:val="single" w:sz="8" w:color="0000FF"/>
            </w:tcBorders>
            <w:gridSpan w:val="22"/>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corporation, certain subsidiaries of ABM Industries</w:t>
              </w:r>
            </w:hyperlink>
          </w:p>
        </w:tc>
        <w:tc>
          <w:tcPr>
            <w:tcW w:w="640" w:type="dxa"/>
            <w:vAlign w:val="bottom"/>
            <w:gridSpan w:val="20"/>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Incorporated from time to time party thereto, the lenders</w:t>
              </w:r>
            </w:hyperlink>
          </w:p>
        </w:tc>
        <w:tc>
          <w:tcPr>
            <w:tcW w:w="200" w:type="dxa"/>
            <w:vAlign w:val="bottom"/>
            <w:gridSpan w:val="7"/>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from time to time party theretro and Bank of America,</w:t>
              </w:r>
            </w:hyperlink>
          </w:p>
        </w:tc>
        <w:tc>
          <w:tcPr>
            <w:tcW w:w="420" w:type="dxa"/>
            <w:vAlign w:val="bottom"/>
            <w:gridSpan w:val="1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35"/>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N.A., as administrative agent</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105">
              <w:r>
                <w:rPr>
                  <w:rFonts w:ascii="Arial" w:cs="Arial" w:eastAsia="Arial" w:hAnsi="Arial"/>
                  <w:sz w:val="18"/>
                  <w:szCs w:val="18"/>
                  <w:color w:val="0000FF"/>
                  <w:w w:val="99"/>
                </w:rPr>
                <w:t>Letter Agreement, dated November 6, 2017, between</w:t>
              </w:r>
            </w:hyperlink>
          </w:p>
        </w:tc>
        <w:tc>
          <w:tcPr>
            <w:tcW w:w="400" w:type="dxa"/>
            <w:vAlign w:val="bottom"/>
            <w:gridSpan w:val="14"/>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ABM Industries Incorporated and Bank of America, N.A.,</w:t>
              </w:r>
            </w:hyperlink>
          </w:p>
        </w:tc>
        <w:tc>
          <w:tcPr>
            <w:tcW w:w="14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as Swingline Lender with respect to the Credit Agreement</w:t>
              </w:r>
            </w:hyperlink>
          </w:p>
        </w:tc>
        <w:tc>
          <w:tcPr>
            <w:tcW w:w="6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dated as of September 1, 2017, among ABM Industries</w:t>
              </w:r>
            </w:hyperlink>
          </w:p>
        </w:tc>
        <w:tc>
          <w:tcPr>
            <w:tcW w:w="26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35"/>
          </w:tcPr>
          <w:p>
            <w:pPr>
              <w:spacing w:after="0" w:line="182" w:lineRule="exact"/>
              <w:rPr>
                <w:rFonts w:ascii="Arial" w:cs="Arial" w:eastAsia="Arial" w:hAnsi="Arial"/>
                <w:sz w:val="18"/>
                <w:szCs w:val="18"/>
                <w:color w:val="0000FF"/>
              </w:rPr>
            </w:pPr>
            <w:hyperlink w:anchor="page105">
              <w:r>
                <w:rPr>
                  <w:rFonts w:ascii="Arial" w:cs="Arial" w:eastAsia="Arial" w:hAnsi="Arial"/>
                  <w:sz w:val="18"/>
                  <w:szCs w:val="18"/>
                  <w:color w:val="0000FF"/>
                </w:rPr>
                <w:t>Incorporated, the Designated Borrowers party thereto, the</w:t>
              </w:r>
            </w:hyperlink>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Lenders party thereto and Bank of America, N.A., as</w:t>
              </w:r>
            </w:hyperlink>
          </w:p>
        </w:tc>
        <w:tc>
          <w:tcPr>
            <w:tcW w:w="420" w:type="dxa"/>
            <w:vAlign w:val="bottom"/>
            <w:tcBorders>
              <w:top w:val="single" w:sz="8" w:color="0000FF"/>
            </w:tcBorders>
            <w:gridSpan w:val="16"/>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administrative agent</w:t>
              </w:r>
            </w:hyperlink>
          </w:p>
        </w:tc>
        <w:tc>
          <w:tcPr>
            <w:tcW w:w="3040" w:type="dxa"/>
            <w:vAlign w:val="bottom"/>
            <w:gridSpan w:val="33"/>
          </w:tcPr>
          <w:p>
            <w:pPr>
              <w:spacing w:after="0"/>
              <w:rPr>
                <w:sz w:val="15"/>
                <w:szCs w:val="15"/>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35"/>
          </w:tcPr>
          <w:p>
            <w:pPr>
              <w:spacing w:after="0"/>
              <w:rPr>
                <w:rFonts w:ascii="Arial" w:cs="Arial" w:eastAsia="Arial" w:hAnsi="Arial"/>
                <w:sz w:val="18"/>
                <w:szCs w:val="18"/>
                <w:color w:val="0000FF"/>
              </w:rPr>
            </w:pPr>
            <w:hyperlink r:id="rId86">
              <w:r>
                <w:rPr>
                  <w:rFonts w:ascii="Arial" w:cs="Arial" w:eastAsia="Arial" w:hAnsi="Arial"/>
                  <w:sz w:val="18"/>
                  <w:szCs w:val="18"/>
                  <w:color w:val="0000FF"/>
                </w:rPr>
                <w:t>ABM Executive Retiree Healthcare and Dental Plan</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tcBorders>
              <w:bottom w:val="single" w:sz="8" w:color="0000FF"/>
            </w:tcBorders>
            <w:gridSpan w:val="25"/>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Director Retirement Plan Distribution Election Form, as</w:t>
              </w:r>
            </w:hyperlink>
          </w:p>
        </w:tc>
        <w:tc>
          <w:tcPr>
            <w:tcW w:w="280" w:type="dxa"/>
            <w:vAlign w:val="bottom"/>
            <w:gridSpan w:val="10"/>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revised June 16, 2006</w:t>
              </w:r>
            </w:hyperlink>
          </w:p>
        </w:tc>
        <w:tc>
          <w:tcPr>
            <w:tcW w:w="2880" w:type="dxa"/>
            <w:vAlign w:val="bottom"/>
            <w:gridSpan w:val="31"/>
          </w:tcPr>
          <w:p>
            <w:pPr>
              <w:spacing w:after="0"/>
              <w:rPr>
                <w:sz w:val="15"/>
                <w:szCs w:val="15"/>
                <w:color w:val="auto"/>
              </w:rPr>
            </w:pPr>
          </w:p>
        </w:tc>
      </w:tr>
      <w:tr>
        <w:trPr>
          <w:trHeight w:val="439"/>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35"/>
          </w:tcPr>
          <w:p>
            <w:pPr>
              <w:spacing w:after="0"/>
              <w:rPr>
                <w:rFonts w:ascii="Arial" w:cs="Arial" w:eastAsia="Arial" w:hAnsi="Arial"/>
                <w:sz w:val="18"/>
                <w:szCs w:val="18"/>
                <w:color w:val="0000FF"/>
              </w:rPr>
            </w:pPr>
            <w:hyperlink r:id="rId88">
              <w:r>
                <w:rPr>
                  <w:rFonts w:ascii="Arial" w:cs="Arial" w:eastAsia="Arial" w:hAnsi="Arial"/>
                  <w:sz w:val="18"/>
                  <w:szCs w:val="18"/>
                  <w:color w:val="0000FF"/>
                </w:rPr>
                <w:t>Deferred Compensation Plan for Non-Employee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Directors, as amended and restated December 13, 2010</w:t>
              </w:r>
            </w:hyperlink>
          </w:p>
        </w:tc>
        <w:tc>
          <w:tcPr>
            <w:tcW w:w="160" w:type="dxa"/>
            <w:vAlign w:val="bottom"/>
            <w:gridSpan w:val="5"/>
          </w:tcPr>
          <w:p>
            <w:pPr>
              <w:spacing w:after="0"/>
              <w:rPr>
                <w:sz w:val="15"/>
                <w:szCs w:val="15"/>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35"/>
          </w:tcPr>
          <w:p>
            <w:pPr>
              <w:spacing w:after="0"/>
              <w:rPr>
                <w:rFonts w:ascii="Arial" w:cs="Arial" w:eastAsia="Arial" w:hAnsi="Arial"/>
                <w:sz w:val="18"/>
                <w:szCs w:val="18"/>
                <w:color w:val="0000FF"/>
              </w:rPr>
            </w:pPr>
            <w:hyperlink r:id="rId89">
              <w:r>
                <w:rPr>
                  <w:rFonts w:ascii="Arial" w:cs="Arial" w:eastAsia="Arial" w:hAnsi="Arial"/>
                  <w:sz w:val="18"/>
                  <w:szCs w:val="18"/>
                  <w:color w:val="0000FF"/>
                </w:rPr>
                <w:t>Form of Director’s Indemnification Agreement</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35"/>
          </w:tcPr>
          <w:p>
            <w:pPr>
              <w:spacing w:after="0"/>
              <w:rPr>
                <w:rFonts w:ascii="Arial" w:cs="Arial" w:eastAsia="Arial" w:hAnsi="Arial"/>
                <w:sz w:val="18"/>
                <w:szCs w:val="18"/>
                <w:color w:val="0000FF"/>
              </w:rPr>
            </w:pPr>
            <w:hyperlink r:id="rId90">
              <w:r>
                <w:rPr>
                  <w:rFonts w:ascii="Arial" w:cs="Arial" w:eastAsia="Arial" w:hAnsi="Arial"/>
                  <w:sz w:val="18"/>
                  <w:szCs w:val="18"/>
                  <w:color w:val="0000FF"/>
                </w:rPr>
                <w:t>ABM Executive Officer Incentive Plan, as amended and</w:t>
              </w:r>
            </w:hyperlink>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restated June 3, 2008</w:t>
              </w:r>
            </w:hyperlink>
          </w:p>
        </w:tc>
        <w:tc>
          <w:tcPr>
            <w:tcW w:w="240" w:type="dxa"/>
            <w:vAlign w:val="bottom"/>
            <w:gridSpan w:val="8"/>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540" w:type="dxa"/>
            <w:vAlign w:val="bottom"/>
            <w:gridSpan w:val="19"/>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Borders>
              <w:bottom w:val="single" w:sz="8" w:color="0000FF"/>
            </w:tcBorders>
            <w:gridSpan w:val="22"/>
          </w:tcPr>
          <w:p>
            <w:pPr>
              <w:spacing w:after="0"/>
              <w:rPr>
                <w:rFonts w:ascii="Arial" w:cs="Arial" w:eastAsia="Arial" w:hAnsi="Arial"/>
                <w:sz w:val="18"/>
                <w:szCs w:val="18"/>
                <w:color w:val="0000FF"/>
                <w:w w:val="99"/>
              </w:rPr>
            </w:pPr>
            <w:hyperlink r:id="rId91">
              <w:r>
                <w:rPr>
                  <w:rFonts w:ascii="Arial" w:cs="Arial" w:eastAsia="Arial" w:hAnsi="Arial"/>
                  <w:sz w:val="18"/>
                  <w:szCs w:val="18"/>
                  <w:color w:val="0000FF"/>
                  <w:w w:val="99"/>
                </w:rPr>
                <w:t>2006 Equity Incentive Plan, as amended and restated</w:t>
              </w:r>
            </w:hyperlink>
          </w:p>
        </w:tc>
        <w:tc>
          <w:tcPr>
            <w:tcW w:w="380" w:type="dxa"/>
            <w:vAlign w:val="bottom"/>
            <w:gridSpan w:val="13"/>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October 20, 2016</w:t>
              </w:r>
            </w:hyperlink>
          </w:p>
        </w:tc>
        <w:tc>
          <w:tcPr>
            <w:tcW w:w="3260" w:type="dxa"/>
            <w:vAlign w:val="bottom"/>
            <w:gridSpan w:val="34"/>
          </w:tcPr>
          <w:p>
            <w:pPr>
              <w:spacing w:after="0"/>
              <w:rPr>
                <w:sz w:val="15"/>
                <w:szCs w:val="15"/>
                <w:color w:val="auto"/>
              </w:rPr>
            </w:pPr>
          </w:p>
        </w:tc>
      </w:tr>
      <w:tr>
        <w:trPr>
          <w:trHeight w:val="655"/>
        </w:trPr>
        <w:tc>
          <w:tcPr>
            <w:tcW w:w="1160" w:type="dxa"/>
            <w:vAlign w:val="bottom"/>
          </w:tcPr>
          <w:p>
            <w:pPr>
              <w:spacing w:after="0"/>
              <w:rPr>
                <w:sz w:val="24"/>
                <w:szCs w:val="24"/>
                <w:color w:val="auto"/>
              </w:rPr>
            </w:pPr>
          </w:p>
        </w:tc>
        <w:tc>
          <w:tcPr>
            <w:tcW w:w="4720" w:type="dxa"/>
            <w:vAlign w:val="bottom"/>
            <w:gridSpan w:val="34"/>
          </w:tcPr>
          <w:p>
            <w:pPr>
              <w:jc w:val="right"/>
              <w:ind w:right="6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3387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Form</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File No.</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Exhibit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27"/>
        </w:trPr>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001-08929</w:t>
            </w: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July 14,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80" w:type="dxa"/>
            <w:vAlign w:val="bottom"/>
          </w:tcPr>
          <w:p>
            <w:pPr>
              <w:jc w:val="center"/>
              <w:ind w:left="270"/>
              <w:spacing w:after="0"/>
              <w:rPr>
                <w:sz w:val="20"/>
                <w:szCs w:val="20"/>
                <w:color w:val="auto"/>
              </w:rPr>
            </w:pPr>
            <w:r>
              <w:rPr>
                <w:rFonts w:ascii="Arial" w:cs="Arial" w:eastAsia="Arial" w:hAnsi="Arial"/>
                <w:sz w:val="18"/>
                <w:szCs w:val="18"/>
                <w:color w:val="auto"/>
              </w:rPr>
              <w:t>January 14, 2004</w:t>
            </w:r>
          </w:p>
        </w:tc>
      </w:tr>
      <w:tr>
        <w:trPr>
          <w:trHeight w:val="459"/>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80" w:type="dxa"/>
            <w:vAlign w:val="bottom"/>
          </w:tcPr>
          <w:p>
            <w:pPr>
              <w:jc w:val="center"/>
              <w:ind w:left="270"/>
              <w:spacing w:after="0"/>
              <w:rPr>
                <w:sz w:val="20"/>
                <w:szCs w:val="20"/>
                <w:color w:val="auto"/>
              </w:rPr>
            </w:pPr>
            <w:r>
              <w:rPr>
                <w:rFonts w:ascii="Arial" w:cs="Arial" w:eastAsia="Arial" w:hAnsi="Arial"/>
                <w:sz w:val="18"/>
                <w:szCs w:val="18"/>
                <w:color w:val="auto"/>
              </w:rPr>
              <w:t>January 26, 2017</w:t>
            </w:r>
          </w:p>
        </w:tc>
      </w:tr>
      <w:tr>
        <w:trPr>
          <w:trHeight w:val="27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980" w:type="dxa"/>
            <w:vAlign w:val="bottom"/>
          </w:tcPr>
          <w:p>
            <w:pPr>
              <w:jc w:val="center"/>
              <w:spacing w:after="0"/>
              <w:rPr>
                <w:sz w:val="20"/>
                <w:szCs w:val="20"/>
                <w:color w:val="auto"/>
              </w:rPr>
            </w:pPr>
            <w:r>
              <w:rPr>
                <w:rFonts w:ascii="Arial" w:cs="Arial" w:eastAsia="Arial" w:hAnsi="Arial"/>
                <w:sz w:val="18"/>
                <w:szCs w:val="18"/>
                <w:color w:val="auto"/>
              </w:rPr>
              <w:t>10.1</w:t>
            </w:r>
          </w:p>
        </w:tc>
        <w:tc>
          <w:tcPr>
            <w:tcW w:w="1880" w:type="dxa"/>
            <w:vAlign w:val="bottom"/>
          </w:tcPr>
          <w:p>
            <w:pPr>
              <w:jc w:val="center"/>
              <w:ind w:left="270"/>
              <w:spacing w:after="0"/>
              <w:rPr>
                <w:sz w:val="20"/>
                <w:szCs w:val="20"/>
                <w:color w:val="auto"/>
              </w:rPr>
            </w:pPr>
            <w:r>
              <w:rPr>
                <w:rFonts w:ascii="Arial" w:cs="Arial" w:eastAsia="Arial" w:hAnsi="Arial"/>
                <w:sz w:val="18"/>
                <w:szCs w:val="18"/>
                <w:color w:val="auto"/>
                <w:w w:val="99"/>
              </w:rPr>
              <w:t>September 8,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tabs>
          <w:tab w:leader="none" w:pos="980" w:val="left"/>
          <w:tab w:leader="none" w:pos="2420" w:val="left"/>
          <w:tab w:leader="none" w:pos="3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September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14, 2005</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2006</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4, 2015</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10.6</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21, 2016</w:t>
            </w:r>
          </w:p>
        </w:tc>
      </w:tr>
    </w:tbl>
    <w:p>
      <w:pPr>
        <w:sectPr>
          <w:pgSz w:w="11900" w:h="16838" w:orient="portrait"/>
          <w:cols w:equalWidth="0" w:num="2">
            <w:col w:w="5960" w:space="120"/>
            <w:col w:w="5340"/>
          </w:cols>
          <w:pgMar w:left="240" w:top="522" w:right="239" w:bottom="1440" w:gutter="0" w:footer="0" w:header="0"/>
          <w:type w:val="continuous"/>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10.10*</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38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Restricted Stock and Restricted Stock Units and</w:t>
              </w:r>
            </w:hyperlink>
          </w:p>
        </w:tc>
        <w:tc>
          <w:tcPr>
            <w:tcW w:w="780" w:type="dxa"/>
            <w:vAlign w:val="bottom"/>
            <w:gridSpan w:val="1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Performance Shares Granted to Employees Pursuant to</w:t>
              </w:r>
            </w:hyperlink>
          </w:p>
        </w:tc>
        <w:tc>
          <w:tcPr>
            <w:tcW w:w="140" w:type="dxa"/>
            <w:vAlign w:val="bottom"/>
            <w:gridSpan w:val="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58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the 2006 Equity Incentive Plan, as amended and restated</w:t>
              </w:r>
            </w:hyperlink>
          </w:p>
        </w:tc>
        <w:tc>
          <w:tcPr>
            <w:tcW w:w="40" w:type="dxa"/>
            <w:vAlign w:val="bottom"/>
            <w:gridSpan w:val="2"/>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December 9, 2013</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10.11*</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38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Restricted Stock and Restricted Stock Units and</w:t>
              </w:r>
            </w:hyperlink>
          </w:p>
        </w:tc>
        <w:tc>
          <w:tcPr>
            <w:tcW w:w="780" w:type="dxa"/>
            <w:vAlign w:val="bottom"/>
            <w:gridSpan w:val="1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Performance Shares Granted to Employees Pursuant to</w:t>
              </w:r>
            </w:hyperlink>
          </w:p>
        </w:tc>
        <w:tc>
          <w:tcPr>
            <w:tcW w:w="140" w:type="dxa"/>
            <w:vAlign w:val="bottom"/>
            <w:gridSpan w:val="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56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the 2006 Equity Incentive Plan, for Awards Granted on or</w:t>
              </w:r>
            </w:hyperlink>
          </w:p>
        </w:tc>
        <w:tc>
          <w:tcPr>
            <w:tcW w:w="60" w:type="dxa"/>
            <w:vAlign w:val="bottom"/>
            <w:gridSpan w:val="3"/>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after March 4, 2015</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10.12*</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Restricted Stock and Restricted Stock Units Granted to</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Directors Pursuant to the 2006 Equity Incentive Plan, as</w:t>
              </w:r>
            </w:hyperlink>
          </w:p>
        </w:tc>
        <w:tc>
          <w:tcPr>
            <w:tcW w:w="140" w:type="dxa"/>
            <w:vAlign w:val="bottom"/>
            <w:gridSpan w:val="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3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amended and restated December 9, 2013</w:t>
              </w:r>
            </w:hyperlink>
          </w:p>
        </w:tc>
        <w:tc>
          <w:tcPr>
            <w:tcW w:w="1280" w:type="dxa"/>
            <w:vAlign w:val="bottom"/>
            <w:gridSpan w:val="19"/>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10.13*</w:t>
            </w:r>
          </w:p>
        </w:tc>
        <w:tc>
          <w:tcPr>
            <w:tcW w:w="4620" w:type="dxa"/>
            <w:vAlign w:val="bottom"/>
            <w:tcBorders>
              <w:bottom w:val="single" w:sz="8" w:color="0000FF"/>
            </w:tcBorders>
            <w:gridSpan w:val="33"/>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Statement of Terms and Conditions Applicable to Options,</w:t>
              </w:r>
            </w:hyperlink>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Restricted Stock and Restricted Stock Units Granted to</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50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Directors Pursuant to the 2006 Equity Incentive Plan, for</w:t>
              </w:r>
            </w:hyperlink>
          </w:p>
        </w:tc>
        <w:tc>
          <w:tcPr>
            <w:tcW w:w="120" w:type="dxa"/>
            <w:vAlign w:val="bottom"/>
            <w:gridSpan w:val="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38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Awards Granted on or after March 4, 2015</w:t>
              </w:r>
            </w:hyperlink>
          </w:p>
        </w:tc>
        <w:tc>
          <w:tcPr>
            <w:tcW w:w="1240" w:type="dxa"/>
            <w:vAlign w:val="bottom"/>
            <w:gridSpan w:val="18"/>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10.14*</w:t>
            </w:r>
          </w:p>
        </w:tc>
        <w:tc>
          <w:tcPr>
            <w:tcW w:w="3900" w:type="dxa"/>
            <w:vAlign w:val="bottom"/>
            <w:tcBorders>
              <w:bottom w:val="single" w:sz="8" w:color="0000FF"/>
            </w:tcBorders>
            <w:gridSpan w:val="17"/>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Statement of Terms and Conditions Applicable to</w:t>
              </w:r>
            </w:hyperlink>
          </w:p>
        </w:tc>
        <w:tc>
          <w:tcPr>
            <w:tcW w:w="720" w:type="dxa"/>
            <w:vAlign w:val="bottom"/>
            <w:gridSpan w:val="16"/>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2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Restricted Stock Units Granted Pursuant to the 2006</w:t>
              </w:r>
            </w:hyperlink>
          </w:p>
        </w:tc>
        <w:tc>
          <w:tcPr>
            <w:tcW w:w="420" w:type="dxa"/>
            <w:vAlign w:val="bottom"/>
            <w:gridSpan w:val="1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Equity Incentive Plan to Directors Who Elect to Relinquish</w:t>
              </w:r>
            </w:hyperlink>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Their Benefits Effective November 1, 2006, as amended</w:t>
              </w:r>
            </w:hyperlink>
          </w:p>
        </w:tc>
        <w:tc>
          <w:tcPr>
            <w:tcW w:w="140" w:type="dxa"/>
            <w:vAlign w:val="bottom"/>
            <w:gridSpan w:val="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260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and restated September 8, 2010</w:t>
              </w:r>
            </w:hyperlink>
          </w:p>
        </w:tc>
        <w:tc>
          <w:tcPr>
            <w:tcW w:w="2020" w:type="dxa"/>
            <w:vAlign w:val="bottom"/>
            <w:gridSpan w:val="21"/>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10.15*</w:t>
            </w:r>
          </w:p>
        </w:tc>
        <w:tc>
          <w:tcPr>
            <w:tcW w:w="4620" w:type="dxa"/>
            <w:vAlign w:val="bottom"/>
            <w:gridSpan w:val="33"/>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Non-Qualified Stock Option Agreement — 2006</w:t>
              </w:r>
            </w:hyperlink>
          </w:p>
        </w:tc>
      </w:tr>
      <w:tr>
        <w:trPr>
          <w:trHeight w:val="183"/>
        </w:trPr>
        <w:tc>
          <w:tcPr>
            <w:tcW w:w="1260" w:type="dxa"/>
            <w:vAlign w:val="bottom"/>
          </w:tcPr>
          <w:p>
            <w:pPr>
              <w:spacing w:after="0"/>
              <w:rPr>
                <w:sz w:val="15"/>
                <w:szCs w:val="15"/>
                <w:color w:val="auto"/>
              </w:rPr>
            </w:pPr>
          </w:p>
        </w:tc>
        <w:tc>
          <w:tcPr>
            <w:tcW w:w="9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Equity Plan</w:t>
              </w:r>
            </w:hyperlink>
          </w:p>
        </w:tc>
        <w:tc>
          <w:tcPr>
            <w:tcW w:w="3540" w:type="dxa"/>
            <w:vAlign w:val="bottom"/>
            <w:tcBorders>
              <w:top w:val="single" w:sz="8" w:color="0000FF"/>
            </w:tcBorders>
            <w:gridSpan w:val="23"/>
          </w:tcPr>
          <w:p>
            <w:pPr>
              <w:spacing w:after="0"/>
              <w:rPr>
                <w:sz w:val="15"/>
                <w:szCs w:val="15"/>
                <w:color w:val="auto"/>
              </w:rPr>
            </w:pPr>
          </w:p>
        </w:tc>
        <w:tc>
          <w:tcPr>
            <w:tcW w:w="160" w:type="dxa"/>
            <w:vAlign w:val="bottom"/>
            <w:gridSpan w:val="7"/>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10.16*</w:t>
            </w:r>
          </w:p>
        </w:tc>
        <w:tc>
          <w:tcPr>
            <w:tcW w:w="4520" w:type="dxa"/>
            <w:vAlign w:val="bottom"/>
            <w:tcBorders>
              <w:bottom w:val="single" w:sz="8" w:color="0000FF"/>
            </w:tcBorders>
            <w:gridSpan w:val="29"/>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Form of Restricted Stock Unit Agreement — 2006 Equity</w:t>
              </w:r>
            </w:hyperlink>
          </w:p>
        </w:tc>
        <w:tc>
          <w:tcPr>
            <w:tcW w:w="100" w:type="dxa"/>
            <w:vAlign w:val="bottom"/>
            <w:gridSpan w:val="4"/>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Plan</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10.17*</w:t>
            </w:r>
          </w:p>
        </w:tc>
        <w:tc>
          <w:tcPr>
            <w:tcW w:w="4400" w:type="dxa"/>
            <w:vAlign w:val="bottom"/>
            <w:tcBorders>
              <w:bottom w:val="single" w:sz="8" w:color="0000FF"/>
            </w:tcBorders>
            <w:gridSpan w:val="24"/>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Form of Performance Share Agreement — 2006 Equity</w:t>
              </w:r>
            </w:hyperlink>
          </w:p>
        </w:tc>
        <w:tc>
          <w:tcPr>
            <w:tcW w:w="220" w:type="dxa"/>
            <w:vAlign w:val="bottom"/>
            <w:gridSpan w:val="9"/>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Plan</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10.18*</w:t>
            </w:r>
          </w:p>
        </w:tc>
        <w:tc>
          <w:tcPr>
            <w:tcW w:w="4280" w:type="dxa"/>
            <w:vAlign w:val="bottom"/>
            <w:tcBorders>
              <w:bottom w:val="single" w:sz="8" w:color="0000FF"/>
            </w:tcBorders>
            <w:gridSpan w:val="20"/>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Form of Performance Share Agreement for Awards to</w:t>
              </w:r>
            </w:hyperlink>
          </w:p>
        </w:tc>
        <w:tc>
          <w:tcPr>
            <w:tcW w:w="340" w:type="dxa"/>
            <w:vAlign w:val="bottom"/>
            <w:gridSpan w:val="13"/>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Certain Executive Officers</w:t>
              </w:r>
            </w:hyperlink>
          </w:p>
        </w:tc>
      </w:tr>
      <w:tr>
        <w:trPr>
          <w:trHeight w:val="20"/>
        </w:trPr>
        <w:tc>
          <w:tcPr>
            <w:tcW w:w="12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10.19*</w:t>
            </w:r>
          </w:p>
        </w:tc>
        <w:tc>
          <w:tcPr>
            <w:tcW w:w="4260" w:type="dxa"/>
            <w:vAlign w:val="bottom"/>
            <w:tcBorders>
              <w:bottom w:val="single" w:sz="8" w:color="0000FF"/>
            </w:tcBorders>
            <w:gridSpan w:val="19"/>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Executive Stock Option Plan (aka Age-Vested Career</w:t>
              </w:r>
            </w:hyperlink>
          </w:p>
        </w:tc>
        <w:tc>
          <w:tcPr>
            <w:tcW w:w="360" w:type="dxa"/>
            <w:vAlign w:val="bottom"/>
            <w:gridSpan w:val="14"/>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Stock Option Plan), as amended and restated June 4,</w:t>
              </w:r>
            </w:hyperlink>
          </w:p>
        </w:tc>
      </w:tr>
      <w:tr>
        <w:trPr>
          <w:trHeight w:val="183"/>
        </w:trPr>
        <w:tc>
          <w:tcPr>
            <w:tcW w:w="1260" w:type="dxa"/>
            <w:vAlign w:val="bottom"/>
          </w:tcPr>
          <w:p>
            <w:pPr>
              <w:spacing w:after="0"/>
              <w:rPr>
                <w:sz w:val="15"/>
                <w:szCs w:val="15"/>
                <w:color w:val="auto"/>
              </w:rPr>
            </w:pPr>
          </w:p>
        </w:tc>
        <w:tc>
          <w:tcPr>
            <w:tcW w:w="4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2012</w:t>
              </w:r>
            </w:hyperlink>
          </w:p>
        </w:tc>
        <w:tc>
          <w:tcPr>
            <w:tcW w:w="5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10.20*</w:t>
            </w:r>
          </w:p>
        </w:tc>
        <w:tc>
          <w:tcPr>
            <w:tcW w:w="4620" w:type="dxa"/>
            <w:vAlign w:val="bottom"/>
            <w:gridSpan w:val="33"/>
          </w:tcPr>
          <w:p>
            <w:pPr>
              <w:spacing w:after="0"/>
              <w:rPr>
                <w:rFonts w:ascii="Arial" w:cs="Arial" w:eastAsia="Arial" w:hAnsi="Arial"/>
                <w:sz w:val="18"/>
                <w:szCs w:val="18"/>
                <w:color w:val="0000FF"/>
              </w:rPr>
            </w:pPr>
            <w:hyperlink r:id="rId103">
              <w:r>
                <w:rPr>
                  <w:rFonts w:ascii="Arial" w:cs="Arial" w:eastAsia="Arial" w:hAnsi="Arial"/>
                  <w:sz w:val="18"/>
                  <w:szCs w:val="18"/>
                  <w:color w:val="0000FF"/>
                </w:rPr>
                <w:t>Time-Vested Incentive Stock Option Plan, as amended</w:t>
              </w:r>
            </w:hyperlink>
          </w:p>
        </w:tc>
      </w:tr>
      <w:tr>
        <w:trPr>
          <w:trHeight w:val="183"/>
        </w:trPr>
        <w:tc>
          <w:tcPr>
            <w:tcW w:w="1260" w:type="dxa"/>
            <w:vAlign w:val="bottom"/>
          </w:tcPr>
          <w:p>
            <w:pPr>
              <w:spacing w:after="0"/>
              <w:rPr>
                <w:sz w:val="15"/>
                <w:szCs w:val="15"/>
                <w:color w:val="auto"/>
              </w:rPr>
            </w:pPr>
          </w:p>
        </w:tc>
        <w:tc>
          <w:tcPr>
            <w:tcW w:w="43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and restated September 4, 2007</w:t>
              </w:r>
            </w:hyperlink>
          </w:p>
        </w:tc>
        <w:tc>
          <w:tcPr>
            <w:tcW w:w="240" w:type="dxa"/>
            <w:vAlign w:val="bottom"/>
            <w:gridSpan w:val="10"/>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10.21*</w:t>
            </w:r>
          </w:p>
        </w:tc>
        <w:tc>
          <w:tcPr>
            <w:tcW w:w="4340" w:type="dxa"/>
            <w:vAlign w:val="bottom"/>
            <w:tcBorders>
              <w:bottom w:val="single" w:sz="8" w:color="0000FF"/>
            </w:tcBorders>
            <w:gridSpan w:val="22"/>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1996 Price-Vested Performance Stock Option Plan, as</w:t>
              </w:r>
            </w:hyperlink>
          </w:p>
        </w:tc>
        <w:tc>
          <w:tcPr>
            <w:tcW w:w="280" w:type="dxa"/>
            <w:vAlign w:val="bottom"/>
            <w:gridSpan w:val="11"/>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amended and restated September 4, 2007</w:t>
              </w:r>
            </w:hyperlink>
          </w:p>
        </w:tc>
      </w:tr>
      <w:tr>
        <w:trPr>
          <w:trHeight w:val="20"/>
        </w:trPr>
        <w:tc>
          <w:tcPr>
            <w:tcW w:w="1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10.22*</w:t>
            </w:r>
          </w:p>
        </w:tc>
        <w:tc>
          <w:tcPr>
            <w:tcW w:w="4340" w:type="dxa"/>
            <w:vAlign w:val="bottom"/>
            <w:tcBorders>
              <w:bottom w:val="single" w:sz="8" w:color="0000FF"/>
            </w:tcBorders>
            <w:gridSpan w:val="22"/>
          </w:tcPr>
          <w:p>
            <w:pPr>
              <w:spacing w:after="0"/>
              <w:rPr>
                <w:rFonts w:ascii="Arial" w:cs="Arial" w:eastAsia="Arial" w:hAnsi="Arial"/>
                <w:sz w:val="18"/>
                <w:szCs w:val="18"/>
                <w:color w:val="0000FF"/>
                <w:w w:val="99"/>
              </w:rPr>
            </w:pPr>
            <w:hyperlink r:id="rId105">
              <w:r>
                <w:rPr>
                  <w:rFonts w:ascii="Arial" w:cs="Arial" w:eastAsia="Arial" w:hAnsi="Arial"/>
                  <w:sz w:val="18"/>
                  <w:szCs w:val="18"/>
                  <w:color w:val="0000FF"/>
                  <w:w w:val="99"/>
                </w:rPr>
                <w:t>2002 Price-Vested Performance Stock Option Plan, as</w:t>
              </w:r>
            </w:hyperlink>
          </w:p>
        </w:tc>
        <w:tc>
          <w:tcPr>
            <w:tcW w:w="280" w:type="dxa"/>
            <w:vAlign w:val="bottom"/>
            <w:gridSpan w:val="11"/>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amended and restated September 4, 2007</w:t>
              </w:r>
            </w:hyperlink>
          </w:p>
        </w:tc>
      </w:tr>
      <w:tr>
        <w:trPr>
          <w:trHeight w:val="20"/>
        </w:trPr>
        <w:tc>
          <w:tcPr>
            <w:tcW w:w="1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10.23*</w:t>
            </w:r>
          </w:p>
        </w:tc>
        <w:tc>
          <w:tcPr>
            <w:tcW w:w="4600" w:type="dxa"/>
            <w:vAlign w:val="bottom"/>
            <w:tcBorders>
              <w:bottom w:val="single" w:sz="8" w:color="0000FF"/>
            </w:tcBorders>
            <w:gridSpan w:val="32"/>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Deferred Compensation Plan for Executives, as amended</w:t>
              </w:r>
            </w:hyperlink>
          </w:p>
        </w:tc>
        <w:tc>
          <w:tcPr>
            <w:tcW w:w="20" w:type="dxa"/>
            <w:vAlign w:val="bottom"/>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and restated October 25, 2010</w:t>
              </w:r>
            </w:hyperlink>
          </w:p>
        </w:tc>
      </w:tr>
      <w:tr>
        <w:trPr>
          <w:trHeight w:val="20"/>
        </w:trPr>
        <w:tc>
          <w:tcPr>
            <w:tcW w:w="1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10.24*</w:t>
            </w:r>
          </w:p>
        </w:tc>
        <w:tc>
          <w:tcPr>
            <w:tcW w:w="4440" w:type="dxa"/>
            <w:vAlign w:val="bottom"/>
            <w:tcBorders>
              <w:bottom w:val="single" w:sz="8" w:color="0000FF"/>
            </w:tcBorders>
            <w:gridSpan w:val="25"/>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Form of Stock Option Agreement dated March 31, 2010</w:t>
              </w:r>
            </w:hyperlink>
          </w:p>
        </w:tc>
        <w:tc>
          <w:tcPr>
            <w:tcW w:w="180" w:type="dxa"/>
            <w:vAlign w:val="bottom"/>
            <w:gridSpan w:val="8"/>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3"/>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for Awards to Certain Executive Officers</w:t>
              </w:r>
            </w:hyperlink>
          </w:p>
        </w:tc>
      </w:tr>
      <w:tr>
        <w:trPr>
          <w:trHeight w:val="20"/>
        </w:trPr>
        <w:tc>
          <w:tcPr>
            <w:tcW w:w="1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10.25*</w:t>
            </w:r>
          </w:p>
        </w:tc>
        <w:tc>
          <w:tcPr>
            <w:tcW w:w="4620" w:type="dxa"/>
            <w:vAlign w:val="bottom"/>
            <w:gridSpan w:val="33"/>
          </w:tcPr>
          <w:p>
            <w:pPr>
              <w:spacing w:after="0"/>
              <w:rPr>
                <w:rFonts w:ascii="Arial" w:cs="Arial" w:eastAsia="Arial" w:hAnsi="Arial"/>
                <w:sz w:val="18"/>
                <w:szCs w:val="18"/>
                <w:color w:val="0000FF"/>
              </w:rPr>
            </w:pPr>
            <w:hyperlink r:id="rId108">
              <w:r>
                <w:rPr>
                  <w:rFonts w:ascii="Arial" w:cs="Arial" w:eastAsia="Arial" w:hAnsi="Arial"/>
                  <w:sz w:val="18"/>
                  <w:szCs w:val="18"/>
                  <w:color w:val="0000FF"/>
                </w:rPr>
                <w:t>Supplemental Executive Retirement Plan, as amended</w:t>
              </w:r>
            </w:hyperlink>
          </w:p>
        </w:tc>
      </w:tr>
      <w:tr>
        <w:trPr>
          <w:trHeight w:val="183"/>
        </w:trPr>
        <w:tc>
          <w:tcPr>
            <w:tcW w:w="12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and restated June 3, 2008</w:t>
              </w:r>
            </w:hyperlink>
          </w:p>
        </w:tc>
        <w:tc>
          <w:tcPr>
            <w:tcW w:w="2280" w:type="dxa"/>
            <w:vAlign w:val="bottom"/>
            <w:tcBorders>
              <w:top w:val="single" w:sz="8" w:color="0000FF"/>
            </w:tcBorders>
            <w:gridSpan w:val="14"/>
          </w:tcPr>
          <w:p>
            <w:pPr>
              <w:spacing w:after="0"/>
              <w:rPr>
                <w:sz w:val="15"/>
                <w:szCs w:val="15"/>
                <w:color w:val="auto"/>
              </w:rPr>
            </w:pPr>
          </w:p>
        </w:tc>
        <w:tc>
          <w:tcPr>
            <w:tcW w:w="240" w:type="dxa"/>
            <w:vAlign w:val="bottom"/>
            <w:gridSpan w:val="10"/>
          </w:tcPr>
          <w:p>
            <w:pPr>
              <w:spacing w:after="0"/>
              <w:rPr>
                <w:sz w:val="15"/>
                <w:szCs w:val="15"/>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10.26*</w:t>
            </w:r>
          </w:p>
        </w:tc>
        <w:tc>
          <w:tcPr>
            <w:tcW w:w="4620" w:type="dxa"/>
            <w:vAlign w:val="bottom"/>
            <w:gridSpan w:val="33"/>
          </w:tcPr>
          <w:p>
            <w:pPr>
              <w:spacing w:after="0"/>
              <w:rPr>
                <w:rFonts w:ascii="Arial" w:cs="Arial" w:eastAsia="Arial" w:hAnsi="Arial"/>
                <w:sz w:val="18"/>
                <w:szCs w:val="18"/>
                <w:color w:val="0000FF"/>
              </w:rPr>
            </w:pPr>
            <w:hyperlink r:id="rId109">
              <w:r>
                <w:rPr>
                  <w:rFonts w:ascii="Arial" w:cs="Arial" w:eastAsia="Arial" w:hAnsi="Arial"/>
                  <w:sz w:val="18"/>
                  <w:szCs w:val="18"/>
                  <w:color w:val="0000FF"/>
                </w:rPr>
                <w:t>Service Award Benefit Plan, as amended and restated</w:t>
              </w:r>
            </w:hyperlink>
          </w:p>
        </w:tc>
      </w:tr>
      <w:tr>
        <w:trPr>
          <w:trHeight w:val="183"/>
        </w:trPr>
        <w:tc>
          <w:tcPr>
            <w:tcW w:w="1260" w:type="dxa"/>
            <w:vAlign w:val="bottom"/>
          </w:tcPr>
          <w:p>
            <w:pPr>
              <w:spacing w:after="0"/>
              <w:rPr>
                <w:sz w:val="15"/>
                <w:szCs w:val="15"/>
                <w:color w:val="auto"/>
              </w:rPr>
            </w:pPr>
          </w:p>
        </w:tc>
        <w:tc>
          <w:tcPr>
            <w:tcW w:w="43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June 3, 2008</w:t>
              </w:r>
            </w:hyperlink>
          </w:p>
        </w:tc>
        <w:tc>
          <w:tcPr>
            <w:tcW w:w="300" w:type="dxa"/>
            <w:vAlign w:val="bottom"/>
            <w:gridSpan w:val="1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720" w:type="dxa"/>
            <w:vAlign w:val="bottom"/>
            <w:gridSpan w:val="2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260" w:type="dxa"/>
            <w:vAlign w:val="bottom"/>
          </w:tcPr>
          <w:p>
            <w:pPr>
              <w:jc w:val="right"/>
              <w:ind w:right="650"/>
              <w:spacing w:after="0"/>
              <w:rPr>
                <w:sz w:val="20"/>
                <w:szCs w:val="20"/>
                <w:color w:val="auto"/>
              </w:rPr>
            </w:pPr>
            <w:r>
              <w:rPr>
                <w:rFonts w:ascii="Arial" w:cs="Arial" w:eastAsia="Arial" w:hAnsi="Arial"/>
                <w:sz w:val="18"/>
                <w:szCs w:val="18"/>
                <w:color w:val="auto"/>
                <w:w w:val="95"/>
              </w:rPr>
              <w:t>10.27*</w:t>
            </w:r>
          </w:p>
        </w:tc>
        <w:tc>
          <w:tcPr>
            <w:tcW w:w="4620" w:type="dxa"/>
            <w:vAlign w:val="bottom"/>
            <w:gridSpan w:val="33"/>
          </w:tcPr>
          <w:p>
            <w:pPr>
              <w:spacing w:after="0"/>
              <w:rPr>
                <w:rFonts w:ascii="Arial" w:cs="Arial" w:eastAsia="Arial" w:hAnsi="Arial"/>
                <w:sz w:val="18"/>
                <w:szCs w:val="18"/>
                <w:color w:val="0000FF"/>
              </w:rPr>
            </w:pPr>
            <w:hyperlink r:id="rId110">
              <w:r>
                <w:rPr>
                  <w:rFonts w:ascii="Arial" w:cs="Arial" w:eastAsia="Arial" w:hAnsi="Arial"/>
                  <w:sz w:val="18"/>
                  <w:szCs w:val="18"/>
                  <w:color w:val="0000FF"/>
                </w:rPr>
                <w:t>Senior Executive Severance Pay Policy, as amended and</w:t>
              </w:r>
            </w:hyperlink>
          </w:p>
        </w:tc>
      </w:tr>
      <w:tr>
        <w:trPr>
          <w:trHeight w:val="183"/>
        </w:trPr>
        <w:tc>
          <w:tcPr>
            <w:tcW w:w="1260" w:type="dxa"/>
            <w:vAlign w:val="bottom"/>
          </w:tcPr>
          <w:p>
            <w:pPr>
              <w:spacing w:after="0"/>
              <w:rPr>
                <w:sz w:val="15"/>
                <w:szCs w:val="15"/>
                <w:color w:val="auto"/>
              </w:rPr>
            </w:pPr>
          </w:p>
        </w:tc>
        <w:tc>
          <w:tcPr>
            <w:tcW w:w="18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restated March 7, 2011</w:t>
              </w:r>
            </w:hyperlink>
          </w:p>
        </w:tc>
        <w:tc>
          <w:tcPr>
            <w:tcW w:w="2720" w:type="dxa"/>
            <w:vAlign w:val="bottom"/>
            <w:tcBorders>
              <w:top w:val="single" w:sz="8" w:color="0000FF"/>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655"/>
        </w:trPr>
        <w:tc>
          <w:tcPr>
            <w:tcW w:w="1260" w:type="dxa"/>
            <w:vAlign w:val="bottom"/>
          </w:tcPr>
          <w:p>
            <w:pPr>
              <w:spacing w:after="0"/>
              <w:rPr>
                <w:sz w:val="24"/>
                <w:szCs w:val="24"/>
                <w:color w:val="auto"/>
              </w:rPr>
            </w:pPr>
          </w:p>
        </w:tc>
        <w:tc>
          <w:tcPr>
            <w:tcW w:w="4520" w:type="dxa"/>
            <w:vAlign w:val="bottom"/>
            <w:gridSpan w:val="29"/>
          </w:tcPr>
          <w:p>
            <w:pPr>
              <w:ind w:left="4320"/>
              <w:spacing w:after="0"/>
              <w:rPr>
                <w:sz w:val="20"/>
                <w:szCs w:val="20"/>
                <w:color w:val="auto"/>
              </w:rPr>
            </w:pPr>
            <w:r>
              <w:rPr>
                <w:rFonts w:ascii="Arial" w:cs="Arial" w:eastAsia="Arial" w:hAnsi="Arial"/>
                <w:sz w:val="18"/>
                <w:szCs w:val="18"/>
                <w:color w:val="auto"/>
                <w:w w:val="89"/>
              </w:rPr>
              <w:t>98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2013</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10.50</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6, 2012</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8"/>
              </w:rPr>
              <w:t>April 2,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March 10, 2011</w:t>
            </w:r>
          </w:p>
        </w:tc>
      </w:tr>
    </w:tbl>
    <w:p>
      <w:pPr>
        <w:sectPr>
          <w:pgSz w:w="11900" w:h="16838" w:orient="portrait"/>
          <w:cols w:equalWidth="0" w:num="2">
            <w:col w:w="5880" w:space="300"/>
            <w:col w:w="4940"/>
          </w:cols>
          <w:pgMar w:left="280" w:top="675" w:right="49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4460" w:type="dxa"/>
            <w:vAlign w:val="bottom"/>
            <w:tcBorders>
              <w:bottom w:val="single" w:sz="8" w:color="0000FF"/>
            </w:tcBorders>
            <w:gridSpan w:val="27"/>
          </w:tcPr>
          <w:p>
            <w:pPr>
              <w:spacing w:after="0"/>
              <w:rPr>
                <w:rFonts w:ascii="Arial" w:cs="Arial" w:eastAsia="Arial" w:hAnsi="Arial"/>
                <w:sz w:val="18"/>
                <w:szCs w:val="18"/>
                <w:color w:val="0000FF"/>
                <w:w w:val="99"/>
              </w:rPr>
            </w:pPr>
            <w:hyperlink r:id="rId111">
              <w:r>
                <w:rPr>
                  <w:rFonts w:ascii="Arial" w:cs="Arial" w:eastAsia="Arial" w:hAnsi="Arial"/>
                  <w:sz w:val="18"/>
                  <w:szCs w:val="18"/>
                  <w:color w:val="0000FF"/>
                  <w:w w:val="99"/>
                </w:rPr>
                <w:t>Executive Employment Agreement, dated as of January</w:t>
              </w:r>
            </w:hyperlink>
          </w:p>
        </w:tc>
        <w:tc>
          <w:tcPr>
            <w:tcW w:w="160" w:type="dxa"/>
            <w:vAlign w:val="bottom"/>
            <w:gridSpan w:val="5"/>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2"/>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12, 2015, by and between ABM Industries Incorporated</w:t>
              </w:r>
            </w:hyperlink>
          </w:p>
        </w:tc>
      </w:tr>
      <w:tr>
        <w:trPr>
          <w:trHeight w:val="183"/>
        </w:trPr>
        <w:tc>
          <w:tcPr>
            <w:tcW w:w="126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7"/>
              </w:rPr>
            </w:pPr>
            <w:hyperlink r:id="rId111">
              <w:r>
                <w:rPr>
                  <w:rFonts w:ascii="Arial" w:cs="Arial" w:eastAsia="Arial" w:hAnsi="Arial"/>
                  <w:sz w:val="18"/>
                  <w:szCs w:val="18"/>
                  <w:color w:val="0000FF"/>
                  <w:w w:val="97"/>
                </w:rPr>
                <w:t>and Scott Salmirs</w:t>
              </w:r>
            </w:hyperlink>
          </w:p>
        </w:tc>
        <w:tc>
          <w:tcPr>
            <w:tcW w:w="2980" w:type="dxa"/>
            <w:vAlign w:val="bottom"/>
            <w:tcBorders>
              <w:top w:val="single" w:sz="8" w:color="0000FF"/>
            </w:tcBorders>
            <w:gridSpan w:val="19"/>
          </w:tcPr>
          <w:p>
            <w:pPr>
              <w:spacing w:after="0"/>
              <w:rPr>
                <w:sz w:val="15"/>
                <w:szCs w:val="15"/>
                <w:color w:val="auto"/>
              </w:rPr>
            </w:pPr>
          </w:p>
        </w:tc>
        <w:tc>
          <w:tcPr>
            <w:tcW w:w="220" w:type="dxa"/>
            <w:vAlign w:val="bottom"/>
            <w:gridSpan w:val="7"/>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4400" w:type="dxa"/>
            <w:vAlign w:val="bottom"/>
            <w:tcBorders>
              <w:bottom w:val="single" w:sz="8" w:color="0000FF"/>
            </w:tcBorders>
            <w:gridSpan w:val="24"/>
          </w:tcPr>
          <w:p>
            <w:pPr>
              <w:spacing w:after="0"/>
              <w:rPr>
                <w:rFonts w:ascii="Arial" w:cs="Arial" w:eastAsia="Arial" w:hAnsi="Arial"/>
                <w:sz w:val="18"/>
                <w:szCs w:val="18"/>
                <w:color w:val="0000FF"/>
              </w:rPr>
            </w:pPr>
            <w:hyperlink r:id="rId112">
              <w:r>
                <w:rPr>
                  <w:rFonts w:ascii="Arial" w:cs="Arial" w:eastAsia="Arial" w:hAnsi="Arial"/>
                  <w:sz w:val="18"/>
                  <w:szCs w:val="18"/>
                  <w:color w:val="0000FF"/>
                </w:rPr>
                <w:t>Change in Control Agreement, dated as of January 12,</w:t>
              </w:r>
            </w:hyperlink>
          </w:p>
        </w:tc>
        <w:tc>
          <w:tcPr>
            <w:tcW w:w="220" w:type="dxa"/>
            <w:vAlign w:val="bottom"/>
            <w:gridSpan w:val="8"/>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8"/>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2015, by and between ABM Industries Incorporated and</w:t>
              </w:r>
            </w:hyperlink>
          </w:p>
        </w:tc>
        <w:tc>
          <w:tcPr>
            <w:tcW w:w="140" w:type="dxa"/>
            <w:vAlign w:val="bottom"/>
            <w:gridSpan w:val="4"/>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2"/>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Scott Salmirs</w:t>
              </w:r>
            </w:hyperlink>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378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107">
              <w:r>
                <w:rPr>
                  <w:rFonts w:ascii="Arial" w:cs="Arial" w:eastAsia="Arial" w:hAnsi="Arial"/>
                  <w:sz w:val="18"/>
                  <w:szCs w:val="18"/>
                  <w:color w:val="0000FF"/>
                  <w:w w:val="99"/>
                </w:rPr>
                <w:t>Amended and Restated Executive Employment</w:t>
              </w:r>
            </w:hyperlink>
          </w:p>
        </w:tc>
        <w:tc>
          <w:tcPr>
            <w:tcW w:w="840" w:type="dxa"/>
            <w:vAlign w:val="bottom"/>
            <w:gridSpan w:val="19"/>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2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w:anchor="page107">
              <w:r>
                <w:rPr>
                  <w:rFonts w:ascii="Arial" w:cs="Arial" w:eastAsia="Arial" w:hAnsi="Arial"/>
                  <w:sz w:val="18"/>
                  <w:szCs w:val="18"/>
                  <w:color w:val="0000FF"/>
                  <w:w w:val="99"/>
                </w:rPr>
                <w:t>Agreement, dated as of September 22, 2017, by and</w:t>
              </w:r>
            </w:hyperlink>
          </w:p>
        </w:tc>
        <w:tc>
          <w:tcPr>
            <w:tcW w:w="420" w:type="dxa"/>
            <w:vAlign w:val="bottom"/>
            <w:gridSpan w:val="14"/>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w:anchor="page107">
              <w:r>
                <w:rPr>
                  <w:rFonts w:ascii="Arial" w:cs="Arial" w:eastAsia="Arial" w:hAnsi="Arial"/>
                  <w:sz w:val="18"/>
                  <w:szCs w:val="18"/>
                  <w:color w:val="0000FF"/>
                  <w:w w:val="99"/>
                </w:rPr>
                <w:t>between ABM Industries Incorporated and Scott Salmirs</w:t>
              </w:r>
            </w:hyperlink>
          </w:p>
        </w:tc>
        <w:tc>
          <w:tcPr>
            <w:tcW w:w="140" w:type="dxa"/>
            <w:vAlign w:val="bottom"/>
            <w:gridSpan w:val="4"/>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10.31*‡</w:t>
            </w:r>
          </w:p>
        </w:tc>
        <w:tc>
          <w:tcPr>
            <w:tcW w:w="4400" w:type="dxa"/>
            <w:vAlign w:val="bottom"/>
            <w:tcBorders>
              <w:bottom w:val="single" w:sz="8" w:color="0000FF"/>
            </w:tcBorders>
            <w:gridSpan w:val="24"/>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Amended and Restated Change in Control Agreement,</w:t>
              </w:r>
            </w:hyperlink>
          </w:p>
        </w:tc>
        <w:tc>
          <w:tcPr>
            <w:tcW w:w="220" w:type="dxa"/>
            <w:vAlign w:val="bottom"/>
            <w:gridSpan w:val="8"/>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40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w:anchor="page123">
              <w:r>
                <w:rPr>
                  <w:rFonts w:ascii="Arial" w:cs="Arial" w:eastAsia="Arial" w:hAnsi="Arial"/>
                  <w:sz w:val="18"/>
                  <w:szCs w:val="18"/>
                  <w:color w:val="0000FF"/>
                  <w:w w:val="99"/>
                </w:rPr>
                <w:t>dated as of September 22, 2017, by and between ABM</w:t>
              </w:r>
            </w:hyperlink>
          </w:p>
        </w:tc>
        <w:tc>
          <w:tcPr>
            <w:tcW w:w="220" w:type="dxa"/>
            <w:vAlign w:val="bottom"/>
            <w:gridSpan w:val="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2"/>
          </w:tcPr>
          <w:p>
            <w:pPr>
              <w:spacing w:after="0" w:line="182" w:lineRule="exact"/>
              <w:rPr>
                <w:rFonts w:ascii="Arial" w:cs="Arial" w:eastAsia="Arial" w:hAnsi="Arial"/>
                <w:sz w:val="18"/>
                <w:szCs w:val="18"/>
                <w:color w:val="0000FF"/>
              </w:rPr>
            </w:pPr>
            <w:hyperlink w:anchor="page123">
              <w:r>
                <w:rPr>
                  <w:rFonts w:ascii="Arial" w:cs="Arial" w:eastAsia="Arial" w:hAnsi="Arial"/>
                  <w:sz w:val="18"/>
                  <w:szCs w:val="18"/>
                  <w:color w:val="0000FF"/>
                </w:rPr>
                <w:t>Industries Incorporated and Scott Salmirs</w:t>
              </w:r>
            </w:hyperlink>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10.32*</w:t>
            </w:r>
          </w:p>
        </w:tc>
        <w:tc>
          <w:tcPr>
            <w:tcW w:w="4580" w:type="dxa"/>
            <w:vAlign w:val="bottom"/>
            <w:tcBorders>
              <w:bottom w:val="single" w:sz="8" w:color="0000FF"/>
            </w:tcBorders>
            <w:gridSpan w:val="30"/>
          </w:tcPr>
          <w:p>
            <w:pPr>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Amended Executive Employment Agreement, dated as of</w:t>
              </w:r>
            </w:hyperlink>
          </w:p>
        </w:tc>
        <w:tc>
          <w:tcPr>
            <w:tcW w:w="40" w:type="dxa"/>
            <w:vAlign w:val="bottom"/>
            <w:gridSpan w:val="2"/>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0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January 13, 2015, by and between ABM Industries</w:t>
              </w:r>
            </w:hyperlink>
          </w:p>
        </w:tc>
        <w:tc>
          <w:tcPr>
            <w:tcW w:w="580" w:type="dxa"/>
            <w:vAlign w:val="bottom"/>
            <w:gridSpan w:val="1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28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Incorporated and James P. McClure</w:t>
              </w:r>
            </w:hyperlink>
          </w:p>
        </w:tc>
        <w:tc>
          <w:tcPr>
            <w:tcW w:w="1740" w:type="dxa"/>
            <w:vAlign w:val="bottom"/>
            <w:gridSpan w:val="22"/>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10.33*</w:t>
            </w:r>
          </w:p>
        </w:tc>
        <w:tc>
          <w:tcPr>
            <w:tcW w:w="4620" w:type="dxa"/>
            <w:vAlign w:val="bottom"/>
            <w:gridSpan w:val="32"/>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Amended and Restated Executive Change in</w:t>
              </w:r>
            </w:hyperlink>
          </w:p>
        </w:tc>
      </w:tr>
      <w:tr>
        <w:trPr>
          <w:trHeight w:val="183"/>
        </w:trPr>
        <w:tc>
          <w:tcPr>
            <w:tcW w:w="1260" w:type="dxa"/>
            <w:vAlign w:val="bottom"/>
          </w:tcPr>
          <w:p>
            <w:pPr>
              <w:spacing w:after="0"/>
              <w:rPr>
                <w:sz w:val="15"/>
                <w:szCs w:val="15"/>
                <w:color w:val="auto"/>
              </w:rPr>
            </w:pPr>
          </w:p>
        </w:tc>
        <w:tc>
          <w:tcPr>
            <w:tcW w:w="42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Control Agreement with James P. McClure</w:t>
              </w:r>
            </w:hyperlink>
          </w:p>
        </w:tc>
        <w:tc>
          <w:tcPr>
            <w:tcW w:w="360" w:type="dxa"/>
            <w:vAlign w:val="bottom"/>
            <w:gridSpan w:val="13"/>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10.34*‡</w:t>
            </w:r>
          </w:p>
        </w:tc>
        <w:tc>
          <w:tcPr>
            <w:tcW w:w="4620" w:type="dxa"/>
            <w:vAlign w:val="bottom"/>
            <w:gridSpan w:val="32"/>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Retirement and Release Agreement, dated as of</w:t>
              </w:r>
            </w:hyperlink>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w:anchor="page136">
              <w:r>
                <w:rPr>
                  <w:rFonts w:ascii="Arial" w:cs="Arial" w:eastAsia="Arial" w:hAnsi="Arial"/>
                  <w:sz w:val="18"/>
                  <w:szCs w:val="18"/>
                  <w:color w:val="0000FF"/>
                  <w:w w:val="99"/>
                </w:rPr>
                <w:t>September 5, 2017, by and between ABM Industries</w:t>
              </w:r>
            </w:hyperlink>
          </w:p>
        </w:tc>
        <w:tc>
          <w:tcPr>
            <w:tcW w:w="440" w:type="dxa"/>
            <w:vAlign w:val="bottom"/>
            <w:gridSpan w:val="15"/>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2"/>
          </w:tcPr>
          <w:p>
            <w:pPr>
              <w:spacing w:after="0" w:line="182" w:lineRule="exact"/>
              <w:rPr>
                <w:rFonts w:ascii="Arial" w:cs="Arial" w:eastAsia="Arial" w:hAnsi="Arial"/>
                <w:sz w:val="18"/>
                <w:szCs w:val="18"/>
                <w:color w:val="0000FF"/>
              </w:rPr>
            </w:pPr>
            <w:hyperlink w:anchor="page136">
              <w:r>
                <w:rPr>
                  <w:rFonts w:ascii="Arial" w:cs="Arial" w:eastAsia="Arial" w:hAnsi="Arial"/>
                  <w:sz w:val="18"/>
                  <w:szCs w:val="18"/>
                  <w:color w:val="0000FF"/>
                </w:rPr>
                <w:t>Incorporated and James P. McClure</w:t>
              </w:r>
            </w:hyperlink>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10.35*</w:t>
            </w:r>
          </w:p>
        </w:tc>
        <w:tc>
          <w:tcPr>
            <w:tcW w:w="4380" w:type="dxa"/>
            <w:vAlign w:val="bottom"/>
            <w:tcBorders>
              <w:bottom w:val="single" w:sz="8" w:color="0000FF"/>
            </w:tcBorders>
            <w:gridSpan w:val="23"/>
          </w:tcPr>
          <w:p>
            <w:pPr>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Executive Employment Agreement, dated as of April 6,</w:t>
              </w:r>
            </w:hyperlink>
          </w:p>
        </w:tc>
        <w:tc>
          <w:tcPr>
            <w:tcW w:w="240" w:type="dxa"/>
            <w:vAlign w:val="bottom"/>
            <w:gridSpan w:val="9"/>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480" w:type="dxa"/>
            <w:vAlign w:val="bottom"/>
            <w:tcBorders>
              <w:bottom w:val="single" w:sz="8" w:color="0000FF"/>
            </w:tcBorders>
            <w:gridSpan w:val="28"/>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2015, by and between ABM Industries Incorporated and</w:t>
              </w:r>
            </w:hyperlink>
          </w:p>
        </w:tc>
        <w:tc>
          <w:tcPr>
            <w:tcW w:w="140" w:type="dxa"/>
            <w:vAlign w:val="bottom"/>
            <w:gridSpan w:val="4"/>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7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D. Anthony Scaglione</w:t>
              </w:r>
            </w:hyperlink>
          </w:p>
        </w:tc>
        <w:tc>
          <w:tcPr>
            <w:tcW w:w="2880" w:type="dxa"/>
            <w:vAlign w:val="bottom"/>
            <w:gridSpan w:val="24"/>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10.36*</w:t>
            </w:r>
          </w:p>
        </w:tc>
        <w:tc>
          <w:tcPr>
            <w:tcW w:w="4620" w:type="dxa"/>
            <w:vAlign w:val="bottom"/>
            <w:gridSpan w:val="32"/>
          </w:tcPr>
          <w:p>
            <w:pPr>
              <w:spacing w:after="0"/>
              <w:rPr>
                <w:rFonts w:ascii="Arial" w:cs="Arial" w:eastAsia="Arial" w:hAnsi="Arial"/>
                <w:sz w:val="18"/>
                <w:szCs w:val="18"/>
                <w:color w:val="0000FF"/>
              </w:rPr>
            </w:pPr>
            <w:hyperlink r:id="rId116">
              <w:r>
                <w:rPr>
                  <w:rFonts w:ascii="Arial" w:cs="Arial" w:eastAsia="Arial" w:hAnsi="Arial"/>
                  <w:sz w:val="18"/>
                  <w:szCs w:val="18"/>
                  <w:color w:val="0000FF"/>
                </w:rPr>
                <w:t>Change in Control Agreement, dated as of April 6, 2015,</w:t>
              </w:r>
            </w:hyperlink>
          </w:p>
        </w:tc>
      </w:tr>
      <w:tr>
        <w:trPr>
          <w:trHeight w:val="183"/>
        </w:trPr>
        <w:tc>
          <w:tcPr>
            <w:tcW w:w="1260" w:type="dxa"/>
            <w:vAlign w:val="bottom"/>
          </w:tcPr>
          <w:p>
            <w:pPr>
              <w:spacing w:after="0"/>
              <w:rPr>
                <w:sz w:val="15"/>
                <w:szCs w:val="15"/>
                <w:color w:val="auto"/>
              </w:rPr>
            </w:pPr>
          </w:p>
        </w:tc>
        <w:tc>
          <w:tcPr>
            <w:tcW w:w="44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by and between ABM Industries Incorporated and D.</w:t>
              </w:r>
            </w:hyperlink>
          </w:p>
        </w:tc>
        <w:tc>
          <w:tcPr>
            <w:tcW w:w="140" w:type="dxa"/>
            <w:vAlign w:val="bottom"/>
            <w:gridSpan w:val="4"/>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18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Anthony Scaglione</w:t>
              </w:r>
            </w:hyperlink>
          </w:p>
        </w:tc>
        <w:tc>
          <w:tcPr>
            <w:tcW w:w="440" w:type="dxa"/>
            <w:vAlign w:val="bottom"/>
            <w:gridSpan w:val="15"/>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10.37*‡</w:t>
            </w:r>
          </w:p>
        </w:tc>
        <w:tc>
          <w:tcPr>
            <w:tcW w:w="378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144">
              <w:r>
                <w:rPr>
                  <w:rFonts w:ascii="Arial" w:cs="Arial" w:eastAsia="Arial" w:hAnsi="Arial"/>
                  <w:sz w:val="18"/>
                  <w:szCs w:val="18"/>
                  <w:color w:val="0000FF"/>
                  <w:w w:val="99"/>
                </w:rPr>
                <w:t>Amended and Restated Executive Employment</w:t>
              </w:r>
            </w:hyperlink>
          </w:p>
        </w:tc>
        <w:tc>
          <w:tcPr>
            <w:tcW w:w="840" w:type="dxa"/>
            <w:vAlign w:val="bottom"/>
            <w:gridSpan w:val="19"/>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2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w:anchor="page144">
              <w:r>
                <w:rPr>
                  <w:rFonts w:ascii="Arial" w:cs="Arial" w:eastAsia="Arial" w:hAnsi="Arial"/>
                  <w:sz w:val="18"/>
                  <w:szCs w:val="18"/>
                  <w:color w:val="0000FF"/>
                  <w:w w:val="99"/>
                </w:rPr>
                <w:t>Agreement, dated as of September 22, 2017, by and</w:t>
              </w:r>
            </w:hyperlink>
          </w:p>
        </w:tc>
        <w:tc>
          <w:tcPr>
            <w:tcW w:w="420" w:type="dxa"/>
            <w:vAlign w:val="bottom"/>
            <w:gridSpan w:val="14"/>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2"/>
          </w:tcPr>
          <w:p>
            <w:pPr>
              <w:spacing w:after="0" w:line="182" w:lineRule="exact"/>
              <w:rPr>
                <w:rFonts w:ascii="Arial" w:cs="Arial" w:eastAsia="Arial" w:hAnsi="Arial"/>
                <w:sz w:val="18"/>
                <w:szCs w:val="18"/>
                <w:color w:val="0000FF"/>
              </w:rPr>
            </w:pPr>
            <w:hyperlink w:anchor="page144">
              <w:r>
                <w:rPr>
                  <w:rFonts w:ascii="Arial" w:cs="Arial" w:eastAsia="Arial" w:hAnsi="Arial"/>
                  <w:sz w:val="18"/>
                  <w:szCs w:val="18"/>
                  <w:color w:val="0000FF"/>
                </w:rPr>
                <w:t>between ABM Industries Incorporated and D. Anthony</w:t>
              </w:r>
            </w:hyperlink>
          </w:p>
        </w:tc>
      </w:tr>
      <w:tr>
        <w:trPr>
          <w:trHeight w:val="183"/>
        </w:trPr>
        <w:tc>
          <w:tcPr>
            <w:tcW w:w="1260" w:type="dxa"/>
            <w:vAlign w:val="bottom"/>
          </w:tcPr>
          <w:p>
            <w:pPr>
              <w:spacing w:after="0"/>
              <w:rPr>
                <w:sz w:val="15"/>
                <w:szCs w:val="15"/>
                <w:color w:val="auto"/>
              </w:rPr>
            </w:pPr>
          </w:p>
        </w:tc>
        <w:tc>
          <w:tcPr>
            <w:tcW w:w="8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w:anchor="page144">
              <w:r>
                <w:rPr>
                  <w:rFonts w:ascii="Arial" w:cs="Arial" w:eastAsia="Arial" w:hAnsi="Arial"/>
                  <w:sz w:val="18"/>
                  <w:szCs w:val="18"/>
                  <w:color w:val="0000FF"/>
                  <w:w w:val="98"/>
                </w:rPr>
                <w:t>Scaglione</w:t>
              </w:r>
            </w:hyperlink>
          </w:p>
        </w:tc>
        <w:tc>
          <w:tcPr>
            <w:tcW w:w="3500" w:type="dxa"/>
            <w:vAlign w:val="bottom"/>
            <w:tcBorders>
              <w:top w:val="single" w:sz="8" w:color="0000FF"/>
            </w:tcBorders>
            <w:gridSpan w:val="17"/>
          </w:tcPr>
          <w:p>
            <w:pPr>
              <w:spacing w:after="0"/>
              <w:rPr>
                <w:sz w:val="15"/>
                <w:szCs w:val="15"/>
                <w:color w:val="auto"/>
              </w:rPr>
            </w:pPr>
          </w:p>
        </w:tc>
        <w:tc>
          <w:tcPr>
            <w:tcW w:w="320" w:type="dxa"/>
            <w:vAlign w:val="bottom"/>
            <w:gridSpan w:val="12"/>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10.38*‡</w:t>
            </w:r>
          </w:p>
        </w:tc>
        <w:tc>
          <w:tcPr>
            <w:tcW w:w="4400" w:type="dxa"/>
            <w:vAlign w:val="bottom"/>
            <w:tcBorders>
              <w:bottom w:val="single" w:sz="8" w:color="0000FF"/>
            </w:tcBorders>
            <w:gridSpan w:val="24"/>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Amended and Restated Change in Control Agreement,</w:t>
              </w:r>
            </w:hyperlink>
          </w:p>
        </w:tc>
        <w:tc>
          <w:tcPr>
            <w:tcW w:w="220" w:type="dxa"/>
            <w:vAlign w:val="bottom"/>
            <w:gridSpan w:val="8"/>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40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w:anchor="page160">
              <w:r>
                <w:rPr>
                  <w:rFonts w:ascii="Arial" w:cs="Arial" w:eastAsia="Arial" w:hAnsi="Arial"/>
                  <w:sz w:val="18"/>
                  <w:szCs w:val="18"/>
                  <w:color w:val="0000FF"/>
                  <w:w w:val="99"/>
                </w:rPr>
                <w:t>dated as of September 22, 2017, by and between ABM</w:t>
              </w:r>
            </w:hyperlink>
          </w:p>
        </w:tc>
        <w:tc>
          <w:tcPr>
            <w:tcW w:w="220" w:type="dxa"/>
            <w:vAlign w:val="bottom"/>
            <w:gridSpan w:val="7"/>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98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w:anchor="page160">
              <w:r>
                <w:rPr>
                  <w:rFonts w:ascii="Arial" w:cs="Arial" w:eastAsia="Arial" w:hAnsi="Arial"/>
                  <w:sz w:val="18"/>
                  <w:szCs w:val="18"/>
                  <w:color w:val="0000FF"/>
                  <w:w w:val="99"/>
                </w:rPr>
                <w:t>Industries Incorporated and D. Anthony Scaglione</w:t>
              </w:r>
            </w:hyperlink>
          </w:p>
        </w:tc>
        <w:tc>
          <w:tcPr>
            <w:tcW w:w="640" w:type="dxa"/>
            <w:vAlign w:val="bottom"/>
            <w:gridSpan w:val="17"/>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10.39*</w:t>
            </w:r>
          </w:p>
        </w:tc>
        <w:tc>
          <w:tcPr>
            <w:tcW w:w="4620" w:type="dxa"/>
            <w:vAlign w:val="bottom"/>
            <w:gridSpan w:val="32"/>
          </w:tcPr>
          <w:p>
            <w:pPr>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Form of Executive Employment Agreement with James S.</w:t>
              </w:r>
            </w:hyperlink>
          </w:p>
        </w:tc>
      </w:tr>
      <w:tr>
        <w:trPr>
          <w:trHeight w:val="183"/>
        </w:trPr>
        <w:tc>
          <w:tcPr>
            <w:tcW w:w="126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29"/>
          </w:tcPr>
          <w:p>
            <w:pPr>
              <w:spacing w:after="0" w:line="182"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Lusk, James P. McClure, Sarah H. McConnell, and Tracy</w:t>
              </w:r>
            </w:hyperlink>
          </w:p>
        </w:tc>
        <w:tc>
          <w:tcPr>
            <w:tcW w:w="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64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K. Price</w:t>
              </w:r>
            </w:hyperlink>
          </w:p>
        </w:tc>
        <w:tc>
          <w:tcPr>
            <w:tcW w:w="3980" w:type="dxa"/>
            <w:vAlign w:val="bottom"/>
            <w:gridSpan w:val="30"/>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10.40*</w:t>
            </w:r>
          </w:p>
        </w:tc>
        <w:tc>
          <w:tcPr>
            <w:tcW w:w="4360" w:type="dxa"/>
            <w:vAlign w:val="bottom"/>
            <w:tcBorders>
              <w:bottom w:val="single" w:sz="8" w:color="0000FF"/>
            </w:tcBorders>
            <w:gridSpan w:val="22"/>
          </w:tcPr>
          <w:p>
            <w:pPr>
              <w:spacing w:after="0"/>
              <w:rPr>
                <w:rFonts w:ascii="Arial" w:cs="Arial" w:eastAsia="Arial" w:hAnsi="Arial"/>
                <w:sz w:val="18"/>
                <w:szCs w:val="18"/>
                <w:color w:val="0000FF"/>
                <w:w w:val="99"/>
              </w:rPr>
            </w:pPr>
            <w:hyperlink r:id="rId118">
              <w:r>
                <w:rPr>
                  <w:rFonts w:ascii="Arial" w:cs="Arial" w:eastAsia="Arial" w:hAnsi="Arial"/>
                  <w:sz w:val="18"/>
                  <w:szCs w:val="18"/>
                  <w:color w:val="0000FF"/>
                  <w:w w:val="99"/>
                </w:rPr>
                <w:t>Executive Change in Control Agreement with Sarah H.</w:t>
              </w:r>
            </w:hyperlink>
          </w:p>
        </w:tc>
        <w:tc>
          <w:tcPr>
            <w:tcW w:w="260" w:type="dxa"/>
            <w:vAlign w:val="bottom"/>
            <w:gridSpan w:val="10"/>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860" w:type="dxa"/>
            <w:vAlign w:val="bottom"/>
            <w:tcBorders>
              <w:bottom w:val="single" w:sz="8" w:color="0000FF"/>
            </w:tcBorders>
            <w:gridSpan w:val="4"/>
          </w:tcPr>
          <w:p>
            <w:pPr>
              <w:spacing w:after="0" w:line="182"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McConnell</w:t>
              </w:r>
            </w:hyperlink>
          </w:p>
        </w:tc>
        <w:tc>
          <w:tcPr>
            <w:tcW w:w="3760" w:type="dxa"/>
            <w:vAlign w:val="bottom"/>
            <w:gridSpan w:val="28"/>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10.41*</w:t>
            </w:r>
          </w:p>
        </w:tc>
        <w:tc>
          <w:tcPr>
            <w:tcW w:w="4620" w:type="dxa"/>
            <w:vAlign w:val="bottom"/>
            <w:tcBorders>
              <w:bottom w:val="single" w:sz="8" w:color="0000FF"/>
            </w:tcBorders>
            <w:gridSpan w:val="32"/>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Change in Control Agreement, dated as of March 9, 2016,</w:t>
              </w:r>
            </w:hyperlink>
          </w:p>
        </w:tc>
      </w:tr>
      <w:tr>
        <w:trPr>
          <w:trHeight w:val="183"/>
        </w:trPr>
        <w:tc>
          <w:tcPr>
            <w:tcW w:w="1260" w:type="dxa"/>
            <w:vAlign w:val="bottom"/>
          </w:tcPr>
          <w:p>
            <w:pPr>
              <w:spacing w:after="0"/>
              <w:rPr>
                <w:sz w:val="15"/>
                <w:szCs w:val="15"/>
                <w:color w:val="auto"/>
              </w:rPr>
            </w:pPr>
          </w:p>
        </w:tc>
        <w:tc>
          <w:tcPr>
            <w:tcW w:w="444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by and between ABM Industries Incorporated and Dean</w:t>
              </w:r>
            </w:hyperlink>
          </w:p>
        </w:tc>
        <w:tc>
          <w:tcPr>
            <w:tcW w:w="180" w:type="dxa"/>
            <w:vAlign w:val="bottom"/>
            <w:gridSpan w:val="6"/>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60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A. Chin</w:t>
              </w:r>
            </w:hyperlink>
          </w:p>
        </w:tc>
        <w:tc>
          <w:tcPr>
            <w:tcW w:w="4020" w:type="dxa"/>
            <w:vAlign w:val="bottom"/>
            <w:gridSpan w:val="31"/>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10.42*</w:t>
            </w:r>
          </w:p>
        </w:tc>
        <w:tc>
          <w:tcPr>
            <w:tcW w:w="4460" w:type="dxa"/>
            <w:vAlign w:val="bottom"/>
            <w:tcBorders>
              <w:bottom w:val="single" w:sz="8" w:color="0000FF"/>
            </w:tcBorders>
            <w:gridSpan w:val="27"/>
          </w:tcPr>
          <w:p>
            <w:pPr>
              <w:spacing w:after="0"/>
              <w:rPr>
                <w:rFonts w:ascii="Arial" w:cs="Arial" w:eastAsia="Arial" w:hAnsi="Arial"/>
                <w:sz w:val="18"/>
                <w:szCs w:val="18"/>
                <w:color w:val="0000FF"/>
                <w:w w:val="99"/>
              </w:rPr>
            </w:pPr>
            <w:hyperlink r:id="rId120">
              <w:r>
                <w:rPr>
                  <w:rFonts w:ascii="Arial" w:cs="Arial" w:eastAsia="Arial" w:hAnsi="Arial"/>
                  <w:sz w:val="18"/>
                  <w:szCs w:val="18"/>
                  <w:color w:val="0000FF"/>
                  <w:w w:val="99"/>
                </w:rPr>
                <w:t>Executive Employment Agreement, dated as of January</w:t>
              </w:r>
            </w:hyperlink>
          </w:p>
        </w:tc>
        <w:tc>
          <w:tcPr>
            <w:tcW w:w="160" w:type="dxa"/>
            <w:vAlign w:val="bottom"/>
            <w:gridSpan w:val="5"/>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2"/>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16, 2016, by and between ABM Industries Incorporated</w:t>
              </w:r>
            </w:hyperlink>
          </w:p>
        </w:tc>
      </w:tr>
      <w:tr>
        <w:trPr>
          <w:trHeight w:val="183"/>
        </w:trPr>
        <w:tc>
          <w:tcPr>
            <w:tcW w:w="1260" w:type="dxa"/>
            <w:vAlign w:val="bottom"/>
          </w:tcPr>
          <w:p>
            <w:pPr>
              <w:spacing w:after="0"/>
              <w:rPr>
                <w:sz w:val="15"/>
                <w:szCs w:val="15"/>
                <w:color w:val="auto"/>
              </w:rPr>
            </w:pPr>
          </w:p>
        </w:tc>
        <w:tc>
          <w:tcPr>
            <w:tcW w:w="44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and Dean A. Chin</w:t>
              </w:r>
            </w:hyperlink>
          </w:p>
        </w:tc>
        <w:tc>
          <w:tcPr>
            <w:tcW w:w="220" w:type="dxa"/>
            <w:vAlign w:val="bottom"/>
            <w:gridSpan w:val="7"/>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2920" w:type="dxa"/>
            <w:vAlign w:val="bottom"/>
            <w:gridSpan w:val="15"/>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10.43*</w:t>
            </w:r>
          </w:p>
        </w:tc>
        <w:tc>
          <w:tcPr>
            <w:tcW w:w="4460" w:type="dxa"/>
            <w:vAlign w:val="bottom"/>
            <w:tcBorders>
              <w:bottom w:val="single" w:sz="8" w:color="0000FF"/>
            </w:tcBorders>
            <w:gridSpan w:val="27"/>
          </w:tcPr>
          <w:p>
            <w:pPr>
              <w:spacing w:after="0"/>
              <w:rPr>
                <w:rFonts w:ascii="Arial" w:cs="Arial" w:eastAsia="Arial" w:hAnsi="Arial"/>
                <w:sz w:val="18"/>
                <w:szCs w:val="18"/>
                <w:color w:val="0000FF"/>
                <w:w w:val="99"/>
              </w:rPr>
            </w:pPr>
            <w:hyperlink r:id="rId121">
              <w:r>
                <w:rPr>
                  <w:rFonts w:ascii="Arial" w:cs="Arial" w:eastAsia="Arial" w:hAnsi="Arial"/>
                  <w:sz w:val="18"/>
                  <w:szCs w:val="18"/>
                  <w:color w:val="0000FF"/>
                  <w:w w:val="99"/>
                </w:rPr>
                <w:t>Executive Employment Agreement, dated as of January</w:t>
              </w:r>
            </w:hyperlink>
          </w:p>
        </w:tc>
        <w:tc>
          <w:tcPr>
            <w:tcW w:w="160" w:type="dxa"/>
            <w:vAlign w:val="bottom"/>
            <w:gridSpan w:val="5"/>
          </w:tcPr>
          <w:p>
            <w:pPr>
              <w:spacing w:after="0"/>
              <w:rPr>
                <w:sz w:val="20"/>
                <w:szCs w:val="20"/>
                <w:color w:val="auto"/>
              </w:rPr>
            </w:pPr>
          </w:p>
        </w:tc>
      </w:tr>
      <w:tr>
        <w:trPr>
          <w:trHeight w:val="183"/>
        </w:trPr>
        <w:tc>
          <w:tcPr>
            <w:tcW w:w="1260" w:type="dxa"/>
            <w:vAlign w:val="bottom"/>
          </w:tcPr>
          <w:p>
            <w:pPr>
              <w:spacing w:after="0"/>
              <w:rPr>
                <w:sz w:val="15"/>
                <w:szCs w:val="15"/>
                <w:color w:val="auto"/>
              </w:rPr>
            </w:pPr>
          </w:p>
        </w:tc>
        <w:tc>
          <w:tcPr>
            <w:tcW w:w="4620" w:type="dxa"/>
            <w:vAlign w:val="bottom"/>
            <w:gridSpan w:val="32"/>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16, 2016, by and between ABM Industries Incorporated</w:t>
              </w:r>
            </w:hyperlink>
          </w:p>
        </w:tc>
      </w:tr>
      <w:tr>
        <w:trPr>
          <w:trHeight w:val="183"/>
        </w:trPr>
        <w:tc>
          <w:tcPr>
            <w:tcW w:w="126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and Tom Marano</w:t>
              </w:r>
            </w:hyperlink>
          </w:p>
        </w:tc>
        <w:tc>
          <w:tcPr>
            <w:tcW w:w="2980" w:type="dxa"/>
            <w:vAlign w:val="bottom"/>
            <w:tcBorders>
              <w:top w:val="single" w:sz="8" w:color="0000FF"/>
            </w:tcBorders>
            <w:gridSpan w:val="19"/>
          </w:tcPr>
          <w:p>
            <w:pPr>
              <w:spacing w:after="0"/>
              <w:rPr>
                <w:sz w:val="15"/>
                <w:szCs w:val="15"/>
                <w:color w:val="auto"/>
              </w:rPr>
            </w:pPr>
          </w:p>
        </w:tc>
        <w:tc>
          <w:tcPr>
            <w:tcW w:w="220" w:type="dxa"/>
            <w:vAlign w:val="bottom"/>
            <w:gridSpan w:val="7"/>
          </w:tcPr>
          <w:p>
            <w:pPr>
              <w:spacing w:after="0"/>
              <w:rPr>
                <w:sz w:val="15"/>
                <w:szCs w:val="15"/>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10.44*</w:t>
            </w:r>
          </w:p>
        </w:tc>
        <w:tc>
          <w:tcPr>
            <w:tcW w:w="4620" w:type="dxa"/>
            <w:vAlign w:val="bottom"/>
            <w:gridSpan w:val="32"/>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Executive Employment Agreement (without term)</w:t>
              </w:r>
            </w:hyperlink>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10.45*</w:t>
            </w:r>
          </w:p>
        </w:tc>
        <w:tc>
          <w:tcPr>
            <w:tcW w:w="4340" w:type="dxa"/>
            <w:vAlign w:val="bottom"/>
            <w:tcBorders>
              <w:top w:val="single" w:sz="8" w:color="0000FF"/>
              <w:bottom w:val="single" w:sz="8" w:color="0000FF"/>
            </w:tcBorders>
            <w:gridSpan w:val="21"/>
          </w:tcPr>
          <w:p>
            <w:pPr>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Form of Executive Employment Agreement (with term)</w:t>
              </w:r>
            </w:hyperlink>
          </w:p>
        </w:tc>
        <w:tc>
          <w:tcPr>
            <w:tcW w:w="240" w:type="dxa"/>
            <w:vAlign w:val="bottom"/>
            <w:tcBorders>
              <w:top w:val="single" w:sz="8" w:color="0000FF"/>
            </w:tcBorders>
            <w:gridSpan w:val="9"/>
          </w:tcPr>
          <w:p>
            <w:pPr>
              <w:spacing w:after="0"/>
              <w:rPr>
                <w:sz w:val="21"/>
                <w:szCs w:val="21"/>
                <w:color w:val="auto"/>
              </w:rPr>
            </w:pPr>
          </w:p>
        </w:tc>
        <w:tc>
          <w:tcPr>
            <w:tcW w:w="40" w:type="dxa"/>
            <w:vAlign w:val="bottom"/>
            <w:gridSpan w:val="2"/>
          </w:tcPr>
          <w:p>
            <w:pPr>
              <w:spacing w:after="0"/>
              <w:rPr>
                <w:sz w:val="21"/>
                <w:szCs w:val="21"/>
                <w:color w:val="auto"/>
              </w:rPr>
            </w:pPr>
          </w:p>
        </w:tc>
      </w:tr>
      <w:tr>
        <w:trPr>
          <w:trHeight w:val="669"/>
        </w:trPr>
        <w:tc>
          <w:tcPr>
            <w:tcW w:w="1260" w:type="dxa"/>
            <w:vAlign w:val="bottom"/>
          </w:tcPr>
          <w:p>
            <w:pPr>
              <w:spacing w:after="0"/>
              <w:rPr>
                <w:sz w:val="24"/>
                <w:szCs w:val="24"/>
                <w:color w:val="auto"/>
              </w:rPr>
            </w:pPr>
          </w:p>
        </w:tc>
        <w:tc>
          <w:tcPr>
            <w:tcW w:w="4540" w:type="dxa"/>
            <w:vAlign w:val="bottom"/>
            <w:gridSpan w:val="29"/>
          </w:tcPr>
          <w:p>
            <w:pPr>
              <w:ind w:left="4320"/>
              <w:spacing w:after="0"/>
              <w:rPr>
                <w:sz w:val="20"/>
                <w:szCs w:val="20"/>
                <w:color w:val="auto"/>
              </w:rPr>
            </w:pPr>
            <w:r>
              <w:rPr>
                <w:rFonts w:ascii="Arial" w:cs="Arial" w:eastAsia="Arial" w:hAnsi="Arial"/>
                <w:sz w:val="18"/>
                <w:szCs w:val="18"/>
                <w:color w:val="auto"/>
                <w:w w:val="99"/>
              </w:rPr>
              <w:t>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780" w:type="dxa"/>
            <w:vAlign w:val="bottom"/>
          </w:tcPr>
          <w:p>
            <w:pPr>
              <w:ind w:left="380"/>
              <w:spacing w:after="0"/>
              <w:rPr>
                <w:sz w:val="20"/>
                <w:szCs w:val="20"/>
                <w:color w:val="auto"/>
              </w:rPr>
            </w:pPr>
            <w:r>
              <w:rPr>
                <w:rFonts w:ascii="Arial" w:cs="Arial" w:eastAsia="Arial" w:hAnsi="Arial"/>
                <w:sz w:val="18"/>
                <w:szCs w:val="18"/>
                <w:color w:val="auto"/>
                <w:w w:val="99"/>
              </w:rPr>
              <w:t>January 16, 2015</w:t>
            </w:r>
          </w:p>
        </w:tc>
      </w:tr>
      <w:tr>
        <w:trPr>
          <w:trHeight w:val="66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1780" w:type="dxa"/>
            <w:vAlign w:val="bottom"/>
          </w:tcPr>
          <w:p>
            <w:pPr>
              <w:ind w:left="380"/>
              <w:spacing w:after="0"/>
              <w:rPr>
                <w:sz w:val="20"/>
                <w:szCs w:val="20"/>
                <w:color w:val="auto"/>
              </w:rPr>
            </w:pPr>
            <w:r>
              <w:rPr>
                <w:rFonts w:ascii="Arial" w:cs="Arial" w:eastAsia="Arial" w:hAnsi="Arial"/>
                <w:sz w:val="18"/>
                <w:szCs w:val="18"/>
                <w:color w:val="auto"/>
                <w:w w:val="99"/>
              </w:rPr>
              <w:t>January 16,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1920" w:type="dxa"/>
            <w:vAlign w:val="bottom"/>
          </w:tcPr>
          <w:p>
            <w:pPr>
              <w:jc w:val="center"/>
              <w:ind w:left="230"/>
              <w:spacing w:after="0"/>
              <w:rPr>
                <w:sz w:val="20"/>
                <w:szCs w:val="20"/>
                <w:color w:val="auto"/>
              </w:rPr>
            </w:pPr>
            <w:r>
              <w:rPr>
                <w:rFonts w:ascii="Arial" w:cs="Arial" w:eastAsia="Arial" w:hAnsi="Arial"/>
                <w:sz w:val="18"/>
                <w:szCs w:val="18"/>
                <w:color w:val="auto"/>
              </w:rPr>
              <w:t>March 4, 2015</w:t>
            </w:r>
          </w:p>
        </w:tc>
      </w:tr>
      <w:tr>
        <w:trPr>
          <w:trHeight w:val="662"/>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920" w:type="dxa"/>
            <w:vAlign w:val="bottom"/>
          </w:tcPr>
          <w:p>
            <w:pPr>
              <w:jc w:val="center"/>
              <w:ind w:left="230"/>
              <w:spacing w:after="0"/>
              <w:rPr>
                <w:sz w:val="20"/>
                <w:szCs w:val="20"/>
                <w:color w:val="auto"/>
              </w:rPr>
            </w:pPr>
            <w:r>
              <w:rPr>
                <w:rFonts w:ascii="Arial" w:cs="Arial" w:eastAsia="Arial" w:hAnsi="Arial"/>
                <w:sz w:val="18"/>
                <w:szCs w:val="18"/>
                <w:color w:val="auto"/>
              </w:rPr>
              <w:t>December 31,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580" w:type="dxa"/>
            <w:vAlign w:val="bottom"/>
          </w:tcPr>
          <w:p>
            <w:pPr>
              <w:ind w:left="460"/>
              <w:spacing w:after="0"/>
              <w:rPr>
                <w:sz w:val="20"/>
                <w:szCs w:val="20"/>
                <w:color w:val="auto"/>
              </w:rPr>
            </w:pPr>
            <w:r>
              <w:rPr>
                <w:rFonts w:ascii="Arial" w:cs="Arial" w:eastAsia="Arial" w:hAnsi="Arial"/>
                <w:sz w:val="18"/>
                <w:szCs w:val="18"/>
                <w:color w:val="auto"/>
                <w:w w:val="99"/>
              </w:rPr>
              <w:t>April 10, 2015</w:t>
            </w:r>
          </w:p>
        </w:tc>
      </w:tr>
      <w:tr>
        <w:trPr>
          <w:trHeight w:val="66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10.2</w:t>
            </w:r>
          </w:p>
        </w:tc>
        <w:tc>
          <w:tcPr>
            <w:tcW w:w="1580" w:type="dxa"/>
            <w:vAlign w:val="bottom"/>
          </w:tcPr>
          <w:p>
            <w:pPr>
              <w:ind w:left="460"/>
              <w:spacing w:after="0"/>
              <w:rPr>
                <w:sz w:val="20"/>
                <w:szCs w:val="20"/>
                <w:color w:val="auto"/>
              </w:rPr>
            </w:pPr>
            <w:r>
              <w:rPr>
                <w:rFonts w:ascii="Arial" w:cs="Arial" w:eastAsia="Arial" w:hAnsi="Arial"/>
                <w:sz w:val="18"/>
                <w:szCs w:val="18"/>
                <w:color w:val="auto"/>
                <w:w w:val="99"/>
              </w:rPr>
              <w:t>April 10,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2009</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9, 2016</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9, 2016</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8, 2017</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30, 2012</w:t>
            </w:r>
          </w:p>
        </w:tc>
      </w:tr>
      <w:tr>
        <w:trPr>
          <w:trHeight w:val="27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001-08920</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bl>
    <w:p>
      <w:pPr>
        <w:sectPr>
          <w:pgSz w:w="11900" w:h="16838" w:orient="portrait"/>
          <w:cols w:equalWidth="0" w:num="2">
            <w:col w:w="5880" w:space="300"/>
            <w:col w:w="4920"/>
          </w:cols>
          <w:pgMar w:left="280" w:top="675" w:right="519" w:bottom="1440" w:gutter="0" w:footer="0" w:header="0"/>
        </w:sectPr>
      </w:pPr>
    </w:p>
    <w:bookmarkStart w:id="103" w:name="page104"/>
    <w:bookmarkEnd w:id="103"/>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21.1‡</w:t>
            </w:r>
          </w:p>
        </w:tc>
        <w:tc>
          <w:tcPr>
            <w:tcW w:w="236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173">
              <w:r>
                <w:rPr>
                  <w:rFonts w:ascii="Arial" w:cs="Arial" w:eastAsia="Arial" w:hAnsi="Arial"/>
                  <w:sz w:val="18"/>
                  <w:szCs w:val="18"/>
                  <w:color w:val="0000FF"/>
                  <w:w w:val="99"/>
                </w:rPr>
                <w:t>Subsidiaries of the Registrant</w:t>
              </w:r>
            </w:hyperlink>
          </w:p>
        </w:tc>
        <w:tc>
          <w:tcPr>
            <w:tcW w:w="2160" w:type="dxa"/>
            <w:vAlign w:val="bottom"/>
            <w:gridSpan w:val="7"/>
          </w:tcPr>
          <w:p>
            <w:pPr>
              <w:spacing w:after="0"/>
              <w:rPr>
                <w:sz w:val="17"/>
                <w:szCs w:val="17"/>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23.1‡</w:t>
            </w:r>
          </w:p>
        </w:tc>
        <w:tc>
          <w:tcPr>
            <w:tcW w:w="4520" w:type="dxa"/>
            <w:vAlign w:val="bottom"/>
            <w:gridSpan w:val="10"/>
          </w:tcPr>
          <w:p>
            <w:pPr>
              <w:spacing w:after="0"/>
              <w:rPr>
                <w:rFonts w:ascii="Arial" w:cs="Arial" w:eastAsia="Arial" w:hAnsi="Arial"/>
                <w:sz w:val="18"/>
                <w:szCs w:val="18"/>
                <w:color w:val="0000FF"/>
              </w:rPr>
            </w:pPr>
            <w:hyperlink w:anchor="page175">
              <w:r>
                <w:rPr>
                  <w:rFonts w:ascii="Arial" w:cs="Arial" w:eastAsia="Arial" w:hAnsi="Arial"/>
                  <w:sz w:val="18"/>
                  <w:szCs w:val="18"/>
                  <w:color w:val="0000FF"/>
                </w:rPr>
                <w:t>Consent of Independent Registered Public Accounting</w:t>
              </w:r>
            </w:hyperlink>
          </w:p>
        </w:tc>
      </w:tr>
      <w:tr>
        <w:trPr>
          <w:trHeight w:val="183"/>
        </w:trPr>
        <w:tc>
          <w:tcPr>
            <w:tcW w:w="1220" w:type="dxa"/>
            <w:vAlign w:val="bottom"/>
          </w:tcPr>
          <w:p>
            <w:pPr>
              <w:spacing w:after="0"/>
              <w:rPr>
                <w:sz w:val="15"/>
                <w:szCs w:val="15"/>
                <w:color w:val="auto"/>
              </w:rPr>
            </w:pPr>
          </w:p>
        </w:tc>
        <w:tc>
          <w:tcPr>
            <w:tcW w:w="43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175">
              <w:r>
                <w:rPr>
                  <w:rFonts w:ascii="Arial" w:cs="Arial" w:eastAsia="Arial" w:hAnsi="Arial"/>
                  <w:sz w:val="18"/>
                  <w:szCs w:val="18"/>
                  <w:color w:val="0000FF"/>
                </w:rPr>
                <w:t>Firm</w:t>
              </w:r>
            </w:hyperlink>
          </w:p>
        </w:tc>
        <w:tc>
          <w:tcPr>
            <w:tcW w:w="200" w:type="dxa"/>
            <w:vAlign w:val="bottom"/>
            <w:gridSpan w:val="2"/>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4520" w:type="dxa"/>
            <w:vAlign w:val="bottom"/>
            <w:gridSpan w:val="10"/>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Certification of Chief Executive Officer pursuant to</w:t>
              </w:r>
            </w:hyperlink>
          </w:p>
        </w:tc>
      </w:tr>
      <w:tr>
        <w:trPr>
          <w:trHeight w:val="20"/>
        </w:trPr>
        <w:tc>
          <w:tcPr>
            <w:tcW w:w="12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448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w:anchor="page176">
              <w:r>
                <w:rPr>
                  <w:rFonts w:ascii="Arial" w:cs="Arial" w:eastAsia="Arial" w:hAnsi="Arial"/>
                  <w:sz w:val="18"/>
                  <w:szCs w:val="18"/>
                  <w:color w:val="0000FF"/>
                  <w:w w:val="99"/>
                </w:rPr>
                <w:t>Securities Exchange Act of 1934 Rule 13a-14(a) or 15d-</w:t>
              </w:r>
            </w:hyperlink>
          </w:p>
        </w:tc>
        <w:tc>
          <w:tcPr>
            <w:tcW w:w="4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FF"/>
              </w:rPr>
            </w:pPr>
            <w:hyperlink w:anchor="page176">
              <w:r>
                <w:rPr>
                  <w:rFonts w:ascii="Arial" w:cs="Arial" w:eastAsia="Arial" w:hAnsi="Arial"/>
                  <w:sz w:val="18"/>
                  <w:szCs w:val="18"/>
                  <w:color w:val="0000FF"/>
                </w:rPr>
                <w:t>14(a), as adopted pursuant to Section 302 of the</w:t>
              </w:r>
            </w:hyperlink>
          </w:p>
        </w:tc>
      </w:tr>
      <w:tr>
        <w:trPr>
          <w:trHeight w:val="183"/>
        </w:trPr>
        <w:tc>
          <w:tcPr>
            <w:tcW w:w="12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176">
              <w:r>
                <w:rPr>
                  <w:rFonts w:ascii="Arial" w:cs="Arial" w:eastAsia="Arial" w:hAnsi="Arial"/>
                  <w:sz w:val="18"/>
                  <w:szCs w:val="18"/>
                  <w:color w:val="0000FF"/>
                  <w:w w:val="99"/>
                </w:rPr>
                <w:t>Sarbanes-Oxley Act of 2002</w:t>
              </w:r>
            </w:hyperlink>
          </w:p>
        </w:tc>
        <w:tc>
          <w:tcPr>
            <w:tcW w:w="1600" w:type="dxa"/>
            <w:vAlign w:val="bottom"/>
            <w:tcBorders>
              <w:top w:val="single" w:sz="8" w:color="0000FF"/>
            </w:tcBorders>
            <w:gridSpan w:val="3"/>
          </w:tcPr>
          <w:p>
            <w:pPr>
              <w:spacing w:after="0"/>
              <w:rPr>
                <w:sz w:val="15"/>
                <w:szCs w:val="15"/>
                <w:color w:val="auto"/>
              </w:rPr>
            </w:pPr>
          </w:p>
        </w:tc>
        <w:tc>
          <w:tcPr>
            <w:tcW w:w="660" w:type="dxa"/>
            <w:vAlign w:val="bottom"/>
            <w:gridSpan w:val="5"/>
          </w:tcPr>
          <w:p>
            <w:pPr>
              <w:spacing w:after="0"/>
              <w:rPr>
                <w:sz w:val="15"/>
                <w:szCs w:val="15"/>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4520" w:type="dxa"/>
            <w:vAlign w:val="bottom"/>
            <w:gridSpan w:val="10"/>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Certification of Chief Financial Officer pursuant to</w:t>
              </w:r>
            </w:hyperlink>
          </w:p>
        </w:tc>
      </w:tr>
      <w:tr>
        <w:trPr>
          <w:trHeight w:val="20"/>
        </w:trPr>
        <w:tc>
          <w:tcPr>
            <w:tcW w:w="1220" w:type="dxa"/>
            <w:vAlign w:val="bottom"/>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448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w:anchor="page177">
              <w:r>
                <w:rPr>
                  <w:rFonts w:ascii="Arial" w:cs="Arial" w:eastAsia="Arial" w:hAnsi="Arial"/>
                  <w:sz w:val="18"/>
                  <w:szCs w:val="18"/>
                  <w:color w:val="0000FF"/>
                  <w:w w:val="99"/>
                </w:rPr>
                <w:t>Securities Exchange Act of 1934 Rule 13a-14(a) or 15d-</w:t>
              </w:r>
            </w:hyperlink>
          </w:p>
        </w:tc>
        <w:tc>
          <w:tcPr>
            <w:tcW w:w="4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FF"/>
              </w:rPr>
            </w:pPr>
            <w:hyperlink w:anchor="page177">
              <w:r>
                <w:rPr>
                  <w:rFonts w:ascii="Arial" w:cs="Arial" w:eastAsia="Arial" w:hAnsi="Arial"/>
                  <w:sz w:val="18"/>
                  <w:szCs w:val="18"/>
                  <w:color w:val="0000FF"/>
                </w:rPr>
                <w:t>14(a), as adopted pursuant to Section 302 of the</w:t>
              </w:r>
            </w:hyperlink>
          </w:p>
        </w:tc>
      </w:tr>
      <w:tr>
        <w:trPr>
          <w:trHeight w:val="183"/>
        </w:trPr>
        <w:tc>
          <w:tcPr>
            <w:tcW w:w="12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177">
              <w:r>
                <w:rPr>
                  <w:rFonts w:ascii="Arial" w:cs="Arial" w:eastAsia="Arial" w:hAnsi="Arial"/>
                  <w:sz w:val="18"/>
                  <w:szCs w:val="18"/>
                  <w:color w:val="0000FF"/>
                  <w:w w:val="99"/>
                </w:rPr>
                <w:t>Sarbanes-Oxley Act of 2002</w:t>
              </w:r>
            </w:hyperlink>
          </w:p>
        </w:tc>
        <w:tc>
          <w:tcPr>
            <w:tcW w:w="1600" w:type="dxa"/>
            <w:vAlign w:val="bottom"/>
            <w:tcBorders>
              <w:top w:val="single" w:sz="8" w:color="0000FF"/>
            </w:tcBorders>
            <w:gridSpan w:val="3"/>
          </w:tcPr>
          <w:p>
            <w:pPr>
              <w:spacing w:after="0"/>
              <w:rPr>
                <w:sz w:val="15"/>
                <w:szCs w:val="15"/>
                <w:color w:val="auto"/>
              </w:rPr>
            </w:pPr>
          </w:p>
        </w:tc>
        <w:tc>
          <w:tcPr>
            <w:tcW w:w="660" w:type="dxa"/>
            <w:vAlign w:val="bottom"/>
            <w:gridSpan w:val="5"/>
          </w:tcPr>
          <w:p>
            <w:pPr>
              <w:spacing w:after="0"/>
              <w:rPr>
                <w:sz w:val="15"/>
                <w:szCs w:val="15"/>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42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178">
              <w:r>
                <w:rPr>
                  <w:rFonts w:ascii="Arial" w:cs="Arial" w:eastAsia="Arial" w:hAnsi="Arial"/>
                  <w:sz w:val="18"/>
                  <w:szCs w:val="18"/>
                  <w:color w:val="0000FF"/>
                  <w:w w:val="99"/>
                </w:rPr>
                <w:t>Certifications pursuant to Securities Exchange Act of</w:t>
              </w:r>
            </w:hyperlink>
          </w:p>
        </w:tc>
        <w:tc>
          <w:tcPr>
            <w:tcW w:w="320" w:type="dxa"/>
            <w:vAlign w:val="bottom"/>
            <w:gridSpan w:val="3"/>
          </w:tcPr>
          <w:p>
            <w:pPr>
              <w:spacing w:after="0"/>
              <w:rPr>
                <w:sz w:val="20"/>
                <w:szCs w:val="20"/>
                <w:color w:val="auto"/>
              </w:rPr>
            </w:pPr>
          </w:p>
        </w:tc>
      </w:tr>
      <w:tr>
        <w:trPr>
          <w:trHeight w:val="183"/>
        </w:trPr>
        <w:tc>
          <w:tcPr>
            <w:tcW w:w="1220" w:type="dxa"/>
            <w:vAlign w:val="bottom"/>
          </w:tcPr>
          <w:p>
            <w:pPr>
              <w:spacing w:after="0"/>
              <w:rPr>
                <w:sz w:val="15"/>
                <w:szCs w:val="15"/>
                <w:color w:val="auto"/>
              </w:rPr>
            </w:pPr>
          </w:p>
        </w:tc>
        <w:tc>
          <w:tcPr>
            <w:tcW w:w="452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178">
              <w:r>
                <w:rPr>
                  <w:rFonts w:ascii="Arial" w:cs="Arial" w:eastAsia="Arial" w:hAnsi="Arial"/>
                  <w:sz w:val="18"/>
                  <w:szCs w:val="18"/>
                  <w:color w:val="0000FF"/>
                  <w:w w:val="99"/>
                </w:rPr>
                <w:t>1934 Rule 13a-14(b) or 15d-14(b) and 18 U.S.C. Section</w:t>
              </w:r>
            </w:hyperlink>
          </w:p>
        </w:tc>
      </w:tr>
      <w:tr>
        <w:trPr>
          <w:trHeight w:val="183"/>
        </w:trPr>
        <w:tc>
          <w:tcPr>
            <w:tcW w:w="1220" w:type="dxa"/>
            <w:vAlign w:val="bottom"/>
          </w:tcPr>
          <w:p>
            <w:pPr>
              <w:spacing w:after="0"/>
              <w:rPr>
                <w:sz w:val="15"/>
                <w:szCs w:val="15"/>
                <w:color w:val="auto"/>
              </w:rPr>
            </w:pPr>
          </w:p>
        </w:tc>
        <w:tc>
          <w:tcPr>
            <w:tcW w:w="4520" w:type="dxa"/>
            <w:vAlign w:val="bottom"/>
            <w:gridSpan w:val="10"/>
          </w:tcPr>
          <w:p>
            <w:pPr>
              <w:spacing w:after="0" w:line="182" w:lineRule="exact"/>
              <w:rPr>
                <w:rFonts w:ascii="Arial" w:cs="Arial" w:eastAsia="Arial" w:hAnsi="Arial"/>
                <w:sz w:val="18"/>
                <w:szCs w:val="18"/>
                <w:color w:val="0000FF"/>
              </w:rPr>
            </w:pPr>
            <w:hyperlink w:anchor="page178">
              <w:r>
                <w:rPr>
                  <w:rFonts w:ascii="Arial" w:cs="Arial" w:eastAsia="Arial" w:hAnsi="Arial"/>
                  <w:sz w:val="18"/>
                  <w:szCs w:val="18"/>
                  <w:color w:val="0000FF"/>
                </w:rPr>
                <w:t>1350, as adopted pursuant to Section 302 of the</w:t>
              </w:r>
            </w:hyperlink>
          </w:p>
        </w:tc>
      </w:tr>
      <w:tr>
        <w:trPr>
          <w:trHeight w:val="183"/>
        </w:trPr>
        <w:tc>
          <w:tcPr>
            <w:tcW w:w="12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178">
              <w:r>
                <w:rPr>
                  <w:rFonts w:ascii="Arial" w:cs="Arial" w:eastAsia="Arial" w:hAnsi="Arial"/>
                  <w:sz w:val="18"/>
                  <w:szCs w:val="18"/>
                  <w:color w:val="0000FF"/>
                  <w:w w:val="99"/>
                </w:rPr>
                <w:t>Sarbanes-Oxley Act of 2002</w:t>
              </w:r>
            </w:hyperlink>
          </w:p>
        </w:tc>
        <w:tc>
          <w:tcPr>
            <w:tcW w:w="1580" w:type="dxa"/>
            <w:vAlign w:val="bottom"/>
            <w:tcBorders>
              <w:top w:val="single" w:sz="8" w:color="0000FF"/>
            </w:tcBorders>
            <w:gridSpan w:val="2"/>
          </w:tcPr>
          <w:p>
            <w:pPr>
              <w:spacing w:after="0"/>
              <w:rPr>
                <w:sz w:val="15"/>
                <w:szCs w:val="15"/>
                <w:color w:val="auto"/>
              </w:rPr>
            </w:pPr>
          </w:p>
        </w:tc>
        <w:tc>
          <w:tcPr>
            <w:tcW w:w="680" w:type="dxa"/>
            <w:vAlign w:val="bottom"/>
            <w:gridSpan w:val="6"/>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8"/>
                <w:szCs w:val="18"/>
                <w:color w:val="auto"/>
              </w:rPr>
              <w:t>101.INS ‡</w:t>
            </w:r>
          </w:p>
        </w:tc>
        <w:tc>
          <w:tcPr>
            <w:tcW w:w="4520" w:type="dxa"/>
            <w:vAlign w:val="bottom"/>
            <w:gridSpan w:val="10"/>
          </w:tcPr>
          <w:p>
            <w:pPr>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101.SCH ‡</w:t>
            </w:r>
          </w:p>
        </w:tc>
        <w:tc>
          <w:tcPr>
            <w:tcW w:w="45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452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101.LAB ‡</w:t>
            </w:r>
          </w:p>
        </w:tc>
        <w:tc>
          <w:tcPr>
            <w:tcW w:w="452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101.PRE ‡</w:t>
            </w:r>
          </w:p>
        </w:tc>
        <w:tc>
          <w:tcPr>
            <w:tcW w:w="4520" w:type="dxa"/>
            <w:vAlign w:val="bottom"/>
            <w:gridSpan w:val="10"/>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53" w:lineRule="exact"/>
        <w:rPr>
          <w:sz w:val="20"/>
          <w:szCs w:val="20"/>
          <w:color w:val="auto"/>
        </w:rPr>
      </w:pPr>
    </w:p>
    <w:p>
      <w:pPr>
        <w:ind w:left="1225" w:right="5199" w:hanging="1225"/>
        <w:spacing w:after="0" w:line="246" w:lineRule="auto"/>
        <w:tabs>
          <w:tab w:leader="none" w:pos="3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 ‡ XBRL Taxonomy Extension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5" w:hanging="685"/>
        <w:spacing w:after="0"/>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contract, or arrangement</w:t>
      </w:r>
    </w:p>
    <w:p>
      <w:pPr>
        <w:spacing w:after="0" w:line="358" w:lineRule="exact"/>
        <w:rPr>
          <w:rFonts w:ascii="Arial" w:cs="Arial" w:eastAsia="Arial" w:hAnsi="Arial"/>
          <w:sz w:val="17"/>
          <w:szCs w:val="17"/>
          <w:color w:val="auto"/>
        </w:rPr>
      </w:pPr>
    </w:p>
    <w:p>
      <w:pPr>
        <w:ind w:left="5"/>
        <w:spacing w:after="0"/>
        <w:rPr>
          <w:rFonts w:ascii="Arial" w:cs="Arial" w:eastAsia="Arial" w:hAnsi="Arial"/>
          <w:sz w:val="17"/>
          <w:szCs w:val="17"/>
          <w:color w:val="auto"/>
        </w:rPr>
      </w:pPr>
      <w:r>
        <w:rPr>
          <w:rFonts w:ascii="Arial" w:cs="Arial" w:eastAsia="Arial" w:hAnsi="Arial"/>
          <w:sz w:val="18"/>
          <w:szCs w:val="18"/>
          <w:color w:val="auto"/>
        </w:rPr>
        <w:t>‡Indicates filed herewith</w:t>
      </w:r>
    </w:p>
    <w:p>
      <w:pPr>
        <w:spacing w:after="0" w:line="346" w:lineRule="exact"/>
        <w:rPr>
          <w:rFonts w:ascii="Arial" w:cs="Arial" w:eastAsia="Arial" w:hAnsi="Arial"/>
          <w:sz w:val="17"/>
          <w:szCs w:val="17"/>
          <w:color w:val="auto"/>
        </w:rPr>
      </w:pPr>
    </w:p>
    <w:p>
      <w:pPr>
        <w:ind w:left="5"/>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28" w:lineRule="exact"/>
        <w:rPr>
          <w:sz w:val="20"/>
          <w:szCs w:val="20"/>
          <w:color w:val="auto"/>
        </w:rPr>
      </w:pPr>
    </w:p>
    <w:p>
      <w:pPr>
        <w:ind w:left="5525"/>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184"/>
          </w:cols>
          <w:pgMar w:left="275" w:top="675" w:right="1440" w:bottom="1440" w:gutter="0" w:footer="0" w:header="0"/>
        </w:sectPr>
      </w:pPr>
    </w:p>
    <w:bookmarkStart w:id="104" w:name="page105"/>
    <w:bookmarkEnd w:id="104"/>
    <w:p>
      <w:pPr>
        <w:ind w:left="10300"/>
        <w:spacing w:after="0"/>
        <w:rPr>
          <w:sz w:val="20"/>
          <w:szCs w:val="20"/>
          <w:color w:val="auto"/>
        </w:rPr>
      </w:pPr>
      <w:r>
        <w:rPr>
          <w:rFonts w:ascii="Arial" w:cs="Arial" w:eastAsia="Arial" w:hAnsi="Arial"/>
          <w:sz w:val="19"/>
          <w:szCs w:val="19"/>
          <w:b w:val="1"/>
          <w:bCs w:val="1"/>
          <w:color w:val="auto"/>
        </w:rPr>
        <w:t>Exhibit 10.3</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November 6,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ABM Industries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One Liberty Plaza</w:t>
      </w:r>
    </w:p>
    <w:p>
      <w:pPr>
        <w:spacing w:after="0"/>
        <w:rPr>
          <w:sz w:val="20"/>
          <w:szCs w:val="20"/>
          <w:color w:val="auto"/>
        </w:rPr>
      </w:pPr>
      <w:r>
        <w:rPr>
          <w:rFonts w:ascii="Arial" w:cs="Arial" w:eastAsia="Arial" w:hAnsi="Arial"/>
          <w:sz w:val="20"/>
          <w:szCs w:val="20"/>
          <w:color w:val="auto"/>
        </w:rPr>
        <w:t>7th Floor</w:t>
      </w:r>
    </w:p>
    <w:p>
      <w:pPr>
        <w:spacing w:after="0"/>
        <w:rPr>
          <w:sz w:val="20"/>
          <w:szCs w:val="20"/>
          <w:color w:val="auto"/>
        </w:rPr>
      </w:pPr>
      <w:r>
        <w:rPr>
          <w:rFonts w:ascii="Arial" w:cs="Arial" w:eastAsia="Arial" w:hAnsi="Arial"/>
          <w:sz w:val="20"/>
          <w:szCs w:val="20"/>
          <w:color w:val="auto"/>
        </w:rPr>
        <w:t>New York, New York 10006</w:t>
      </w:r>
    </w:p>
    <w:p>
      <w:pPr>
        <w:spacing w:after="0"/>
        <w:rPr>
          <w:sz w:val="20"/>
          <w:szCs w:val="20"/>
          <w:color w:val="auto"/>
        </w:rPr>
      </w:pPr>
      <w:r>
        <w:rPr>
          <w:rFonts w:ascii="Arial" w:cs="Arial" w:eastAsia="Arial" w:hAnsi="Arial"/>
          <w:sz w:val="20"/>
          <w:szCs w:val="20"/>
          <w:color w:val="auto"/>
        </w:rPr>
        <w:t>Attention: Chief Financial Officer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Re:</w:t>
            </w:r>
          </w:p>
        </w:tc>
        <w:tc>
          <w:tcPr>
            <w:tcW w:w="10960" w:type="dxa"/>
            <w:vAlign w:val="bottom"/>
            <w:gridSpan w:val="3"/>
          </w:tcPr>
          <w:p>
            <w:pPr>
              <w:ind w:left="200"/>
              <w:spacing w:after="0"/>
              <w:rPr>
                <w:sz w:val="20"/>
                <w:szCs w:val="20"/>
                <w:color w:val="auto"/>
              </w:rPr>
            </w:pPr>
            <w:r>
              <w:rPr>
                <w:rFonts w:ascii="Arial" w:cs="Arial" w:eastAsia="Arial" w:hAnsi="Arial"/>
                <w:sz w:val="20"/>
                <w:szCs w:val="20"/>
                <w:color w:val="auto"/>
                <w:w w:val="90"/>
              </w:rPr>
              <w:t>Credit Agreement (as amended, modified, supplemented, increased and extended from time to time, the “Credit Agreement”) dated as</w:t>
            </w:r>
          </w:p>
        </w:tc>
      </w:tr>
      <w:tr>
        <w:trPr>
          <w:trHeight w:val="20"/>
        </w:trPr>
        <w:tc>
          <w:tcPr>
            <w:tcW w:w="46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p>
        </w:tc>
        <w:tc>
          <w:tcPr>
            <w:tcW w:w="10960" w:type="dxa"/>
            <w:vAlign w:val="bottom"/>
            <w:gridSpan w:val="3"/>
          </w:tcPr>
          <w:p>
            <w:pPr>
              <w:ind w:left="200"/>
              <w:spacing w:after="0"/>
              <w:rPr>
                <w:sz w:val="20"/>
                <w:szCs w:val="20"/>
                <w:color w:val="auto"/>
              </w:rPr>
            </w:pPr>
            <w:r>
              <w:rPr>
                <w:rFonts w:ascii="Arial" w:cs="Arial" w:eastAsia="Arial" w:hAnsi="Arial"/>
                <w:sz w:val="20"/>
                <w:szCs w:val="20"/>
                <w:color w:val="auto"/>
                <w:w w:val="94"/>
              </w:rPr>
              <w:t>of September 1, 2017 among ABM Industries Incorporated, a Delaware corporation, the Designated Borrowers party thereto, the</w:t>
            </w:r>
          </w:p>
        </w:tc>
      </w:tr>
      <w:tr>
        <w:trPr>
          <w:trHeight w:val="250"/>
        </w:trPr>
        <w:tc>
          <w:tcPr>
            <w:tcW w:w="460" w:type="dxa"/>
            <w:vAlign w:val="bottom"/>
          </w:tcPr>
          <w:p>
            <w:pPr>
              <w:spacing w:after="0"/>
              <w:rPr>
                <w:sz w:val="21"/>
                <w:szCs w:val="21"/>
                <w:color w:val="auto"/>
              </w:rPr>
            </w:pPr>
          </w:p>
        </w:tc>
        <w:tc>
          <w:tcPr>
            <w:tcW w:w="10960" w:type="dxa"/>
            <w:vAlign w:val="bottom"/>
            <w:gridSpan w:val="3"/>
          </w:tcPr>
          <w:p>
            <w:pPr>
              <w:ind w:left="200"/>
              <w:spacing w:after="0"/>
              <w:rPr>
                <w:sz w:val="20"/>
                <w:szCs w:val="20"/>
                <w:color w:val="auto"/>
              </w:rPr>
            </w:pPr>
            <w:r>
              <w:rPr>
                <w:rFonts w:ascii="Arial" w:cs="Arial" w:eastAsia="Arial" w:hAnsi="Arial"/>
                <w:sz w:val="20"/>
                <w:szCs w:val="20"/>
                <w:color w:val="auto"/>
              </w:rPr>
              <w:t>Lenders party thereto and Bank of America, N.A., as Administrative Agent.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but not otherwise defined herein shall have the meanings provided to such terms in the Credit Agreement.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Pursuant to Section 2.04(a) of the Credit Agreement each Swingline Loan is required to bear interest at the Base Rate plus the Applicable Rate. The Company has requested, and the Swingline Lender has agreed, that each Swingline Loan shall bear interest, for any day, at a rate equal to the sum of (a) the rate based on clause (b) of the definition of “Eurocurrency Rate” in Section 1.01 of the Credit Agreement plus (b) the Applicable Rate for Revolving Loans that are Eurocurrency Rate Loans.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the foregoing, (a) the Swingline Lender can at any time cancel this letter upon prior notice to the Company whereupon each Swingline Loan shall thereafter bear interest at the rate set forth in Section 2.04(a) of the Credit Agreement and (b) if the Swingline Lender has received the Swingline Participation Amount from any Lender with respect to a Swingline Loan, then such Swingline Loan shall thereafter bear interest at the rate set forth in Section 2.04(a) of the Credit Agreement.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letter agreement may be executed in counterparts which, taken together, shall constitute an original. Delivery of an executed counterpart of this letter agreement by facsimile or other electronic imaging means shall be effective as delivery of a manually executed counterpart thereof. This letter agreement shall be governed by, and construed in accordance with,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420"/>
          </w:cols>
          <w:pgMar w:left="240" w:top="585" w:right="2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Please sign and return a copy of this letter agreement to acknowledge and confirm your agreement to the terms set out herein.</w:t>
      </w: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BANK OF AMERICA, N.A., as Swingline Lender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Pendergast</w:t>
      </w:r>
    </w:p>
    <w:p>
      <w:pPr>
        <w:spacing w:after="0" w:line="15"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Alan Pendergast</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ABM INDUSTRIES INCORPORATED, a Delaware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 Anthony Scaglione</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 Anthony Scaglione</w:t>
      </w:r>
    </w:p>
    <w:p>
      <w:pPr>
        <w:spacing w:after="0"/>
        <w:tabs>
          <w:tab w:leader="none" w:pos="5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Vice President and Chief Financial Officer</w:t>
      </w:r>
    </w:p>
    <w:p>
      <w:pPr>
        <w:sectPr>
          <w:pgSz w:w="11900" w:h="16838" w:orient="portrait"/>
          <w:cols w:equalWidth="0" w:num="1">
            <w:col w:w="10219"/>
          </w:cols>
          <w:pgMar w:left="240" w:top="582"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THIS AMENDED AND RESTATED EXECUTIVE EMPLOYMENT AGREEMENT </w:t>
      </w:r>
      <w:r>
        <w:rPr>
          <w:rFonts w:ascii="Arial" w:cs="Arial" w:eastAsia="Arial" w:hAnsi="Arial"/>
          <w:sz w:val="22"/>
          <w:szCs w:val="22"/>
          <w:color w:val="auto"/>
        </w:rPr>
        <w:t>(“Agreement”) is effective November 1,</w:t>
      </w:r>
      <w:r>
        <w:rPr>
          <w:rFonts w:ascii="Arial" w:cs="Arial" w:eastAsia="Arial" w:hAnsi="Arial"/>
          <w:sz w:val="22"/>
          <w:szCs w:val="22"/>
          <w:b w:val="1"/>
          <w:bCs w:val="1"/>
          <w:color w:val="auto"/>
        </w:rPr>
        <w:t xml:space="preserve"> </w:t>
      </w:r>
      <w:r>
        <w:rPr>
          <w:rFonts w:ascii="Arial" w:cs="Arial" w:eastAsia="Arial" w:hAnsi="Arial"/>
          <w:sz w:val="22"/>
          <w:szCs w:val="22"/>
          <w:color w:val="auto"/>
        </w:rPr>
        <w:t>2017 (“Effective Date”) between Scott Salmirs (“Executive”) and ABM Industries Incorporated, a Delaware corporation (“Company” or “ABM”). As of the Effective Date, this Agreement supersedes in its entirety the Executive Employment Agreement dated March 31, 2015.</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In consideration of the terms and commitments contained in this Agreement, the parties agree to and acknowledge the following:</w:t>
      </w:r>
    </w:p>
    <w:p>
      <w:pPr>
        <w:spacing w:after="0" w:line="24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p>
    <w:p>
      <w:pPr>
        <w:spacing w:after="0" w:line="27" w:lineRule="exact"/>
        <w:rPr>
          <w:rFonts w:ascii="Arial" w:cs="Arial" w:eastAsia="Arial" w:hAnsi="Arial"/>
          <w:sz w:val="22"/>
          <w:szCs w:val="22"/>
          <w:b w:val="1"/>
          <w:bCs w:val="1"/>
          <w:color w:val="auto"/>
        </w:rPr>
      </w:pPr>
    </w:p>
    <w:p>
      <w:pPr>
        <w:ind w:left="660"/>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The Company agrees to employ Executive, and Executive hereby accepts such employment, on the terms and conditions set forth in this Agreement.</w:t>
      </w:r>
    </w:p>
    <w:p>
      <w:pPr>
        <w:spacing w:after="0" w:line="186" w:lineRule="exact"/>
        <w:rPr>
          <w:rFonts w:ascii="Arial" w:cs="Arial" w:eastAsia="Arial" w:hAnsi="Arial"/>
          <w:sz w:val="22"/>
          <w:szCs w:val="22"/>
          <w:b w:val="1"/>
          <w:bCs w:val="1"/>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DUTIES, RESPONSIBILITIES AND TITLE.</w:t>
      </w:r>
    </w:p>
    <w:p>
      <w:pPr>
        <w:spacing w:after="0" w:line="27" w:lineRule="exact"/>
        <w:rPr>
          <w:rFonts w:ascii="Arial" w:cs="Arial" w:eastAsia="Arial" w:hAnsi="Arial"/>
          <w:sz w:val="22"/>
          <w:szCs w:val="22"/>
          <w:b w:val="1"/>
          <w:bCs w:val="1"/>
          <w:color w:val="auto"/>
        </w:rPr>
      </w:pPr>
    </w:p>
    <w:p>
      <w:pPr>
        <w:jc w:val="both"/>
        <w:ind w:left="660"/>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Executive’s title shall be President and Chief Executive Officer of the Company. Executive shall have and perform such duties, functions and responsibilities relating to Executive's employment with Company as may be assigned from time to time by the Board of Directors, consistent with such position. Executive shall report directly to the Board of Directors and shall provide the services hereunder at the Company’s office located in New York City.</w:t>
      </w:r>
    </w:p>
    <w:p>
      <w:pPr>
        <w:spacing w:after="0" w:line="172" w:lineRule="exact"/>
        <w:rPr>
          <w:rFonts w:ascii="Arial" w:cs="Arial" w:eastAsia="Arial" w:hAnsi="Arial"/>
          <w:sz w:val="22"/>
          <w:szCs w:val="22"/>
          <w:b w:val="1"/>
          <w:bCs w:val="1"/>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7" w:lineRule="exact"/>
        <w:rPr>
          <w:rFonts w:ascii="Arial" w:cs="Arial" w:eastAsia="Arial" w:hAnsi="Arial"/>
          <w:sz w:val="22"/>
          <w:szCs w:val="22"/>
          <w:b w:val="1"/>
          <w:bCs w:val="1"/>
          <w:color w:val="auto"/>
        </w:rPr>
      </w:pPr>
    </w:p>
    <w:p>
      <w:pPr>
        <w:ind w:left="660"/>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During Executive’s employment hereunder, Company agrees to compensate Executive, and Executive agrees to accept as compensation in full, as follows:</w:t>
      </w:r>
    </w:p>
    <w:p>
      <w:pPr>
        <w:spacing w:after="0" w:line="192" w:lineRule="exact"/>
        <w:rPr>
          <w:rFonts w:ascii="Arial" w:cs="Arial" w:eastAsia="Arial" w:hAnsi="Arial"/>
          <w:sz w:val="22"/>
          <w:szCs w:val="22"/>
          <w:b w:val="1"/>
          <w:bCs w:val="1"/>
          <w:color w:val="auto"/>
        </w:rPr>
      </w:pPr>
    </w:p>
    <w:p>
      <w:pPr>
        <w:ind w:left="1300" w:hanging="648"/>
        <w:spacing w:after="0" w:line="248" w:lineRule="auto"/>
        <w:rPr>
          <w:rFonts w:ascii="Arial" w:cs="Arial" w:eastAsia="Arial" w:hAnsi="Arial"/>
          <w:sz w:val="22"/>
          <w:szCs w:val="22"/>
          <w:b w:val="1"/>
          <w:bCs w:val="1"/>
          <w:color w:val="auto"/>
        </w:rPr>
      </w:pPr>
      <w:r>
        <w:rPr>
          <w:rFonts w:ascii="Arial" w:cs="Arial" w:eastAsia="Arial" w:hAnsi="Arial"/>
          <w:sz w:val="22"/>
          <w:szCs w:val="22"/>
          <w:color w:val="auto"/>
        </w:rPr>
        <w:t>3.1 BASE SALARY. The Company shall pay to Executive an annual base salary (the “Base Salary”) in an amount to be determined by the Board of Directors or its applicable committee (as applicable, the “Committee”) in its sole discretion, provided that Executive’s initial Base Salary as of the Effective Date shall be at an annual rate of $900,000. The Base Salary shall be subject to applicable state and federal withholdings and shall be paid according to the Company’s standard payroll practices.</w:t>
      </w:r>
    </w:p>
    <w:p>
      <w:pPr>
        <w:spacing w:after="0" w:line="232" w:lineRule="exact"/>
        <w:rPr>
          <w:rFonts w:ascii="Arial" w:cs="Arial" w:eastAsia="Arial" w:hAnsi="Arial"/>
          <w:sz w:val="22"/>
          <w:szCs w:val="22"/>
          <w:b w:val="1"/>
          <w:bCs w:val="1"/>
          <w:color w:val="auto"/>
        </w:rPr>
      </w:pPr>
    </w:p>
    <w:p>
      <w:pPr>
        <w:ind w:left="1300" w:hanging="648"/>
        <w:spacing w:after="0" w:line="261" w:lineRule="auto"/>
        <w:rPr>
          <w:rFonts w:ascii="Arial" w:cs="Arial" w:eastAsia="Arial" w:hAnsi="Arial"/>
          <w:sz w:val="22"/>
          <w:szCs w:val="22"/>
          <w:b w:val="1"/>
          <w:bCs w:val="1"/>
          <w:color w:val="auto"/>
        </w:rPr>
      </w:pPr>
      <w:r>
        <w:rPr>
          <w:rFonts w:ascii="Arial" w:cs="Arial" w:eastAsia="Arial" w:hAnsi="Arial"/>
          <w:sz w:val="21"/>
          <w:szCs w:val="21"/>
          <w:color w:val="auto"/>
        </w:rPr>
        <w:t>3.2 BONUS. Executive will be eligible for annual incentive awards pursuant to the terms of the Cash Incentive Program or any applicable successor program (“Cash Bonus”). The target amount for Executive’s Cash Bonus shall be no less than one hundred percent (100%) of Base Salary (“Target Cash Bonus”). Executive’s actual Cash Bonus may range from 0% to an amount greater than Target Cash Bonus; provided that the maximum potential Cash Bonus will be no less than 185% of Base Salary. The Cash Bonus, if any, earned for a fiscal year will be paid no later than the March 15 following the completion of the performance year.</w:t>
      </w:r>
    </w:p>
    <w:p>
      <w:pPr>
        <w:spacing w:after="0" w:line="220" w:lineRule="exact"/>
        <w:rPr>
          <w:rFonts w:ascii="Arial" w:cs="Arial" w:eastAsia="Arial" w:hAnsi="Arial"/>
          <w:sz w:val="22"/>
          <w:szCs w:val="22"/>
          <w:b w:val="1"/>
          <w:bCs w:val="1"/>
          <w:color w:val="auto"/>
        </w:rPr>
      </w:pPr>
    </w:p>
    <w:p>
      <w:pPr>
        <w:ind w:left="1300" w:hanging="648"/>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3.3 EQUITY. Executive will be eligible to receive annual awards under the 2006 Equity Incentive Plan, as amended and restated, or any applicable successor plan (“Equity Plan”), subject to the terms and conditions of the applicable plan and as determined by the Committee in its discretion.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07" w:name="page108"/>
    <w:bookmarkEnd w:id="107"/>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REIMBURSEMENTS. The Company shall reimburse Executive for all reasonable and necessary out-of-pocket expenses incurred by Executive in connection with the performance of Executive’s duties hereunder, in accordance with the Company’s expense reimbursement policies and procedures.</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BENEFITS. Executive will be eligible to participate in the Company’s health, welfare and retirement benefit plans generally available for executive officers from time to time.</w:t>
      </w:r>
    </w:p>
    <w:p>
      <w:pPr>
        <w:spacing w:after="0" w:line="209" w:lineRule="exact"/>
        <w:rPr>
          <w:sz w:val="20"/>
          <w:szCs w:val="20"/>
          <w:color w:val="auto"/>
        </w:rPr>
      </w:pPr>
    </w:p>
    <w:p>
      <w:pPr>
        <w:jc w:val="both"/>
        <w:ind w:left="660" w:hanging="652"/>
        <w:spacing w:after="0" w:line="290" w:lineRule="auto"/>
        <w:tabs>
          <w:tab w:leader="none" w:pos="66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LAWS AND POLICIES; EMPLOYEE PROTECTIONS. </w:t>
      </w:r>
      <w:r>
        <w:rPr>
          <w:rFonts w:ascii="Arial" w:cs="Arial" w:eastAsia="Arial" w:hAnsi="Arial"/>
          <w:sz w:val="19"/>
          <w:szCs w:val="19"/>
          <w:color w:val="auto"/>
        </w:rPr>
        <w:t>Executive shall dedicate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full business time and attention to the performance of duties hereunder, perform Executive’s duties in good faith and to a professional standard, and fully comply with all laws and regulations pertaining to the performance of Executive’s responsibilities, all ethical rules, ABM’s Code of Business Conduct and Ethics, ABM’s Recoupment Policy as well as any and all of policies, procedures and instructions of ABM, in each case as in effect from time to time; provided, it shall not be a violation of the foregoing for Executive to manage Executive’s personal, financial and legal affairs to the extent that they do not interfere with Executive’s ability to perform Executive’s duties to the Company. Prior to joining or agreeing to serve on corporate, civil or charitable boards or committees, Executive shall obtain approval of the Chair of ABM’s Governance Committee or otherwise as required by ABM’s Corporate Governance Guidelines as in effect from time to time.</w:t>
      </w:r>
    </w:p>
    <w:p>
      <w:pPr>
        <w:spacing w:after="0" w:line="155" w:lineRule="exact"/>
        <w:rPr>
          <w:rFonts w:ascii="Arial" w:cs="Arial" w:eastAsia="Arial" w:hAnsi="Arial"/>
          <w:sz w:val="19"/>
          <w:szCs w:val="19"/>
          <w:b w:val="1"/>
          <w:bCs w:val="1"/>
          <w:color w:val="auto"/>
        </w:rPr>
      </w:pPr>
    </w:p>
    <w:p>
      <w:pPr>
        <w:jc w:val="both"/>
        <w:ind w:left="660"/>
        <w:spacing w:after="0" w:line="294" w:lineRule="auto"/>
        <w:rPr>
          <w:rFonts w:ascii="Arial" w:cs="Arial" w:eastAsia="Arial" w:hAnsi="Arial"/>
          <w:sz w:val="19"/>
          <w:szCs w:val="19"/>
          <w:b w:val="1"/>
          <w:bCs w:val="1"/>
          <w:color w:val="auto"/>
        </w:rPr>
      </w:pPr>
      <w:r>
        <w:rPr>
          <w:rFonts w:ascii="Arial" w:cs="Arial" w:eastAsia="Arial" w:hAnsi="Arial"/>
          <w:sz w:val="19"/>
          <w:szCs w:val="19"/>
          <w:color w:val="auto"/>
        </w:rPr>
        <w:t>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w:t>
      </w:r>
    </w:p>
    <w:p>
      <w:pPr>
        <w:spacing w:after="0" w:line="365" w:lineRule="exact"/>
        <w:rPr>
          <w:rFonts w:ascii="Arial" w:cs="Arial" w:eastAsia="Arial" w:hAnsi="Arial"/>
          <w:sz w:val="19"/>
          <w:szCs w:val="19"/>
          <w:b w:val="1"/>
          <w:bCs w:val="1"/>
          <w:color w:val="auto"/>
        </w:rPr>
      </w:pPr>
    </w:p>
    <w:p>
      <w:pPr>
        <w:jc w:val="both"/>
        <w:ind w:left="660"/>
        <w:spacing w:after="0" w:line="258" w:lineRule="auto"/>
        <w:rPr>
          <w:rFonts w:ascii="Arial" w:cs="Arial" w:eastAsia="Arial" w:hAnsi="Arial"/>
          <w:sz w:val="19"/>
          <w:szCs w:val="19"/>
          <w:b w:val="1"/>
          <w:bCs w:val="1"/>
          <w:color w:val="auto"/>
        </w:rPr>
      </w:pPr>
      <w:r>
        <w:rPr>
          <w:rFonts w:ascii="Arial" w:cs="Arial" w:eastAsia="Arial" w:hAnsi="Arial"/>
          <w:sz w:val="21"/>
          <w:szCs w:val="21"/>
          <w:color w:val="auto"/>
        </w:rPr>
        <w:t>Pursuant to Section 7 of the Defend Trade Secrets Act of 2016 (which added 18 U.S.C. § 1833(b)), the Company and Executive acknowledge and agree that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 Nothing in this Agreement or otherwise is intended to conflict with 18 U.S.C. § 1833(b) or create liability for disclosures of trade secrets that are expressly allowed by such Section.</w:t>
      </w:r>
    </w:p>
    <w:p>
      <w:pPr>
        <w:spacing w:after="0" w:line="177" w:lineRule="exact"/>
        <w:rPr>
          <w:rFonts w:ascii="Arial" w:cs="Arial" w:eastAsia="Arial" w:hAnsi="Arial"/>
          <w:sz w:val="19"/>
          <w:szCs w:val="19"/>
          <w:b w:val="1"/>
          <w:bCs w:val="1"/>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7" w:lineRule="exact"/>
        <w:rPr>
          <w:rFonts w:ascii="Arial" w:cs="Arial" w:eastAsia="Arial" w:hAnsi="Arial"/>
          <w:sz w:val="22"/>
          <w:szCs w:val="22"/>
          <w:b w:val="1"/>
          <w:bCs w:val="1"/>
          <w:color w:val="auto"/>
        </w:rPr>
      </w:pPr>
    </w:p>
    <w:p>
      <w:pPr>
        <w:jc w:val="both"/>
        <w:ind w:left="660"/>
        <w:spacing w:after="0" w:line="295" w:lineRule="auto"/>
        <w:rPr>
          <w:rFonts w:ascii="Arial" w:cs="Arial" w:eastAsia="Arial" w:hAnsi="Arial"/>
          <w:sz w:val="22"/>
          <w:szCs w:val="22"/>
          <w:b w:val="1"/>
          <w:bCs w:val="1"/>
          <w:color w:val="auto"/>
        </w:rPr>
      </w:pPr>
      <w:r>
        <w:rPr>
          <w:rFonts w:ascii="Arial" w:cs="Arial" w:eastAsia="Arial" w:hAnsi="Arial"/>
          <w:sz w:val="19"/>
          <w:szCs w:val="19"/>
          <w:color w:val="auto"/>
        </w:rPr>
        <w:t>In consideration of the compensation, contract term, potential Severance Benefits, continued 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 except that if Executive’s employment 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08" w:name="page109"/>
    <w:bookmarkEnd w:id="108"/>
    <w:p>
      <w:pPr>
        <w:jc w:val="both"/>
        <w:spacing w:after="0" w:line="253" w:lineRule="auto"/>
        <w:rPr>
          <w:sz w:val="20"/>
          <w:szCs w:val="20"/>
          <w:color w:val="auto"/>
        </w:rPr>
      </w:pPr>
      <w:r>
        <w:rPr>
          <w:rFonts w:ascii="Arial" w:cs="Arial" w:eastAsia="Arial" w:hAnsi="Arial"/>
          <w:sz w:val="22"/>
          <w:szCs w:val="22"/>
          <w:color w:val="auto"/>
        </w:rPr>
        <w:t>terminated under circumstances qualifying Executive for payments under the Change-in-Control Agreement (as defined below), the applicable restrictive covenants set forth in such Change-in-Control Agreement shall supersede Sections 5.3, 5.4, 5.5 and 5.6 below:</w:t>
      </w:r>
    </w:p>
    <w:p>
      <w:pPr>
        <w:spacing w:after="0" w:line="186"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the Company and its subsidiaries in the operation of its business, pricing plans and strategies, as well as information about the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the Company and its subsidiaries; customer leads or referrals; customer preferences, needs, and requirements (including customer likes and dislikes, as well as supply and staffing requirements) and the manner in which they have been met by the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the Company’s LCMS database, JDE , LMS or similar systems; (vi) any and all information related to past, current or future acquisitions between the Company or Company-affiliated entities including information used or relied upon for said acquisition (“Confidential Information”). Notwithstanding the generality of the foregoing, Confidential Information shall not include: (x) information known to Executive prior to Executive’s discussions with the Company regarding Executive’s employment with the Company; (y) contact information contained on Executive’s rolodex (other than for officers, directors, employees, and/or independent contractors of the Company and Company-affiliated entities); or (z) information that is or becomes generally known in the industry or part of the public domain.</w:t>
      </w:r>
    </w:p>
    <w:p>
      <w:pPr>
        <w:spacing w:after="0" w:line="206" w:lineRule="exact"/>
        <w:rPr>
          <w:sz w:val="20"/>
          <w:szCs w:val="20"/>
          <w:color w:val="auto"/>
        </w:rPr>
      </w:pPr>
    </w:p>
    <w:p>
      <w:pPr>
        <w:jc w:val="both"/>
        <w:ind w:left="640" w:hanging="647"/>
        <w:spacing w:after="0" w:line="289" w:lineRule="auto"/>
        <w:tabs>
          <w:tab w:leader="none" w:pos="6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NON-DISCLOSURE. The Company and Executive acknowledge and agree that the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the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591" w:right="239" w:bottom="1440" w:gutter="0" w:footer="0" w:header="0"/>
        </w:sectPr>
      </w:pPr>
    </w:p>
    <w:bookmarkStart w:id="109" w:name="page110"/>
    <w:bookmarkEnd w:id="109"/>
    <w:p>
      <w:pPr>
        <w:jc w:val="both"/>
        <w:ind w:left="100"/>
        <w:spacing w:after="0" w:line="259" w:lineRule="auto"/>
        <w:rPr>
          <w:sz w:val="20"/>
          <w:szCs w:val="20"/>
          <w:color w:val="auto"/>
        </w:rPr>
      </w:pPr>
      <w:r>
        <w:rPr>
          <w:rFonts w:ascii="Arial" w:cs="Arial" w:eastAsia="Arial" w:hAnsi="Arial"/>
          <w:sz w:val="21"/>
          <w:szCs w:val="21"/>
          <w:color w:val="auto"/>
        </w:rPr>
        <w:t>others after investing significant effort, time, and expense. Executive understands that Company or its subsidiaries would not make such Confidential Information available to Executive unless the Company was assured that all such Confidential Information will be held in trust and confidence in accordance with this Agreement and applicable law. Executive hereby acknowledges and agrees to use this Confidential Information solely for the benefit of the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221" w:lineRule="exact"/>
        <w:rPr>
          <w:sz w:val="20"/>
          <w:szCs w:val="20"/>
          <w:color w:val="auto"/>
        </w:rPr>
      </w:pPr>
    </w:p>
    <w:p>
      <w:pPr>
        <w:jc w:val="both"/>
        <w:ind w:left="100" w:hanging="647"/>
        <w:spacing w:after="0" w:line="284" w:lineRule="auto"/>
        <w:tabs>
          <w:tab w:leader="none" w:pos="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NON-SOLICITATION OF EMPLOYEES. Executive acknowledges and agrees that the Company has developed its work force as the result of its investment of substantial time, effort, and expense. During the course and solely as a result of Executive’s employment with the Company, Executive will come into contact with officers, directors, employees, and/or independent contractors of the Company and Company-affiliated 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the Company and for a period of twelve (12)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the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the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 provided, nothing in this Section 5.3 shall prevent Executive from serving as a reference in response to a bona fide inquiry regarding an employee or former employee of the Company.</w:t>
      </w:r>
    </w:p>
    <w:p>
      <w:pPr>
        <w:spacing w:after="0" w:line="200" w:lineRule="exact"/>
        <w:rPr>
          <w:sz w:val="20"/>
          <w:szCs w:val="20"/>
          <w:color w:val="auto"/>
        </w:rPr>
      </w:pPr>
    </w:p>
    <w:p>
      <w:pPr>
        <w:spacing w:after="0" w:line="272" w:lineRule="exact"/>
        <w:rPr>
          <w:sz w:val="20"/>
          <w:szCs w:val="20"/>
          <w:color w:val="auto"/>
        </w:rPr>
      </w:pPr>
    </w:p>
    <w:p>
      <w:pPr>
        <w:jc w:val="both"/>
        <w:ind w:left="100" w:hanging="647"/>
        <w:spacing w:after="0" w:line="259" w:lineRule="auto"/>
        <w:tabs>
          <w:tab w:leader="none" w:pos="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color w:val="auto"/>
        </w:rPr>
        <w:t>NON-SOLICITATION OF CUSTOMERS. Executive acknowledges and agrees that the Company and its subsidiaries have identified, solicited, and developed their customers and developed customer relationships as the result of their investment of significant time, effort, and expense and that the Company has a legitimate business interest in protecting these relationships. Executive further acknowledges that Executive would not have been privy to these relationships were it not for Executive’s employment by the Company. Executive further acknowledges and agrees that the loss of such customers and clients would damage the Company and potentially cause the Company great and irreparable harm. Consequently, Executive covenants and agrees that during and for twelve (12) months following the</w:t>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591" w:right="239" w:bottom="1440" w:gutter="0" w:footer="0" w:header="0"/>
        </w:sectPr>
      </w:pPr>
    </w:p>
    <w:bookmarkStart w:id="110" w:name="page111"/>
    <w:bookmarkEnd w:id="110"/>
    <w:p>
      <w:pPr>
        <w:jc w:val="both"/>
        <w:ind w:left="100"/>
        <w:spacing w:after="0" w:line="288" w:lineRule="auto"/>
        <w:rPr>
          <w:sz w:val="20"/>
          <w:szCs w:val="20"/>
          <w:color w:val="auto"/>
        </w:rPr>
      </w:pPr>
      <w:r>
        <w:rPr>
          <w:rFonts w:ascii="Arial" w:cs="Arial" w:eastAsia="Arial" w:hAnsi="Arial"/>
          <w:sz w:val="19"/>
          <w:szCs w:val="19"/>
          <w:color w:val="auto"/>
        </w:rPr>
        <w:t>termination of Executive’s employment with the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the Company within the twelve (12) month period preceding the effective date of Executive’s termination of employment; and/or (b) where the Company has business operations and Executive was provided Confidential Information regarding the Company’s business activities in those territories within the twelve (12) month period preceding the effective date of Executive’s termination of employment.</w:t>
      </w:r>
    </w:p>
    <w:p>
      <w:pPr>
        <w:spacing w:after="0" w:line="201" w:lineRule="exact"/>
        <w:rPr>
          <w:sz w:val="20"/>
          <w:szCs w:val="20"/>
          <w:color w:val="auto"/>
        </w:rPr>
      </w:pPr>
    </w:p>
    <w:p>
      <w:pPr>
        <w:jc w:val="both"/>
        <w:ind w:left="100" w:hanging="647"/>
        <w:spacing w:after="0" w:line="283" w:lineRule="auto"/>
        <w:tabs>
          <w:tab w:leader="none" w:pos="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POST EMPLOYMENT COMPETITION. Executive agrees that, while employed by the Company and for a period of twelve (12)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Company-affiliated entity of which Executive had Confidential Information, in the twelve (12)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 (12) month period preceding the effective date of Executive’s termination of employment; and/or</w:t>
      </w:r>
    </w:p>
    <w:p>
      <w:pPr>
        <w:spacing w:after="0" w:line="6" w:lineRule="exact"/>
        <w:rPr>
          <w:sz w:val="20"/>
          <w:szCs w:val="20"/>
          <w:color w:val="auto"/>
        </w:rPr>
      </w:pPr>
    </w:p>
    <w:p>
      <w:pPr>
        <w:jc w:val="both"/>
        <w:ind w:left="100" w:firstLine="5"/>
        <w:spacing w:after="0" w:line="244" w:lineRule="auto"/>
        <w:tabs>
          <w:tab w:leader="none" w:pos="422" w:val="left"/>
        </w:tabs>
        <w:numPr>
          <w:ilvl w:val="0"/>
          <w:numId w:val="47"/>
        </w:numPr>
        <w:rPr>
          <w:rFonts w:ascii="Arial" w:cs="Arial" w:eastAsia="Arial" w:hAnsi="Arial"/>
          <w:sz w:val="22"/>
          <w:szCs w:val="22"/>
          <w:color w:val="auto"/>
        </w:rPr>
      </w:pPr>
      <w:r>
        <w:rPr>
          <w:rFonts w:ascii="Arial" w:cs="Arial" w:eastAsia="Arial" w:hAnsi="Arial"/>
          <w:sz w:val="22"/>
          <w:szCs w:val="22"/>
          <w:color w:val="auto"/>
        </w:rPr>
        <w:t>where the Company has business operations and Executive was provided Confidential Information regarding the Company’s business activities in those territories within the twelve (12) month period preceding the effective date of Executive’s termination of employment. The restrictions in Section 5.5 shall only apply if, within the twelve (12)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w:t>
      </w:r>
    </w:p>
    <w:p>
      <w:pPr>
        <w:spacing w:after="0" w:line="235" w:lineRule="exact"/>
        <w:rPr>
          <w:sz w:val="20"/>
          <w:szCs w:val="20"/>
          <w:color w:val="auto"/>
        </w:rPr>
      </w:pPr>
    </w:p>
    <w:p>
      <w:pPr>
        <w:jc w:val="both"/>
        <w:ind w:left="100" w:hanging="647"/>
        <w:spacing w:after="0" w:line="297" w:lineRule="auto"/>
        <w:tabs>
          <w:tab w:leader="none" w:pos="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NON-DISPARAGEMENT. Following the termination of Executive’s employment for any reason, Executive agrees not to make any statement or take any action which disparages, defames, or places in a negative light the Company, Company-affiliated entities, or its or their reputation, goodwill, commercial interests or past and present officers, directors, employees, consultants, and/or agents, and the Company shall instruct its directors and executive officers to not make any statement or take any action which disparages, defames, or places in a negative light Executive.</w:t>
      </w:r>
    </w:p>
    <w:p>
      <w:pPr>
        <w:spacing w:after="0" w:line="188"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CREATIONS. The terms and conditions set forth in Appendix A attached hereto are hereby incorporated by reference as though fully set forth herein.</w:t>
      </w:r>
    </w:p>
    <w:p>
      <w:pPr>
        <w:spacing w:after="0" w:line="1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591" w:right="239" w:bottom="1440" w:gutter="0" w:footer="0" w:header="0"/>
        </w:sectPr>
      </w:pPr>
    </w:p>
    <w:bookmarkStart w:id="111" w:name="page112"/>
    <w:bookmarkEnd w:id="111"/>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color w:val="auto"/>
        </w:rPr>
        <w:t>CONFIDENTIAL INFORMATION OF OTHERS; NO CONFLICTS</w:t>
      </w:r>
      <w:r>
        <w:rPr>
          <w:rFonts w:ascii="Arial" w:cs="Arial" w:eastAsia="Arial" w:hAnsi="Arial"/>
          <w:sz w:val="19"/>
          <w:szCs w:val="19"/>
          <w:b w:val="1"/>
          <w:bCs w:val="1"/>
          <w:color w:val="auto"/>
        </w:rPr>
        <w:t>.</w:t>
      </w:r>
      <w:r>
        <w:rPr>
          <w:rFonts w:ascii="Arial" w:cs="Arial" w:eastAsia="Arial" w:hAnsi="Arial"/>
          <w:sz w:val="19"/>
          <w:szCs w:val="19"/>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Senior Vice President of Human Resources. Executive has not entered into, and Executive agrees Executive will not enter into, any oral or written agreement in conflict with this Agreement.</w:t>
      </w:r>
    </w:p>
    <w:p>
      <w:pPr>
        <w:spacing w:after="0" w:line="196" w:lineRule="exact"/>
        <w:rPr>
          <w:sz w:val="20"/>
          <w:szCs w:val="20"/>
          <w:color w:val="auto"/>
        </w:rPr>
      </w:pPr>
    </w:p>
    <w:p>
      <w:pPr>
        <w:jc w:val="both"/>
        <w:ind w:left="100" w:hanging="647"/>
        <w:spacing w:after="0" w:line="285" w:lineRule="auto"/>
        <w:tabs>
          <w:tab w:leader="none" w:pos="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COOPERATION WITH LEGAL MATTERS. During Executive’s employment with Company and thereafter, Executive shall reasonably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claims,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Executive shall be compensated for Executive’s time at an hourly rate of $250 per hour. However, during any period in which Executive is an employee of the Company, Executive shall not be so compensated.</w:t>
      </w:r>
    </w:p>
    <w:p>
      <w:pPr>
        <w:spacing w:after="0" w:line="200" w:lineRule="exact"/>
        <w:rPr>
          <w:sz w:val="20"/>
          <w:szCs w:val="20"/>
          <w:color w:val="auto"/>
        </w:rPr>
      </w:pPr>
    </w:p>
    <w:p>
      <w:pPr>
        <w:spacing w:after="0" w:line="259" w:lineRule="exact"/>
        <w:rPr>
          <w:sz w:val="20"/>
          <w:szCs w:val="20"/>
          <w:color w:val="auto"/>
        </w:rPr>
      </w:pPr>
    </w:p>
    <w:p>
      <w:pPr>
        <w:jc w:val="both"/>
        <w:ind w:left="100" w:hanging="647"/>
        <w:spacing w:after="0" w:line="294" w:lineRule="auto"/>
        <w:tabs>
          <w:tab w:leader="none" w:pos="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color w:val="auto"/>
        </w:rPr>
        <w:t>REMEDIES AND DAMAGES. The parties agree that compliance with Sections 5.1 - 5.7 of the Agreement and Appendix A is necessary to protect the business, reputation and goodwill of the Company and, in the case of Section 5.5 of the Agreement, the reputation and goodwill of Executive, that the restrictions contained herein are reasonable, and that any breach of Section 5 may result in irreparable and continuing harm to the Company or to Executive, for which monetary damages will not provide adequate relief. Accordingly, in the event of any actual or threatened breach of any covenant or promise made by either party in Section 5,</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841" w:right="239" w:bottom="1440" w:gutter="0" w:footer="0" w:header="0"/>
        </w:sectPr>
      </w:pPr>
    </w:p>
    <w:bookmarkStart w:id="112" w:name="page113"/>
    <w:bookmarkEnd w:id="112"/>
    <w:p>
      <w:pPr>
        <w:jc w:val="both"/>
        <w:ind w:left="1300"/>
        <w:spacing w:after="0" w:line="312" w:lineRule="auto"/>
        <w:rPr>
          <w:sz w:val="20"/>
          <w:szCs w:val="20"/>
          <w:color w:val="auto"/>
        </w:rPr>
      </w:pPr>
      <w:r>
        <w:rPr>
          <w:rFonts w:ascii="Arial" w:cs="Arial" w:eastAsia="Arial" w:hAnsi="Arial"/>
          <w:sz w:val="19"/>
          <w:szCs w:val="19"/>
          <w:color w:val="auto"/>
        </w:rPr>
        <w:t>Company and Executive agree that both parties shall be entitled to all appropriate remedies, including temporary restraining orders and injunctions enjoining or restraining such actual or threatened breach. Each of the Company and Executive hereby consents to the issuance thereof forthwith by any court of competent jurisdiction.</w:t>
      </w:r>
    </w:p>
    <w:p>
      <w:pPr>
        <w:spacing w:after="0" w:line="174"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5.11</w:t>
        <w:tab/>
        <w:t>LIMITATIONS. Nothing in this Agreement shall be binding upon the parties to the extent it is void or unenforceable for any reason in the State of New York,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227" w:lineRule="exact"/>
        <w:rPr>
          <w:sz w:val="20"/>
          <w:szCs w:val="20"/>
          <w:color w:val="auto"/>
        </w:rPr>
      </w:pPr>
    </w:p>
    <w:p>
      <w:pPr>
        <w:jc w:val="both"/>
        <w:ind w:left="660" w:hanging="652"/>
        <w:spacing w:after="0" w:line="260" w:lineRule="auto"/>
        <w:tabs>
          <w:tab w:leader="none" w:pos="66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AT-WILL EMPLOYMENT</w:t>
      </w:r>
      <w:r>
        <w:rPr>
          <w:rFonts w:ascii="Arial" w:cs="Arial" w:eastAsia="Arial" w:hAnsi="Arial"/>
          <w:sz w:val="21"/>
          <w:szCs w:val="21"/>
          <w:color w:val="auto"/>
        </w:rPr>
        <w:t>. The employment of Executive shall be “at-will” at all times. The Company or Executive may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for any reason, the Company shall pay to Executive all compensation to which Executive is entitled up through the date of termination, including accrued but unpaid Base Salary, any accrued and unused paid time off and any incurred but unpaid reimbursements (together “Accrued Obligations”). Thereafter, all obligations of the Company under this Agreement shall cease other than those set forth in Section 7.</w:t>
      </w:r>
    </w:p>
    <w:p>
      <w:pPr>
        <w:spacing w:after="0" w:line="216" w:lineRule="exact"/>
        <w:rPr>
          <w:rFonts w:ascii="Arial" w:cs="Arial" w:eastAsia="Arial" w:hAnsi="Arial"/>
          <w:sz w:val="21"/>
          <w:szCs w:val="21"/>
          <w:b w:val="1"/>
          <w:bCs w:val="1"/>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66" w:lineRule="exact"/>
        <w:rPr>
          <w:rFonts w:ascii="Arial" w:cs="Arial" w:eastAsia="Arial" w:hAnsi="Arial"/>
          <w:sz w:val="22"/>
          <w:szCs w:val="22"/>
          <w:b w:val="1"/>
          <w:bCs w:val="1"/>
          <w:color w:val="auto"/>
        </w:rPr>
      </w:pPr>
    </w:p>
    <w:p>
      <w:pPr>
        <w:jc w:val="right"/>
        <w:ind w:left="1300" w:hanging="648"/>
        <w:spacing w:after="0" w:line="283" w:lineRule="auto"/>
        <w:rPr>
          <w:rFonts w:ascii="Arial" w:cs="Arial" w:eastAsia="Arial" w:hAnsi="Arial"/>
          <w:sz w:val="22"/>
          <w:szCs w:val="22"/>
          <w:b w:val="1"/>
          <w:bCs w:val="1"/>
          <w:color w:val="auto"/>
        </w:rPr>
      </w:pPr>
      <w:r>
        <w:rPr>
          <w:rFonts w:ascii="Arial" w:cs="Arial" w:eastAsia="Arial" w:hAnsi="Arial"/>
          <w:sz w:val="19"/>
          <w:szCs w:val="19"/>
          <w:color w:val="auto"/>
        </w:rPr>
        <w:t>7.1    TERMINATION BY COMPANY FOR CAUSE. Where the Company terminates Executive’s employment for Cause, all obligations of the Company under this Agreement shall cease; provided the Company shall pay Executive the Accrued Obligations within thirty (30) days of the termination of Executive’s employment. For purposes of this Agreement, “Cause” shall mean the occurrence of one of the following: (i) Executive’s willful misconduct, dishonesty, or insubordination; (ii) Executive’s conviction (or entry of a plea bargain admitting criminal guilt) of any felony or a misdemeanor involving moral turpitude; (iii) drug or alcohol abuse that has a material effect on the performance of Executive’s duties and responsibilities under this Agreement; (iv) Executive’s willful and repeated failure to substantially perform Executive’s duties and responsibilities under this Agreement for reasons other than death or Disability, as defined below; (v) Executive’s willful and repeated inattention to duty for reasons other than death or Disability; (vi) Executive’s material and willful violation of the Company’s Code of Business Conduct; and</w:t>
      </w:r>
    </w:p>
    <w:p>
      <w:pPr>
        <w:spacing w:after="0" w:line="7" w:lineRule="exact"/>
        <w:rPr>
          <w:rFonts w:ascii="Arial" w:cs="Arial" w:eastAsia="Arial" w:hAnsi="Arial"/>
          <w:sz w:val="22"/>
          <w:szCs w:val="22"/>
          <w:b w:val="1"/>
          <w:bCs w:val="1"/>
          <w:color w:val="auto"/>
        </w:rPr>
      </w:pPr>
    </w:p>
    <w:p>
      <w:pPr>
        <w:jc w:val="both"/>
        <w:ind w:left="1300" w:right="20" w:firstLine="5"/>
        <w:spacing w:after="0" w:line="244" w:lineRule="auto"/>
        <w:tabs>
          <w:tab w:leader="none" w:pos="1734" w:val="left"/>
        </w:tabs>
        <w:numPr>
          <w:ilvl w:val="1"/>
          <w:numId w:val="48"/>
        </w:numPr>
        <w:rPr>
          <w:rFonts w:ascii="Arial" w:cs="Arial" w:eastAsia="Arial" w:hAnsi="Arial"/>
          <w:sz w:val="22"/>
          <w:szCs w:val="22"/>
          <w:color w:val="auto"/>
        </w:rPr>
      </w:pPr>
      <w:r>
        <w:rPr>
          <w:rFonts w:ascii="Arial" w:cs="Arial" w:eastAsia="Arial" w:hAnsi="Arial"/>
          <w:sz w:val="22"/>
          <w:szCs w:val="22"/>
          <w:color w:val="auto"/>
        </w:rPr>
        <w:t>any other material and willful breach of this Agreement by Executive.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23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TERMINATION BY THE COMPANY WITHOUT CAUSE OR TERMINATION BY THE EXECUTIVE FOR GOOD REASON. Where the Company terminates Executive’s employment without Cause, or Executive terminates Executive’s employment for Good Reason (as defined below), Executive shall be entitled to: (i) a payment equal in the aggregate to 2.5 times the sum of (A) Executive’s Base Salary and (B) Executive’s Target Cash Bonus, which payment shall be paid in equal installments (no less frequently than monthly) over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13" w:name="page114"/>
    <w:bookmarkEnd w:id="113"/>
    <w:p>
      <w:pPr>
        <w:jc w:val="both"/>
        <w:ind w:left="740"/>
        <w:spacing w:after="0" w:line="283" w:lineRule="auto"/>
        <w:rPr>
          <w:sz w:val="20"/>
          <w:szCs w:val="20"/>
          <w:color w:val="auto"/>
        </w:rPr>
      </w:pPr>
      <w:r>
        <w:rPr>
          <w:rFonts w:ascii="Arial" w:cs="Arial" w:eastAsia="Arial" w:hAnsi="Arial"/>
          <w:sz w:val="19"/>
          <w:szCs w:val="19"/>
          <w:color w:val="auto"/>
        </w:rPr>
        <w:t>30-month period following Executive’s separation from service, provided that any amounts otherwise payable prior to the effective date of the release referenced below shall be paid in a lump sum within 7 days following the effective date of such release; (ii) eighteen (18) months’ medical benefits coverage, which may be provided through COBRA reimbursement; (iii) Executive’s prorated Cash Bonus for the year of termination based on the Committee’s determination of actual performance following the end of the performance period; and (iv) any earned but unpaid Cash Bonus in respect of any completed fiscal year that has ended prior to the date of such termination (the amounts set forth in clauses (i) through (iv) collectively, the “Severance Benefits”); provided that Executive’s eligibility to receive the Severance Benefits is conditioned on: (A)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(B) Executive’s continued compliance with all continuing obligations under this Agreement, including but not limited to those set forth in Section 5. Executive shall not have any other rights or claims under this Agreement. For purposes of this Agreement, “Good Reason” shall mean the occurrence of one or more of the following events without Executive's prior written consent: (w) a material reduction in the Executive's Base Salary,</w:t>
      </w:r>
    </w:p>
    <w:p>
      <w:pPr>
        <w:spacing w:after="0" w:line="2" w:lineRule="exact"/>
        <w:rPr>
          <w:sz w:val="20"/>
          <w:szCs w:val="20"/>
          <w:color w:val="auto"/>
        </w:rPr>
      </w:pPr>
    </w:p>
    <w:p>
      <w:pPr>
        <w:jc w:val="both"/>
        <w:ind w:left="740" w:firstLine="5"/>
        <w:spacing w:after="0" w:line="256" w:lineRule="auto"/>
        <w:tabs>
          <w:tab w:leader="none" w:pos="1064" w:val="left"/>
        </w:tabs>
        <w:numPr>
          <w:ilvl w:val="0"/>
          <w:numId w:val="49"/>
        </w:numPr>
        <w:rPr>
          <w:rFonts w:ascii="Arial" w:cs="Arial" w:eastAsia="Arial" w:hAnsi="Arial"/>
          <w:sz w:val="21"/>
          <w:szCs w:val="21"/>
          <w:color w:val="auto"/>
        </w:rPr>
      </w:pPr>
      <w:r>
        <w:rPr>
          <w:rFonts w:ascii="Arial" w:cs="Arial" w:eastAsia="Arial" w:hAnsi="Arial"/>
          <w:sz w:val="21"/>
          <w:szCs w:val="21"/>
          <w:color w:val="auto"/>
        </w:rPr>
        <w:t>a material reduction in the Target Cash Bonus, (y) the Executive is no longer the most senior executive of the Company and/or reporting directly to the Board, or (z) the Company requires the Executive to change Executive’s principal location of work by more than 50 miles. No Good Reason shall exist unless Executive has provided notice of such circumstances giving rise to Good Reason in reasonable detail to the Company within 30 days following the occurrence of such circumstances and, to the extent such circumstances are susceptible to remedy, the Company has failed to remedy such circumstances within thirty (30) days of receiving such notice, and Executive shall have resigned within 30 days following expiration of such cure period. For the avoidance of doubt, in the event Executive becomes entitled to receive Severance Benefits, any such Severance Benefits that remain unpaid upon Executive’s death shall be paid to Executive’s estate.</w:t>
      </w:r>
    </w:p>
    <w:p>
      <w:pPr>
        <w:spacing w:after="0" w:line="189" w:lineRule="exact"/>
        <w:rPr>
          <w:sz w:val="20"/>
          <w:szCs w:val="20"/>
          <w:color w:val="auto"/>
        </w:rPr>
      </w:pPr>
    </w:p>
    <w:p>
      <w:pPr>
        <w:jc w:val="both"/>
        <w:ind w:left="740" w:hanging="742"/>
        <w:spacing w:after="0" w:line="288" w:lineRule="auto"/>
        <w:tabs>
          <w:tab w:leader="none" w:pos="7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VOLUNTARY TERMINATION BY EXECUTIVE. Executive may give written notice of Executive’s resignation of employment at any time during this Agreement pursuant to Section 6, and thereafter, all obligations of the Company under this Agreement shall cease; provided the Company shall pay Executive the Accrued Obligations within thirty</w:t>
      </w:r>
    </w:p>
    <w:p>
      <w:pPr>
        <w:spacing w:after="0" w:line="1" w:lineRule="exact"/>
        <w:rPr>
          <w:sz w:val="20"/>
          <w:szCs w:val="20"/>
          <w:color w:val="auto"/>
        </w:rPr>
      </w:pPr>
    </w:p>
    <w:p>
      <w:pPr>
        <w:jc w:val="both"/>
        <w:ind w:left="740" w:firstLine="5"/>
        <w:spacing w:after="0" w:line="244" w:lineRule="auto"/>
        <w:tabs>
          <w:tab w:leader="none" w:pos="1185" w:val="left"/>
        </w:tabs>
        <w:numPr>
          <w:ilvl w:val="0"/>
          <w:numId w:val="50"/>
        </w:numPr>
        <w:rPr>
          <w:rFonts w:ascii="Arial" w:cs="Arial" w:eastAsia="Arial" w:hAnsi="Arial"/>
          <w:sz w:val="22"/>
          <w:szCs w:val="22"/>
          <w:color w:val="auto"/>
        </w:rPr>
      </w:pPr>
      <w:r>
        <w:rPr>
          <w:rFonts w:ascii="Arial" w:cs="Arial" w:eastAsia="Arial" w:hAnsi="Arial"/>
          <w:sz w:val="22"/>
          <w:szCs w:val="22"/>
          <w:color w:val="auto"/>
        </w:rPr>
        <w:t>days of the termination of Executive’s employment or earlier as required by law.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200" w:lineRule="exact"/>
        <w:rPr>
          <w:sz w:val="20"/>
          <w:szCs w:val="20"/>
          <w:color w:val="auto"/>
        </w:rPr>
      </w:pPr>
    </w:p>
    <w:p>
      <w:pPr>
        <w:spacing w:after="0" w:line="212" w:lineRule="exact"/>
        <w:rPr>
          <w:sz w:val="20"/>
          <w:szCs w:val="20"/>
          <w:color w:val="auto"/>
        </w:rPr>
      </w:pPr>
    </w:p>
    <w:p>
      <w:pPr>
        <w:jc w:val="both"/>
        <w:ind w:left="740" w:hanging="742"/>
        <w:spacing w:after="0" w:line="260" w:lineRule="auto"/>
        <w:tabs>
          <w:tab w:leader="none" w:pos="7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color w:val="auto"/>
        </w:rPr>
        <w:t>RETIREMENT. With respect to equity-based awards granted following the Effective Date, in the event that Executive retires voluntarily from ABM following reaching age 60 with a minimum of 10 years of service, Executive’s then-outstanding equity-based awards under the Equity Plan (including any awards issued by an acquirer or successor to ABM in exchange or substitution for such awards) that were granted at least one year prior to such retirement will not be forfeited but will continue to be eligible for vesting, exercise and settlement, as applicable, on the originally scheduled vesting dates (and, for the avoidance of doubt with respect to performance-based awards, to the extent the applicable performance criteria</w:t>
      </w:r>
    </w:p>
    <w:p>
      <w:pPr>
        <w:spacing w:after="0" w:line="200" w:lineRule="exact"/>
        <w:rPr>
          <w:sz w:val="20"/>
          <w:szCs w:val="20"/>
          <w:color w:val="auto"/>
        </w:rPr>
      </w:pPr>
    </w:p>
    <w:p>
      <w:pPr>
        <w:spacing w:after="0" w:line="21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800" w:top="591" w:right="239" w:bottom="1440" w:gutter="0" w:footer="0" w:header="0"/>
        </w:sectPr>
      </w:pPr>
    </w:p>
    <w:bookmarkStart w:id="114" w:name="page115"/>
    <w:bookmarkEnd w:id="114"/>
    <w:p>
      <w:pPr>
        <w:ind w:left="740"/>
        <w:spacing w:after="0" w:line="263" w:lineRule="auto"/>
        <w:rPr>
          <w:sz w:val="20"/>
          <w:szCs w:val="20"/>
          <w:color w:val="auto"/>
        </w:rPr>
      </w:pPr>
      <w:r>
        <w:rPr>
          <w:rFonts w:ascii="Arial" w:cs="Arial" w:eastAsia="Arial" w:hAnsi="Arial"/>
          <w:sz w:val="22"/>
          <w:szCs w:val="22"/>
          <w:color w:val="auto"/>
        </w:rPr>
        <w:t>originally set forth in such awards are met), subject to Executive’s continued compliance with the covenants set forth in Section 5 hereof.</w:t>
      </w:r>
    </w:p>
    <w:p>
      <w:pPr>
        <w:spacing w:after="0" w:line="391" w:lineRule="exact"/>
        <w:rPr>
          <w:sz w:val="20"/>
          <w:szCs w:val="20"/>
          <w:color w:val="auto"/>
        </w:rPr>
      </w:pPr>
    </w:p>
    <w:p>
      <w:pPr>
        <w:jc w:val="both"/>
        <w:ind w:left="740" w:hanging="742"/>
        <w:spacing w:after="0" w:line="284" w:lineRule="auto"/>
        <w:tabs>
          <w:tab w:leader="none" w:pos="7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DEATH OR DISABILITY. Executive’s employment hereunder shall automatically terminate upon the death of Executive and may be terminated at the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the Company. If Executive’s employment is terminated by the Company due to Executive’s death or Disability, then (i) Executive, or, upon death, to Executive’s designated beneficiary or estate, as applicable, shall be eligible to receive (A) any earned but unpaid Cash Bonus in respect of any completed fiscal year that has ended prior to the date of such termination and (B) a prorated Target Cash Bonus based on the length of performance in the applicable performance period prior to death or Disability and (ii) Executive’s then-outstanding equity-based awards under the Equity Plan (including any awards issued by an acquirer or successor to ABM in exchange or substitution for such awards) (x) that are subject to time-based vesting will not be forfeited but will become immediately fully vested and (y) that are subject to performance-based vesting for then-ongoing performance periods shall immediately become fully vested with respect to the number of shares that would have become earned and vested if the target level of performance was met. In the case of Disability, Executive’s eligibility to receive the foregoing is conditioned on: (i)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(ii) Executive’s continued compliance with all continuing obligations under this Agreement, including but not limited to those set forth in Section 5. Thereafter, Executive and Executive’s designated beneficiary or estate, as applicable, shall not have any other rights or claims under this Agreement.</w:t>
      </w:r>
    </w:p>
    <w:p>
      <w:pPr>
        <w:spacing w:after="0" w:line="391" w:lineRule="exact"/>
        <w:rPr>
          <w:sz w:val="20"/>
          <w:szCs w:val="20"/>
          <w:color w:val="auto"/>
        </w:rPr>
      </w:pPr>
    </w:p>
    <w:p>
      <w:pPr>
        <w:jc w:val="both"/>
        <w:ind w:left="740" w:hanging="742"/>
        <w:spacing w:after="0" w:line="258" w:lineRule="auto"/>
        <w:tabs>
          <w:tab w:leader="none" w:pos="7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1"/>
          <w:szCs w:val="21"/>
          <w:color w:val="auto"/>
        </w:rPr>
        <w:t>TIMING OF PAYMENTS. For the avoidance of doubt and without limiting the generality of Section 10.7, the parties intend that, except as expressly provided otherwise, any payments that become payable to Executive pursuant to Section 7.2 are intended to be exempt from, or compliant with, Section 409A of the Internal Revenue Code (“Section 409A”), and except as expressly provided otherwise shall be paid within the short-term deferral period within the meaning of Treasury Regulation section 1.409A-1(b)(4) to the extent required to be paid no later than March 15th of the calendar year following the calendar year in which Executive incurs a separation from service or shall be deemed to be paid under a “separation pay plan” within the meaning of Section 409A to the extent applicable. Any Cash Bonus or prorated Cash Bonus that becomes payable to Executive pursuant to Section 7.2(iii) shall be paid to Executive following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end of the performance year.</w:t>
      </w:r>
    </w:p>
    <w:p>
      <w:pPr>
        <w:spacing w:after="0" w:line="396" w:lineRule="exact"/>
        <w:rPr>
          <w:sz w:val="20"/>
          <w:szCs w:val="20"/>
          <w:color w:val="auto"/>
        </w:rPr>
      </w:pPr>
    </w:p>
    <w:p>
      <w:pPr>
        <w:jc w:val="both"/>
        <w:ind w:left="740" w:hanging="742"/>
        <w:spacing w:after="0" w:line="250" w:lineRule="auto"/>
        <w:tabs>
          <w:tab w:leader="none" w:pos="72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2"/>
          <w:szCs w:val="22"/>
          <w:color w:val="auto"/>
        </w:rPr>
        <w:t>PAYMENTS AND BENEFITS WITH RESPECT TO A CHANGE IN CONTROL. Notwithstanding anything to the contrary in this Agreement or otherwise, if Executive’s employment is terminated under circumstances qualifying Executive for payments under the Change-in-Control Agreement between Executive and ABM (or any successor or amendment</w:t>
      </w:r>
    </w:p>
    <w:p>
      <w:pPr>
        <w:spacing w:after="0" w:line="200" w:lineRule="exact"/>
        <w:rPr>
          <w:sz w:val="20"/>
          <w:szCs w:val="20"/>
          <w:color w:val="auto"/>
        </w:rPr>
      </w:pP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800" w:top="807" w:right="239" w:bottom="1440" w:gutter="0" w:footer="0" w:header="0"/>
        </w:sectPr>
      </w:pPr>
    </w:p>
    <w:bookmarkStart w:id="115" w:name="page116"/>
    <w:bookmarkEnd w:id="115"/>
    <w:p>
      <w:pPr>
        <w:jc w:val="both"/>
        <w:ind w:left="740"/>
        <w:spacing w:after="0" w:line="253" w:lineRule="auto"/>
        <w:rPr>
          <w:sz w:val="20"/>
          <w:szCs w:val="20"/>
          <w:color w:val="auto"/>
        </w:rPr>
      </w:pPr>
      <w:r>
        <w:rPr>
          <w:rFonts w:ascii="Arial" w:cs="Arial" w:eastAsia="Arial" w:hAnsi="Arial"/>
          <w:sz w:val="22"/>
          <w:szCs w:val="22"/>
          <w:color w:val="auto"/>
        </w:rPr>
        <w:t>to such agreement, as applicable, the “Change-in-Control Agreement”), Executive shall not be entitled to the Severance Benefits under this Agreement and, alternatively, Executive’s entitlement to payments and benefits, if any, shall be governed by the terms of such Change-in-Control Agreement.</w:t>
      </w:r>
    </w:p>
    <w:p>
      <w:pPr>
        <w:spacing w:after="0" w:line="200" w:lineRule="exact"/>
        <w:rPr>
          <w:sz w:val="20"/>
          <w:szCs w:val="20"/>
          <w:color w:val="auto"/>
        </w:rPr>
      </w:pPr>
    </w:p>
    <w:p>
      <w:pPr>
        <w:spacing w:after="0" w:line="202" w:lineRule="exact"/>
        <w:rPr>
          <w:sz w:val="20"/>
          <w:szCs w:val="20"/>
          <w:color w:val="auto"/>
        </w:rPr>
      </w:pPr>
    </w:p>
    <w:p>
      <w:pPr>
        <w:jc w:val="both"/>
        <w:ind w:left="740" w:hanging="742"/>
        <w:spacing w:after="0" w:line="284" w:lineRule="auto"/>
        <w:tabs>
          <w:tab w:leader="none" w:pos="7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EXCESS PARACHUTE PAYMENTS. Notwithstanding any provision of this Agreement or any other agreement or plan to the contrary (including without limitation any lesser protection of Executive under any equity-based award agreement), if any amount or benefit to be paid or provided under this Agreement or any other agreement or plan would be an “excess parachute payment” under Section 280G of the Code (an “Excess Parachute Payment”) (including after taking into account the value, to the maximum extent permitted by Section 280G of the Code, of the covenants herein), but for the application of this sentence, then the payments and benefits to be paid or provided under this Agreement and any other agreements and plans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that is less than 90% of the After-Tax Amount of the payments and benefits that he would have received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herein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will not of itself limit or otherwise affect any other rights of the Executive pursuant to this Agreement or any other agreement or plan. In the event that any payment or benefit intended to be provided is required to be reduced pursuant to this Section,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740" w:hanging="742"/>
        <w:spacing w:after="0" w:line="289" w:lineRule="auto"/>
        <w:tabs>
          <w:tab w:leader="none" w:pos="7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ACTIONS UPON TERMINATION. Upon termination of Executive’s employment for any reason, Executive shall be deemed to have immediately resigned as an officer and/or director of the Company and of any Company 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 agrees that all property (including without limitation all equipment, tangible proprietary information,</w:t>
      </w:r>
    </w:p>
    <w:p>
      <w:pPr>
        <w:spacing w:after="0" w:line="39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800" w:top="807" w:right="239" w:bottom="1440" w:gutter="0" w:footer="0" w:header="0"/>
        </w:sectPr>
      </w:pPr>
    </w:p>
    <w:bookmarkStart w:id="116" w:name="page117"/>
    <w:bookmarkEnd w:id="116"/>
    <w:p>
      <w:pPr>
        <w:jc w:val="both"/>
        <w:ind w:left="1300"/>
        <w:spacing w:after="0" w:line="253" w:lineRule="auto"/>
        <w:rPr>
          <w:sz w:val="20"/>
          <w:szCs w:val="20"/>
          <w:color w:val="auto"/>
        </w:rPr>
      </w:pPr>
      <w:r>
        <w:rPr>
          <w:rFonts w:ascii="Arial" w:cs="Arial" w:eastAsia="Arial" w:hAnsi="Arial"/>
          <w:sz w:val="22"/>
          <w:szCs w:val="22"/>
          <w:color w:val="auto"/>
        </w:rPr>
        <w:t>documents, records, notes, contracts and computer-generated materials) furnished to or created or prepared by Executive incident to Executive’s employment with the Company belongs to the Company and shall be promptly returned to the Company upon termination of Executive’s employment.</w:t>
      </w:r>
    </w:p>
    <w:p>
      <w:pPr>
        <w:spacing w:after="0" w:line="200" w:lineRule="exact"/>
        <w:rPr>
          <w:sz w:val="20"/>
          <w:szCs w:val="20"/>
          <w:color w:val="auto"/>
        </w:rPr>
      </w:pPr>
    </w:p>
    <w:p>
      <w:pPr>
        <w:spacing w:after="0" w:line="202" w:lineRule="exact"/>
        <w:rPr>
          <w:sz w:val="20"/>
          <w:szCs w:val="20"/>
          <w:color w:val="auto"/>
        </w:rPr>
      </w:pPr>
    </w:p>
    <w:p>
      <w:pPr>
        <w:jc w:val="both"/>
        <w:ind w:left="1300" w:hanging="742"/>
        <w:spacing w:after="0" w:line="248" w:lineRule="auto"/>
        <w:tabs>
          <w:tab w:leader="none" w:pos="12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22"/>
          <w:szCs w:val="22"/>
          <w:color w:val="auto"/>
        </w:rPr>
        <w:t>WITHHOLDING AUTHORIZATION. To the fullest extent permitted under the laws of the State of Employment hereunder, Executive authorizes Company to withhold from any Severance Benefits otherwise due to Executive and from any other funds held for Executive’s benefit by Company, any undisputed damages or losses sustained by Company as a result of any material breach or other material violation of this Agreement by Executive, pending resolution of any underlying dispute.</w:t>
      </w:r>
    </w:p>
    <w:p>
      <w:pPr>
        <w:spacing w:after="0" w:line="186"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66" w:lineRule="exact"/>
        <w:rPr>
          <w:rFonts w:ascii="Arial" w:cs="Arial" w:eastAsia="Arial" w:hAnsi="Arial"/>
          <w:sz w:val="22"/>
          <w:szCs w:val="22"/>
          <w:b w:val="1"/>
          <w:bCs w:val="1"/>
          <w:color w:val="auto"/>
        </w:rPr>
      </w:pPr>
    </w:p>
    <w:p>
      <w:pPr>
        <w:ind w:left="1300" w:hanging="648"/>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8.1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ectPr>
          <w:pgSz w:w="11900" w:h="16838" w:orient="portrait"/>
          <w:cols w:equalWidth="0" w:num="1">
            <w:col w:w="11420"/>
          </w:cols>
          <w:pgMar w:left="240" w:top="807" w:right="239" w:bottom="1440" w:gutter="0" w:footer="0" w:header="0"/>
        </w:sectPr>
      </w:pP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Executive: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00" w:lineRule="exact"/>
        <w:rPr>
          <w:sz w:val="20"/>
          <w:szCs w:val="20"/>
          <w:color w:val="auto"/>
        </w:rPr>
      </w:pPr>
    </w:p>
    <w:p>
      <w:pPr>
        <w:sectPr>
          <w:pgSz w:w="11900" w:h="16838" w:orient="portrait"/>
          <w:cols w:equalWidth="0" w:num="2">
            <w:col w:w="2220" w:space="180"/>
            <w:col w:w="9020"/>
          </w:cols>
          <w:pgMar w:left="240" w:top="807"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ABM Industries Incorporated</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 Liberty Plaza, New York, NY 10006</w:t>
      </w:r>
    </w:p>
    <w:p>
      <w:pPr>
        <w:spacing w:after="0" w:line="200" w:lineRule="exact"/>
        <w:rPr>
          <w:sz w:val="20"/>
          <w:szCs w:val="20"/>
          <w:color w:val="auto"/>
        </w:rPr>
      </w:pPr>
    </w:p>
    <w:p>
      <w:pPr>
        <w:sectPr>
          <w:pgSz w:w="11900" w:h="16838" w:orient="portrait"/>
          <w:cols w:equalWidth="0" w:num="2">
            <w:col w:w="2200" w:space="400"/>
            <w:col w:w="8820"/>
          </w:cols>
          <w:pgMar w:left="240" w:top="807" w:right="239" w:bottom="1440" w:gutter="0" w:footer="0" w:header="0"/>
          <w:type w:val="continuous"/>
        </w:sectPr>
      </w:pPr>
    </w:p>
    <w:p>
      <w:pPr>
        <w:spacing w:after="0" w:line="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Copy: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ABM Industries Incorporated</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 Liberty Plaza, New York, NY 10006</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Attention: Senior Vice President of Human Resources</w:t>
      </w:r>
    </w:p>
    <w:p>
      <w:pPr>
        <w:spacing w:after="0" w:line="200" w:lineRule="exact"/>
        <w:rPr>
          <w:sz w:val="20"/>
          <w:szCs w:val="20"/>
          <w:color w:val="auto"/>
        </w:rPr>
      </w:pPr>
    </w:p>
    <w:p>
      <w:pPr>
        <w:sectPr>
          <w:pgSz w:w="11900" w:h="16838" w:orient="portrait"/>
          <w:cols w:equalWidth="0" w:num="2">
            <w:col w:w="1880" w:space="720"/>
            <w:col w:w="8820"/>
          </w:cols>
          <w:pgMar w:left="240" w:top="807" w:right="239" w:bottom="1440" w:gutter="0" w:footer="0" w:header="0"/>
          <w:type w:val="continuous"/>
        </w:sectPr>
      </w:pPr>
    </w:p>
    <w:p>
      <w:pPr>
        <w:spacing w:after="0" w:line="77"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color w:val="auto"/>
        </w:rPr>
        <w:t>RECEIPT. Any such notice shall be assumed to have been received when delivered in person or 48 hours after being sent in the manner specified above.</w:t>
      </w:r>
    </w:p>
    <w:p>
      <w:pPr>
        <w:spacing w:after="0" w:line="209" w:lineRule="exact"/>
        <w:rPr>
          <w:sz w:val="20"/>
          <w:szCs w:val="20"/>
          <w:color w:val="auto"/>
        </w:rPr>
      </w:pPr>
    </w:p>
    <w:p>
      <w:pPr>
        <w:jc w:val="both"/>
        <w:ind w:left="660" w:hanging="652"/>
        <w:spacing w:after="0" w:line="256" w:lineRule="auto"/>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 The Company shall indemnify, defend, and hold Executive harmless to the fullest extent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Company’s Articles of Incorporation, Bylaws, or any other operating document. In addition, the Executive shall be included under the Company’s Directors and Officers Liability Insurance Policy. For the avoidance of doubt, this Section 9 shall survive the termination of this Agreement.</w:t>
      </w:r>
    </w:p>
    <w:p>
      <w:pPr>
        <w:spacing w:after="0" w:line="217" w:lineRule="exact"/>
        <w:rPr>
          <w:rFonts w:ascii="Arial" w:cs="Arial" w:eastAsia="Arial" w:hAnsi="Arial"/>
          <w:sz w:val="22"/>
          <w:szCs w:val="22"/>
          <w:b w:val="1"/>
          <w:bCs w:val="1"/>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66" w:lineRule="exact"/>
        <w:rPr>
          <w:rFonts w:ascii="Arial" w:cs="Arial" w:eastAsia="Arial" w:hAnsi="Arial"/>
          <w:sz w:val="22"/>
          <w:szCs w:val="22"/>
          <w:b w:val="1"/>
          <w:bCs w:val="1"/>
          <w:color w:val="auto"/>
        </w:rPr>
      </w:pPr>
    </w:p>
    <w:p>
      <w:pPr>
        <w:ind w:left="1300" w:hanging="648"/>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10.1 GOVERNING LAW. This Agreement shall be interpreted and enforced in accordance with the laws of the State of Employment, which, for purposes of this Agreement, shall mean the state of New York.</w:t>
      </w:r>
    </w:p>
    <w:p>
      <w:pPr>
        <w:spacing w:after="0" w:line="215" w:lineRule="exact"/>
        <w:rPr>
          <w:rFonts w:ascii="Arial" w:cs="Arial" w:eastAsia="Arial" w:hAnsi="Arial"/>
          <w:sz w:val="22"/>
          <w:szCs w:val="22"/>
          <w:b w:val="1"/>
          <w:bCs w:val="1"/>
          <w:color w:val="auto"/>
        </w:rPr>
      </w:pPr>
    </w:p>
    <w:p>
      <w:pPr>
        <w:jc w:val="center"/>
        <w:ind w:left="1300" w:hanging="648"/>
        <w:spacing w:after="0" w:line="287" w:lineRule="auto"/>
        <w:rPr>
          <w:rFonts w:ascii="Arial" w:cs="Arial" w:eastAsia="Arial" w:hAnsi="Arial"/>
          <w:sz w:val="22"/>
          <w:szCs w:val="22"/>
          <w:b w:val="1"/>
          <w:bCs w:val="1"/>
          <w:color w:val="auto"/>
        </w:rPr>
      </w:pPr>
      <w:r>
        <w:rPr>
          <w:rFonts w:ascii="Arial" w:cs="Arial" w:eastAsia="Arial" w:hAnsi="Arial"/>
          <w:sz w:val="21"/>
          <w:szCs w:val="21"/>
          <w:color w:val="auto"/>
        </w:rPr>
        <w:t>10.2   NO WAIVER. Failure by either party to enforce any term or condition of this Agreement at any time shall not preclude that party from enforcing that provision, or any other provision of this Agreement, at any later time.</w:t>
      </w:r>
    </w:p>
    <w:p>
      <w:pPr>
        <w:spacing w:after="0" w:line="19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10.3</w:t>
        <w:tab/>
        <w:t>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7" w:right="239" w:bottom="1440" w:gutter="0" w:footer="0" w:header="0"/>
          <w:type w:val="continuous"/>
        </w:sectPr>
      </w:pPr>
    </w:p>
    <w:bookmarkStart w:id="117" w:name="page118"/>
    <w:bookmarkEnd w:id="117"/>
    <w:p>
      <w:pPr>
        <w:jc w:val="both"/>
        <w:ind w:left="100"/>
        <w:spacing w:after="0" w:line="292" w:lineRule="auto"/>
        <w:rPr>
          <w:sz w:val="20"/>
          <w:szCs w:val="20"/>
          <w:color w:val="auto"/>
        </w:rPr>
      </w:pPr>
      <w:r>
        <w:rPr>
          <w:rFonts w:ascii="Arial" w:cs="Arial" w:eastAsia="Arial" w:hAnsi="Arial"/>
          <w:sz w:val="19"/>
          <w:szCs w:val="19"/>
          <w:color w:val="auto"/>
        </w:rPr>
        <w:t>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92" w:lineRule="exact"/>
        <w:rPr>
          <w:sz w:val="20"/>
          <w:szCs w:val="20"/>
          <w:color w:val="auto"/>
        </w:rPr>
      </w:pPr>
    </w:p>
    <w:p>
      <w:pPr>
        <w:jc w:val="both"/>
        <w:ind w:left="100" w:hanging="647"/>
        <w:spacing w:after="0" w:line="253" w:lineRule="auto"/>
        <w:tabs>
          <w:tab w:leader="none" w:pos="80" w:val="left"/>
        </w:tabs>
        <w:rPr>
          <w:sz w:val="20"/>
          <w:szCs w:val="20"/>
          <w:color w:val="auto"/>
        </w:rPr>
      </w:pPr>
      <w:r>
        <w:rPr>
          <w:rFonts w:ascii="Arial" w:cs="Arial" w:eastAsia="Arial" w:hAnsi="Arial"/>
          <w:sz w:val="22"/>
          <w:szCs w:val="22"/>
          <w:color w:val="auto"/>
        </w:rPr>
        <w:t>10.4</w:t>
        <w:tab/>
        <w:t>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226"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10.5</w:t>
        <w:tab/>
        <w:t>SUCCESSORS. This Agreement is binding upon and shall inure to the benefit of the parties’ respective successors, assigns, administrators and legal representatives and Executive’s heirs and executors.</w:t>
      </w:r>
    </w:p>
    <w:p>
      <w:pPr>
        <w:spacing w:after="0" w:line="215" w:lineRule="exact"/>
        <w:rPr>
          <w:sz w:val="20"/>
          <w:szCs w:val="20"/>
          <w:color w:val="auto"/>
        </w:rPr>
      </w:pPr>
    </w:p>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201" w:lineRule="exact"/>
        <w:rPr>
          <w:sz w:val="20"/>
          <w:szCs w:val="20"/>
          <w:color w:val="auto"/>
        </w:rPr>
      </w:pPr>
    </w:p>
    <w:p>
      <w:pPr>
        <w:jc w:val="both"/>
        <w:ind w:left="100" w:hanging="647"/>
        <w:spacing w:after="0" w:line="286" w:lineRule="auto"/>
        <w:tabs>
          <w:tab w:leader="none" w:pos="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SECTION 409A. Without limiting the generality of Section 7.6, the parties intend for the payments and benefits under this Agreement to be exempt from Section 409A or, if not so exempt, to be paid or provided in a manner which complies with the requirements of such section, and intend that this Agreement shall be construed and administered in accordance with such intention. If any payments or benefits due to Executive hereunder would cause the application of an accelerated or additional tax under Section 409A, such payments or benefits shall be restructured in a mutually agreed upon manner that to the extent possible preserves the economic benefit and original intent thereof but does not cause such an accelerated or additional tax. For purposes of the limitations on nonqualified deferred compensation under Section 409A, each payment of compensation under this Agreement shall be treated as a separate payment of compensation.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 (6) month period immediately following Executive’s separation from service shall instead be paid on the first business day after the date that is six (6) months following Executive’s termination</w:t>
      </w: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591" w:right="239" w:bottom="1440" w:gutter="0" w:footer="0" w:header="0"/>
        </w:sectPr>
      </w:pPr>
    </w:p>
    <w:bookmarkStart w:id="118" w:name="page119"/>
    <w:bookmarkEnd w:id="118"/>
    <w:p>
      <w:pPr>
        <w:jc w:val="both"/>
        <w:ind w:left="100"/>
        <w:spacing w:after="0" w:line="245" w:lineRule="auto"/>
        <w:rPr>
          <w:sz w:val="20"/>
          <w:szCs w:val="20"/>
          <w:color w:val="auto"/>
        </w:rPr>
      </w:pPr>
      <w:r>
        <w:rPr>
          <w:rFonts w:ascii="Arial" w:cs="Arial" w:eastAsia="Arial" w:hAnsi="Arial"/>
          <w:sz w:val="22"/>
          <w:szCs w:val="22"/>
          <w:color w:val="auto"/>
        </w:rPr>
        <w:t>date (or death, if earlier). In the event that any payment under this Agreement may be made in two calendar years, depending on the timing of execution of a release, such payment shall be made in the later calendar year, to the extent required by Section 409A. Notwithstanding anything to the contrary in this Agreement, all (A) reimbursements 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w:t>
      </w:r>
    </w:p>
    <w:p>
      <w:pPr>
        <w:spacing w:after="0" w:line="240" w:lineRule="exact"/>
        <w:rPr>
          <w:sz w:val="20"/>
          <w:szCs w:val="20"/>
          <w:color w:val="auto"/>
        </w:rPr>
      </w:pPr>
    </w:p>
    <w:p>
      <w:pPr>
        <w:jc w:val="both"/>
        <w:ind w:left="100" w:hanging="647"/>
        <w:spacing w:after="0" w:line="302" w:lineRule="auto"/>
        <w:tabs>
          <w:tab w:leader="none" w:pos="8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color w:val="auto"/>
        </w:rPr>
        <w:t>COUNTERPARTS. This Agreement may be executed in several counterparts, each of which shall be deemed as an original, but all of which together shall constitute one and the same instrument binding on all of the parties hereto, notwithstanding that all of the parties are not signatory to the same counterpart. This Agreement may be executed either by original, facsimile, or electronic copy, each of which will be equally binding.</w:t>
      </w:r>
    </w:p>
    <w:p>
      <w:pPr>
        <w:spacing w:after="0" w:line="183"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21"/>
          <w:szCs w:val="21"/>
          <w:color w:val="auto"/>
        </w:rPr>
        <w:t xml:space="preserve">ENTIRE AGREEMENT. Unless otherwise specified herein, this Agreement, together with Appendix A, sets forth every contract, understanding and arrangement as to the employment relationship between Executive and the Company (other than the Change in Control Agreement and any equity award agreement under the Equity Plan;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the event that this Agreement conflicts with the terms of any equity award agreement,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shall govern unless otherwise expressly stated in such equity award agreement).</w:t>
      </w:r>
    </w:p>
    <w:p>
      <w:pPr>
        <w:spacing w:after="0" w:line="216" w:lineRule="exact"/>
        <w:rPr>
          <w:sz w:val="20"/>
          <w:szCs w:val="20"/>
          <w:color w:val="auto"/>
        </w:rPr>
      </w:pPr>
    </w:p>
    <w:p>
      <w:pPr>
        <w:jc w:val="both"/>
        <w:ind w:left="760" w:hanging="647"/>
        <w:spacing w:after="0" w:line="253" w:lineRule="auto"/>
        <w:rPr>
          <w:sz w:val="20"/>
          <w:szCs w:val="20"/>
          <w:color w:val="auto"/>
        </w:rPr>
      </w:pPr>
      <w:r>
        <w:rPr>
          <w:rFonts w:ascii="Arial" w:cs="Arial" w:eastAsia="Arial" w:hAnsi="Arial"/>
          <w:sz w:val="22"/>
          <w:szCs w:val="22"/>
          <w:color w:val="auto"/>
        </w:rPr>
        <w:t>10.9.a 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226" w:lineRule="exact"/>
        <w:rPr>
          <w:sz w:val="20"/>
          <w:szCs w:val="20"/>
          <w:color w:val="auto"/>
        </w:rPr>
      </w:pPr>
    </w:p>
    <w:p>
      <w:pPr>
        <w:jc w:val="both"/>
        <w:ind w:left="760" w:hanging="647"/>
        <w:spacing w:after="0" w:line="263" w:lineRule="auto"/>
        <w:rPr>
          <w:sz w:val="20"/>
          <w:szCs w:val="20"/>
          <w:color w:val="auto"/>
        </w:rPr>
      </w:pPr>
      <w:r>
        <w:rPr>
          <w:rFonts w:ascii="Arial" w:cs="Arial" w:eastAsia="Arial" w:hAnsi="Arial"/>
          <w:sz w:val="22"/>
          <w:szCs w:val="22"/>
          <w:color w:val="auto"/>
        </w:rPr>
        <w:t>10.9.b AMENDMENTS. This Agreement may not be amended except in a writing signed by the Executive and an authorized representative of the Company.</w:t>
      </w:r>
    </w:p>
    <w:p>
      <w:pPr>
        <w:spacing w:after="0" w:line="1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591" w:right="2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Executive and Company have executed this Agreement as of the date set forth above.</w:t>
      </w:r>
    </w:p>
    <w:p>
      <w:pPr>
        <w:spacing w:after="0" w:line="25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19"/>
          <w:szCs w:val="19"/>
          <w:b w:val="1"/>
          <w:bCs w:val="1"/>
          <w:color w:val="auto"/>
        </w:rPr>
        <w:t>Scott Salmirs</w:t>
      </w:r>
    </w:p>
    <w:p>
      <w:pPr>
        <w:spacing w:after="0" w:line="239"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Scott Salmirs</w:t>
      </w:r>
    </w:p>
    <w:p>
      <w:pPr>
        <w:spacing w:after="0" w:line="200" w:lineRule="exact"/>
        <w:rPr>
          <w:sz w:val="20"/>
          <w:szCs w:val="20"/>
          <w:color w:val="auto"/>
        </w:rPr>
      </w:pPr>
    </w:p>
    <w:p>
      <w:pPr>
        <w:spacing w:after="0" w:line="249"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19"/>
          <w:szCs w:val="19"/>
          <w:b w:val="1"/>
          <w:bCs w:val="1"/>
          <w:color w:val="auto"/>
        </w:rPr>
        <w:t>ABM Industries Incorporated</w:t>
      </w:r>
    </w:p>
    <w:p>
      <w:pPr>
        <w:spacing w:after="0" w:line="200" w:lineRule="exact"/>
        <w:rPr>
          <w:sz w:val="20"/>
          <w:szCs w:val="20"/>
          <w:color w:val="auto"/>
        </w:rPr>
      </w:pPr>
    </w:p>
    <w:p>
      <w:pPr>
        <w:spacing w:after="0" w:line="255"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Thomas M. Gartland</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xml:space="preserve">Name, Title: </w:t>
      </w:r>
      <w:r>
        <w:rPr>
          <w:rFonts w:ascii="Arial" w:cs="Arial" w:eastAsia="Arial" w:hAnsi="Arial"/>
          <w:sz w:val="22"/>
          <w:szCs w:val="22"/>
          <w:u w:val="single" w:color="auto"/>
          <w:color w:val="auto"/>
        </w:rPr>
        <w:t>Thomas M. Gartland, Chairman Compensation Committee</w:t>
      </w:r>
    </w:p>
    <w:p>
      <w:pPr>
        <w:spacing w:after="0" w:line="200" w:lineRule="exact"/>
        <w:rPr>
          <w:sz w:val="20"/>
          <w:szCs w:val="20"/>
          <w:color w:val="auto"/>
        </w:rPr>
      </w:pPr>
    </w:p>
    <w:p>
      <w:pPr>
        <w:spacing w:after="0" w:line="236"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801" w:right="1440"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APPENDIX A</w:t>
      </w:r>
    </w:p>
    <w:p>
      <w:pPr>
        <w:spacing w:after="0" w:line="226" w:lineRule="exact"/>
        <w:rPr>
          <w:sz w:val="20"/>
          <w:szCs w:val="20"/>
          <w:color w:val="auto"/>
        </w:rPr>
      </w:pPr>
    </w:p>
    <w:p>
      <w:pPr>
        <w:jc w:val="both"/>
        <w:ind w:left="1300" w:hanging="644"/>
        <w:spacing w:after="0" w:line="283" w:lineRule="auto"/>
        <w:tabs>
          <w:tab w:leader="none" w:pos="13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w:t>
      </w:r>
    </w:p>
    <w:p>
      <w:pPr>
        <w:spacing w:after="0" w:line="1" w:lineRule="exact"/>
        <w:rPr>
          <w:rFonts w:ascii="Arial" w:cs="Arial" w:eastAsia="Arial" w:hAnsi="Arial"/>
          <w:sz w:val="19"/>
          <w:szCs w:val="19"/>
          <w:color w:val="auto"/>
        </w:rPr>
      </w:pPr>
    </w:p>
    <w:p>
      <w:pPr>
        <w:jc w:val="both"/>
        <w:ind w:left="1300"/>
        <w:spacing w:after="0" w:line="244" w:lineRule="auto"/>
        <w:rPr>
          <w:rFonts w:ascii="Arial" w:cs="Arial" w:eastAsia="Arial" w:hAnsi="Arial"/>
          <w:sz w:val="19"/>
          <w:szCs w:val="19"/>
          <w:color w:val="auto"/>
        </w:rPr>
      </w:pPr>
      <w:r>
        <w:rPr>
          <w:rFonts w:ascii="Arial" w:cs="Arial" w:eastAsia="Arial" w:hAnsi="Arial"/>
          <w:sz w:val="22"/>
          <w:szCs w:val="22"/>
          <w:color w:val="auto"/>
        </w:rPr>
        <w:t>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95" w:lineRule="exact"/>
        <w:rPr>
          <w:rFonts w:ascii="Arial" w:cs="Arial" w:eastAsia="Arial" w:hAnsi="Arial"/>
          <w:sz w:val="19"/>
          <w:szCs w:val="19"/>
          <w:color w:val="auto"/>
        </w:rPr>
      </w:pPr>
    </w:p>
    <w:p>
      <w:pPr>
        <w:jc w:val="both"/>
        <w:ind w:left="1300" w:hanging="644"/>
        <w:spacing w:after="0" w:line="259" w:lineRule="auto"/>
        <w:tabs>
          <w:tab w:leader="none" w:pos="13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the Company at all times.</w:t>
      </w:r>
    </w:p>
    <w:p>
      <w:pPr>
        <w:spacing w:after="0" w:line="180"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5" w:right="239" w:bottom="1440" w:gutter="0" w:footer="0" w:header="0"/>
        </w:sectPr>
      </w:pPr>
    </w:p>
    <w:bookmarkStart w:id="121" w:name="page122"/>
    <w:bookmarkEnd w:id="121"/>
    <w:p>
      <w:pPr>
        <w:jc w:val="both"/>
        <w:ind w:left="1300"/>
        <w:spacing w:after="0" w:line="292" w:lineRule="auto"/>
        <w:rPr>
          <w:sz w:val="20"/>
          <w:szCs w:val="20"/>
          <w:color w:val="auto"/>
        </w:rPr>
      </w:pPr>
      <w:r>
        <w:rPr>
          <w:rFonts w:ascii="Arial" w:cs="Arial" w:eastAsia="Arial" w:hAnsi="Arial"/>
          <w:sz w:val="19"/>
          <w:szCs w:val="19"/>
          <w:color w:val="auto"/>
        </w:rPr>
        <w:t>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 LABOR CODE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2870-2872</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80" w:lineRule="exact"/>
        <w:rPr>
          <w:sz w:val="20"/>
          <w:szCs w:val="20"/>
          <w:color w:val="auto"/>
        </w:rPr>
      </w:pPr>
    </w:p>
    <w:p>
      <w:pPr>
        <w:ind w:left="1300" w:hanging="644"/>
        <w:spacing w:after="0" w:line="251"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 w:lineRule="exact"/>
        <w:rPr>
          <w:rFonts w:ascii="Arial" w:cs="Arial" w:eastAsia="Arial" w:hAnsi="Arial"/>
          <w:sz w:val="18"/>
          <w:szCs w:val="18"/>
          <w:color w:val="auto"/>
        </w:rPr>
      </w:pPr>
    </w:p>
    <w:p>
      <w:pPr>
        <w:ind w:left="1300" w:hanging="644"/>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22"/>
          <w:szCs w:val="22"/>
          <w:color w:val="auto"/>
        </w:rPr>
        <w:t>Result from any work performed by the employee for the employer.</w:t>
      </w:r>
    </w:p>
    <w:p>
      <w:pPr>
        <w:spacing w:after="0" w:line="3" w:lineRule="exact"/>
        <w:rPr>
          <w:rFonts w:ascii="Arial" w:cs="Arial" w:eastAsia="Arial" w:hAnsi="Arial"/>
          <w:sz w:val="18"/>
          <w:szCs w:val="18"/>
          <w:color w:val="auto"/>
        </w:rPr>
      </w:pPr>
    </w:p>
    <w:p>
      <w:pPr>
        <w:jc w:val="both"/>
        <w:ind w:firstLine="8"/>
        <w:spacing w:after="0" w:line="245" w:lineRule="auto"/>
        <w:tabs>
          <w:tab w:leader="none" w:pos="3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CHANGE IN CONTROL AGREEMENT</w:t>
      </w:r>
    </w:p>
    <w:p>
      <w:pPr>
        <w:spacing w:after="0" w:line="200" w:lineRule="exact"/>
        <w:rPr>
          <w:sz w:val="20"/>
          <w:szCs w:val="20"/>
          <w:color w:val="auto"/>
        </w:rPr>
      </w:pPr>
    </w:p>
    <w:p>
      <w:pPr>
        <w:spacing w:after="0" w:line="24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This Amended and Restated Change in Control Agreement (this “Agreement”), effective as of November 1, 2017, is made between ABM Industries Incorporated, a Delaware corporation (the “Company”) and the individual executing this Agreement as the Executive on the signature page (the “Executive”). This Agreement amends and restates the Change in Control Agreement dated effective as of March 31, 2015 and supersedes any other prior Change in Control Agreement between Executive and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firstLine="656"/>
        <w:spacing w:after="0" w:line="276" w:lineRule="auto"/>
        <w:tabs>
          <w:tab w:leader="none" w:pos="118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Executive is a senior executive of the Company and has made and is expected to continue to make major contributions to the short- and long-term profitability, growth and financial strength of the Company;</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16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recognizes that the possibility of a Change in Control, as hereinafter defined,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185" w:lineRule="exact"/>
        <w:rPr>
          <w:rFonts w:ascii="Arial" w:cs="Arial" w:eastAsia="Arial" w:hAnsi="Arial"/>
          <w:sz w:val="22"/>
          <w:szCs w:val="22"/>
          <w:color w:val="auto"/>
        </w:rPr>
      </w:pPr>
    </w:p>
    <w:p>
      <w:pPr>
        <w:ind w:firstLine="656"/>
        <w:spacing w:after="0" w:line="358" w:lineRule="auto"/>
        <w:tabs>
          <w:tab w:leader="none" w:pos="1148"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90" w:lineRule="exact"/>
        <w:rPr>
          <w:rFonts w:ascii="Arial" w:cs="Arial" w:eastAsia="Arial" w:hAnsi="Arial"/>
          <w:sz w:val="19"/>
          <w:szCs w:val="19"/>
          <w:color w:val="auto"/>
        </w:rPr>
      </w:pPr>
    </w:p>
    <w:p>
      <w:pPr>
        <w:ind w:firstLine="656"/>
        <w:spacing w:after="0" w:line="276" w:lineRule="auto"/>
        <w:tabs>
          <w:tab w:leader="none" w:pos="109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desires to provide additional inducement for the Executive to continue to remain in the employ of the Company. Accordingly, the Company and the Executive agree as follows:</w:t>
      </w:r>
    </w:p>
    <w:p>
      <w:pPr>
        <w:spacing w:after="0" w:line="161" w:lineRule="exact"/>
        <w:rPr>
          <w:sz w:val="20"/>
          <w:szCs w:val="20"/>
          <w:color w:val="auto"/>
        </w:rPr>
      </w:pPr>
    </w:p>
    <w:p>
      <w:pPr>
        <w:ind w:firstLine="656"/>
        <w:spacing w:after="0" w:line="263" w:lineRule="auto"/>
        <w:tabs>
          <w:tab w:leader="none" w:pos="145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In addition to terms defined elsewhere herein, the following terms have the following meanings when used in this Agreement with initial capital letters:</w:t>
      </w:r>
    </w:p>
    <w:p>
      <w:pPr>
        <w:spacing w:after="0" w:line="215" w:lineRule="exact"/>
        <w:rPr>
          <w:rFonts w:ascii="Arial" w:cs="Arial" w:eastAsia="Arial" w:hAnsi="Arial"/>
          <w:sz w:val="22"/>
          <w:szCs w:val="22"/>
          <w:color w:val="auto"/>
        </w:rPr>
      </w:pPr>
    </w:p>
    <w:p>
      <w:pPr>
        <w:jc w:val="both"/>
        <w:ind w:firstLine="980"/>
        <w:spacing w:after="0" w:line="253" w:lineRule="auto"/>
        <w:tabs>
          <w:tab w:leader="none" w:pos="1605" w:val="left"/>
        </w:tabs>
        <w:numPr>
          <w:ilvl w:val="1"/>
          <w:numId w:val="57"/>
        </w:numPr>
        <w:rPr>
          <w:rFonts w:ascii="Arial" w:cs="Arial" w:eastAsia="Arial" w:hAnsi="Arial"/>
          <w:sz w:val="22"/>
          <w:szCs w:val="22"/>
          <w:color w:val="auto"/>
        </w:rPr>
      </w:pPr>
      <w:r>
        <w:rPr>
          <w:rFonts w:ascii="Arial" w:cs="Arial" w:eastAsia="Arial" w:hAnsi="Arial"/>
          <w:sz w:val="22"/>
          <w:szCs w:val="22"/>
          <w:color w:val="auto"/>
        </w:rPr>
        <w:t>“After-Tax Amount” means the amount to be received by an Executive determined on an after-tax basis taking into account the excise tax imposed pursuant to Section 4999 of the Code, any tax imposed by any comparable provision of state law and any applicable federal, state and local income and employment taxes.</w:t>
      </w:r>
    </w:p>
    <w:p>
      <w:pPr>
        <w:spacing w:after="0" w:line="226" w:lineRule="exact"/>
        <w:rPr>
          <w:rFonts w:ascii="Arial" w:cs="Arial" w:eastAsia="Arial" w:hAnsi="Arial"/>
          <w:sz w:val="22"/>
          <w:szCs w:val="22"/>
          <w:color w:val="auto"/>
        </w:rPr>
      </w:pPr>
    </w:p>
    <w:p>
      <w:pPr>
        <w:ind w:right="20" w:firstLine="980"/>
        <w:spacing w:after="0" w:line="263" w:lineRule="auto"/>
        <w:tabs>
          <w:tab w:leader="none" w:pos="1549" w:val="left"/>
        </w:tabs>
        <w:numPr>
          <w:ilvl w:val="1"/>
          <w:numId w:val="57"/>
        </w:numPr>
        <w:rPr>
          <w:rFonts w:ascii="Arial" w:cs="Arial" w:eastAsia="Arial" w:hAnsi="Arial"/>
          <w:sz w:val="22"/>
          <w:szCs w:val="22"/>
          <w:color w:val="auto"/>
        </w:rPr>
      </w:pPr>
      <w:r>
        <w:rPr>
          <w:rFonts w:ascii="Arial" w:cs="Arial" w:eastAsia="Arial" w:hAnsi="Arial"/>
          <w:sz w:val="22"/>
          <w:szCs w:val="22"/>
          <w:color w:val="auto"/>
        </w:rPr>
        <w:t>“Base Pay” means the Executive’s annual base salary rate as in effect at the time a determination is required to be made under Section 4.</w:t>
      </w:r>
    </w:p>
    <w:p>
      <w:pPr>
        <w:spacing w:after="0" w:line="215" w:lineRule="exact"/>
        <w:rPr>
          <w:rFonts w:ascii="Arial" w:cs="Arial" w:eastAsia="Arial" w:hAnsi="Arial"/>
          <w:sz w:val="22"/>
          <w:szCs w:val="22"/>
          <w:color w:val="auto"/>
        </w:rPr>
      </w:pPr>
    </w:p>
    <w:p>
      <w:pPr>
        <w:jc w:val="both"/>
        <w:ind w:firstLine="980"/>
        <w:spacing w:after="0" w:line="297" w:lineRule="auto"/>
        <w:tabs>
          <w:tab w:leader="none" w:pos="1536" w:val="left"/>
        </w:tabs>
        <w:numPr>
          <w:ilvl w:val="1"/>
          <w:numId w:val="57"/>
        </w:numPr>
        <w:rPr>
          <w:rFonts w:ascii="Arial" w:cs="Arial" w:eastAsia="Arial" w:hAnsi="Arial"/>
          <w:sz w:val="19"/>
          <w:szCs w:val="19"/>
          <w:color w:val="auto"/>
        </w:rPr>
      </w:pPr>
      <w:r>
        <w:rPr>
          <w:rFonts w:ascii="Arial" w:cs="Arial" w:eastAsia="Arial" w:hAnsi="Arial"/>
          <w:sz w:val="19"/>
          <w:szCs w:val="19"/>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 adopted by a majority of the Incumbent Directors by written action, whether or not unanimous, or may be delegated by specific action of the Board of Directors after the date hereof to any directorate committee comprised solely of Incumbent Directors who are also Independent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23" w:name="page124"/>
    <w:bookmarkEnd w:id="123"/>
    <w:p>
      <w:pPr>
        <w:jc w:val="both"/>
        <w:ind w:firstLine="980"/>
        <w:spacing w:after="0" w:line="286" w:lineRule="auto"/>
        <w:tabs>
          <w:tab w:leader="none" w:pos="1549" w:val="left"/>
        </w:tabs>
        <w:numPr>
          <w:ilvl w:val="1"/>
          <w:numId w:val="58"/>
        </w:numPr>
        <w:rPr>
          <w:rFonts w:ascii="Arial" w:cs="Arial" w:eastAsia="Arial" w:hAnsi="Arial"/>
          <w:sz w:val="19"/>
          <w:szCs w:val="19"/>
          <w:color w:val="auto"/>
        </w:rPr>
      </w:pPr>
      <w:r>
        <w:rPr>
          <w:rFonts w:ascii="Arial" w:cs="Arial" w:eastAsia="Arial" w:hAnsi="Arial"/>
          <w:sz w:val="19"/>
          <w:szCs w:val="19"/>
          <w:color w:val="auto"/>
        </w:rPr>
        <w:t>“Cause” shall mean, with respect to the Executive: (i) the willful and continued failure to substantially perform the Executive’s duties and responsibilities for reasons other than death or disability, after a written demand for substantial performance is delivered to him/her by the Company which specifically identifies the manner in which the Company believes that the Executive has not substantially performed the Executive’s duties; (ii) the Executive’s conviction (or entry of a plea bargain admitting criminal guilt) of any felony or a misdemeanor involving moral turpitude; (iii) intentional breach by the Executive of his/her fiduciary obligations to the Company or any securities laws applicable to the Company for which Executive has direct responsibility and of which he was not acting under instructions of the Board or under the belief, based on advice of Company counsel, that his conduct was appropriate; or (iv) intentional wrongful engagement by the Executive in any Competitive Activity; and, for purposes of this subsection (iv),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firstLine="980"/>
        <w:spacing w:after="0" w:line="263" w:lineRule="auto"/>
        <w:tabs>
          <w:tab w:leader="none" w:pos="1536"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“Change in Control” means that any of the following events occurs;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occurrence of such event constitutes a “change in effective ownership or control” of the Company, as defined in Section 409A:</w:t>
      </w:r>
    </w:p>
    <w:p>
      <w:pPr>
        <w:spacing w:after="0" w:line="215" w:lineRule="exact"/>
        <w:rPr>
          <w:rFonts w:ascii="Arial" w:cs="Arial" w:eastAsia="Arial" w:hAnsi="Arial"/>
          <w:sz w:val="22"/>
          <w:szCs w:val="22"/>
          <w:color w:val="auto"/>
        </w:rPr>
      </w:pPr>
    </w:p>
    <w:p>
      <w:pPr>
        <w:jc w:val="both"/>
        <w:ind w:firstLine="656"/>
        <w:spacing w:after="0" w:line="247" w:lineRule="auto"/>
        <w:tabs>
          <w:tab w:leader="none" w:pos="15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immediately prior to either such event cease to constitute a majority of the members of the Board; or</w:t>
      </w:r>
    </w:p>
    <w:p>
      <w:pPr>
        <w:spacing w:after="0" w:line="234" w:lineRule="exact"/>
        <w:rPr>
          <w:rFonts w:ascii="Arial" w:cs="Arial" w:eastAsia="Arial" w:hAnsi="Arial"/>
          <w:sz w:val="22"/>
          <w:szCs w:val="22"/>
          <w:color w:val="auto"/>
        </w:rPr>
      </w:pPr>
    </w:p>
    <w:p>
      <w:pPr>
        <w:ind w:left="1560" w:hanging="904"/>
        <w:spacing w:after="0"/>
        <w:tabs>
          <w:tab w:leader="none" w:pos="15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majority of the Board ceases to be comprised of Incumbent Directors; or</w:t>
      </w:r>
    </w:p>
    <w:p>
      <w:pPr>
        <w:spacing w:after="0" w:line="260" w:lineRule="exact"/>
        <w:rPr>
          <w:rFonts w:ascii="Arial" w:cs="Arial" w:eastAsia="Arial" w:hAnsi="Arial"/>
          <w:sz w:val="22"/>
          <w:szCs w:val="22"/>
          <w:color w:val="auto"/>
        </w:rPr>
      </w:pPr>
    </w:p>
    <w:p>
      <w:pPr>
        <w:jc w:val="both"/>
        <w:ind w:firstLine="656"/>
        <w:spacing w:after="0" w:line="259" w:lineRule="auto"/>
        <w:tabs>
          <w:tab w:leader="none" w:pos="16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(B) at least one-half of the members of the board of directors of the entity resulting from such Business Transaction were Incumbent Directors at the time of the execution of the initial agreement providing for such Business Transaction.</w:t>
      </w:r>
    </w:p>
    <w:p>
      <w:pPr>
        <w:spacing w:after="0" w:line="220" w:lineRule="exact"/>
        <w:rPr>
          <w:rFonts w:ascii="Arial" w:cs="Arial" w:eastAsia="Arial" w:hAnsi="Arial"/>
          <w:sz w:val="21"/>
          <w:szCs w:val="21"/>
          <w:color w:val="auto"/>
        </w:rPr>
      </w:pPr>
    </w:p>
    <w:p>
      <w:pPr>
        <w:ind w:left="1520" w:hanging="540"/>
        <w:spacing w:after="0"/>
        <w:tabs>
          <w:tab w:leader="none" w:pos="1520" w:val="left"/>
        </w:tabs>
        <w:numPr>
          <w:ilvl w:val="1"/>
          <w:numId w:val="59"/>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60" w:lineRule="exact"/>
        <w:rPr>
          <w:rFonts w:ascii="Arial" w:cs="Arial" w:eastAsia="Arial" w:hAnsi="Arial"/>
          <w:sz w:val="22"/>
          <w:szCs w:val="22"/>
          <w:color w:val="auto"/>
        </w:rPr>
      </w:pPr>
    </w:p>
    <w:p>
      <w:pPr>
        <w:ind w:firstLine="980"/>
        <w:spacing w:after="0" w:line="263" w:lineRule="auto"/>
        <w:tabs>
          <w:tab w:leader="none" w:pos="1549" w:val="left"/>
        </w:tabs>
        <w:numPr>
          <w:ilvl w:val="1"/>
          <w:numId w:val="59"/>
        </w:numPr>
        <w:rPr>
          <w:rFonts w:ascii="Arial" w:cs="Arial" w:eastAsia="Arial" w:hAnsi="Arial"/>
          <w:sz w:val="22"/>
          <w:szCs w:val="22"/>
          <w:color w:val="auto"/>
        </w:rPr>
      </w:pPr>
      <w:r>
        <w:rPr>
          <w:rFonts w:ascii="Arial" w:cs="Arial" w:eastAsia="Arial" w:hAnsi="Arial"/>
          <w:sz w:val="22"/>
          <w:szCs w:val="22"/>
          <w:color w:val="auto"/>
        </w:rPr>
        <w:t>“Competitive Activity” means the Executive’s participation, without the written consent signed by an officer of the Company and authorized by the Board, in the management of any business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24" w:name="page125"/>
    <w:bookmarkEnd w:id="124"/>
    <w:p>
      <w:pPr>
        <w:jc w:val="both"/>
        <w:spacing w:after="0" w:line="292" w:lineRule="auto"/>
        <w:rPr>
          <w:sz w:val="20"/>
          <w:szCs w:val="20"/>
          <w:color w:val="auto"/>
        </w:rPr>
      </w:pPr>
      <w:r>
        <w:rPr>
          <w:rFonts w:ascii="Arial" w:cs="Arial" w:eastAsia="Arial" w:hAnsi="Arial"/>
          <w:sz w:val="19"/>
          <w:szCs w:val="19"/>
          <w:color w:val="auto"/>
        </w:rPr>
        <w:t>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92" w:lineRule="exact"/>
        <w:rPr>
          <w:sz w:val="20"/>
          <w:szCs w:val="20"/>
          <w:color w:val="auto"/>
        </w:rPr>
      </w:pPr>
    </w:p>
    <w:p>
      <w:pPr>
        <w:jc w:val="both"/>
        <w:ind w:firstLine="980"/>
        <w:spacing w:after="0" w:line="289" w:lineRule="auto"/>
        <w:tabs>
          <w:tab w:leader="none" w:pos="1549" w:val="left"/>
        </w:tabs>
        <w:numPr>
          <w:ilvl w:val="1"/>
          <w:numId w:val="60"/>
        </w:numPr>
        <w:rPr>
          <w:rFonts w:ascii="Arial" w:cs="Arial" w:eastAsia="Arial" w:hAnsi="Arial"/>
          <w:sz w:val="19"/>
          <w:szCs w:val="19"/>
          <w:color w:val="auto"/>
        </w:rPr>
      </w:pPr>
      <w:r>
        <w:rPr>
          <w:rFonts w:ascii="Arial" w:cs="Arial" w:eastAsia="Arial" w:hAnsi="Arial"/>
          <w:sz w:val="19"/>
          <w:szCs w:val="19"/>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 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pacing w:after="0" w:line="198" w:lineRule="exact"/>
        <w:rPr>
          <w:rFonts w:ascii="Arial" w:cs="Arial" w:eastAsia="Arial" w:hAnsi="Arial"/>
          <w:sz w:val="19"/>
          <w:szCs w:val="19"/>
          <w:color w:val="auto"/>
        </w:rPr>
      </w:pPr>
    </w:p>
    <w:p>
      <w:pPr>
        <w:ind w:left="1500" w:hanging="520"/>
        <w:spacing w:after="0"/>
        <w:tabs>
          <w:tab w:leader="none" w:pos="15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“ERISA” means the Employee Retirement Income Security Act of 1976, as amended</w:t>
      </w:r>
    </w:p>
    <w:p>
      <w:pPr>
        <w:spacing w:after="0" w:line="260" w:lineRule="exact"/>
        <w:rPr>
          <w:rFonts w:ascii="Arial" w:cs="Arial" w:eastAsia="Arial" w:hAnsi="Arial"/>
          <w:sz w:val="22"/>
          <w:szCs w:val="22"/>
          <w:color w:val="auto"/>
        </w:rPr>
      </w:pPr>
    </w:p>
    <w:p>
      <w:pPr>
        <w:ind w:firstLine="980"/>
        <w:spacing w:after="0" w:line="263" w:lineRule="auto"/>
        <w:tabs>
          <w:tab w:leader="none" w:pos="15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“Excess Parachute Payment” means a payment that creates an obligation for Executive to pay excise taxes under Section 280G of the Code.</w:t>
      </w:r>
    </w:p>
    <w:p>
      <w:pPr>
        <w:spacing w:after="0" w:line="215" w:lineRule="exact"/>
        <w:rPr>
          <w:rFonts w:ascii="Arial" w:cs="Arial" w:eastAsia="Arial" w:hAnsi="Arial"/>
          <w:sz w:val="22"/>
          <w:szCs w:val="22"/>
          <w:color w:val="auto"/>
        </w:rPr>
      </w:pPr>
    </w:p>
    <w:p>
      <w:pPr>
        <w:ind w:left="1560" w:hanging="580"/>
        <w:spacing w:after="0"/>
        <w:tabs>
          <w:tab w:leader="none" w:pos="15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w:t>
      </w:r>
    </w:p>
    <w:p>
      <w:pPr>
        <w:spacing w:after="0" w:line="260" w:lineRule="exact"/>
        <w:rPr>
          <w:rFonts w:ascii="Arial" w:cs="Arial" w:eastAsia="Arial" w:hAnsi="Arial"/>
          <w:sz w:val="22"/>
          <w:szCs w:val="22"/>
          <w:color w:val="auto"/>
        </w:rPr>
      </w:pPr>
    </w:p>
    <w:p>
      <w:pPr>
        <w:ind w:left="1500" w:hanging="520"/>
        <w:spacing w:after="0"/>
        <w:tabs>
          <w:tab w:leader="none" w:pos="1500" w:val="left"/>
        </w:tabs>
        <w:numPr>
          <w:ilvl w:val="1"/>
          <w:numId w:val="60"/>
        </w:numPr>
        <w:rPr>
          <w:rFonts w:ascii="Arial" w:cs="Arial" w:eastAsia="Arial" w:hAnsi="Arial"/>
          <w:sz w:val="21"/>
          <w:szCs w:val="21"/>
          <w:color w:val="auto"/>
        </w:rPr>
      </w:pPr>
      <w:r>
        <w:rPr>
          <w:rFonts w:ascii="Arial" w:cs="Arial" w:eastAsia="Arial" w:hAnsi="Arial"/>
          <w:sz w:val="21"/>
          <w:szCs w:val="21"/>
          <w:color w:val="auto"/>
        </w:rPr>
        <w:t>“Good Reason” means the occurrence of one or more of the following events, without the Executive’s prior</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written consent:</w:t>
      </w:r>
    </w:p>
    <w:p>
      <w:pPr>
        <w:spacing w:after="0" w:line="242" w:lineRule="exact"/>
        <w:rPr>
          <w:rFonts w:ascii="Arial" w:cs="Arial" w:eastAsia="Arial" w:hAnsi="Arial"/>
          <w:sz w:val="21"/>
          <w:szCs w:val="21"/>
          <w:color w:val="auto"/>
        </w:rPr>
      </w:pPr>
    </w:p>
    <w:p>
      <w:pPr>
        <w:jc w:val="both"/>
        <w:ind w:firstLine="656"/>
        <w:spacing w:after="0" w:line="263" w:lineRule="auto"/>
        <w:tabs>
          <w:tab w:leader="none" w:pos="15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 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216" w:lineRule="exact"/>
        <w:rPr>
          <w:rFonts w:ascii="Arial" w:cs="Arial" w:eastAsia="Arial" w:hAnsi="Arial"/>
          <w:sz w:val="21"/>
          <w:szCs w:val="21"/>
          <w:color w:val="auto"/>
        </w:rPr>
      </w:pPr>
    </w:p>
    <w:p>
      <w:pPr>
        <w:jc w:val="both"/>
        <w:ind w:firstLine="656"/>
        <w:spacing w:after="0" w:line="246" w:lineRule="auto"/>
        <w:tabs>
          <w:tab w:leader="none" w:pos="1561"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Failure of the Company to remedy any of the following within 30 calendar days after receipt by the Company of written notice thereof from the Executive: (A) a significant adverse change in the nature or scope of the authorities, powers or functions attached to the position with the Company which the Executive held immediately prior to the Change in Control;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failure of Executive to be the chief executive officer of a public company shall be considered “Good Reason”; (B)</w:t>
      </w:r>
      <w:r>
        <w:rPr>
          <w:rFonts w:ascii="Arial" w:cs="Arial" w:eastAsia="Arial" w:hAnsi="Arial"/>
          <w:sz w:val="22"/>
          <w:szCs w:val="22"/>
          <w:i w:val="1"/>
          <w:iCs w:val="1"/>
          <w:color w:val="auto"/>
        </w:rPr>
        <w:t xml:space="preserve"> </w:t>
      </w:r>
      <w:r>
        <w:rPr>
          <w:rFonts w:ascii="Arial" w:cs="Arial" w:eastAsia="Arial" w:hAnsi="Arial"/>
          <w:sz w:val="22"/>
          <w:szCs w:val="22"/>
          <w:color w:val="auto"/>
        </w:rPr>
        <w:t>a material reduction in the Executive’s Base Pay, (C) a material reduction in the Executive’s Incentive Pay Opportunity or Incentive Pay Target, or (D) the termination or denial of the Executive’s rights to material Employee Benefits or a material reduction in the scope or value thereof, unless such termination or reduction referred to in clauses (B), (C) or (D) applies on a substantially similar basis to all executives of the Company and its parent entities or such right is replaced with a right with a substantially similar scope or value;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25" w:name="page126"/>
    <w:bookmarkEnd w:id="125"/>
    <w:p>
      <w:pPr>
        <w:ind w:left="1620" w:hanging="964"/>
        <w:spacing w:after="0"/>
        <w:tabs>
          <w:tab w:leader="none" w:pos="16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Company requires the Executive to change Executive’s principal location of work by more than 35 miles;</w:t>
      </w:r>
    </w:p>
    <w:p>
      <w:pPr>
        <w:spacing w:after="0" w:line="294" w:lineRule="exact"/>
        <w:rPr>
          <w:rFonts w:ascii="Arial" w:cs="Arial" w:eastAsia="Arial" w:hAnsi="Arial"/>
          <w:sz w:val="19"/>
          <w:szCs w:val="19"/>
          <w:color w:val="auto"/>
        </w:rPr>
      </w:pPr>
    </w:p>
    <w:p>
      <w:pPr>
        <w:jc w:val="both"/>
        <w:ind w:firstLine="656"/>
        <w:spacing w:after="0" w:line="312" w:lineRule="auto"/>
        <w:tabs>
          <w:tab w:leader="none" w:pos="1608"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the event of the transfer of all or substantially all of the Company’s business and/or assets, the failure of the successor or successors to which all or substantially all of its business and/or assets have been transferred to assume (by operation of law, agreement or otherwise) pursuant to Section 12 hereof all duties and obligations of the Company under this Agreement; or</w:t>
      </w:r>
    </w:p>
    <w:p>
      <w:pPr>
        <w:spacing w:after="0" w:line="174" w:lineRule="exact"/>
        <w:rPr>
          <w:rFonts w:ascii="Arial" w:cs="Arial" w:eastAsia="Arial" w:hAnsi="Arial"/>
          <w:sz w:val="19"/>
          <w:szCs w:val="19"/>
          <w:color w:val="auto"/>
        </w:rPr>
      </w:pPr>
    </w:p>
    <w:p>
      <w:pPr>
        <w:jc w:val="both"/>
        <w:ind w:firstLine="656"/>
        <w:spacing w:after="0" w:line="271" w:lineRule="auto"/>
        <w:tabs>
          <w:tab w:leader="none" w:pos="1549" w:val="left"/>
        </w:tabs>
        <w:numPr>
          <w:ilvl w:val="0"/>
          <w:numId w:val="62"/>
        </w:numPr>
        <w:rPr>
          <w:rFonts w:ascii="Arial" w:cs="Arial" w:eastAsia="Arial" w:hAnsi="Arial"/>
          <w:sz w:val="21"/>
          <w:szCs w:val="21"/>
          <w:color w:val="auto"/>
        </w:rPr>
      </w:pPr>
      <w:r>
        <w:rPr>
          <w:rFonts w:ascii="Arial" w:cs="Arial" w:eastAsia="Arial" w:hAnsi="Arial"/>
          <w:sz w:val="21"/>
          <w:szCs w:val="21"/>
          <w:color w:val="auto"/>
        </w:rPr>
        <w:t>Without limiting the generality or effect of the foregoing, any material breach of this Agreement or any Other Employment Agreement (as defined below) by the Company or any successor thereto which is not remedied by the Company within 10 calendar days after receipt by the Company of written notice from the Executive of such breach.</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termination of employment by the Executive for one of the reasons set forth in clauses (i) - (iv)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30 days of the receipt of such notice, and the Executive terminates employment within the 90-day period thereafter (and, in any event, during the Severance Period). The Company and the Executive may mutually waive in writing any of the foregoing provisions with respect to an event or events that otherwise would constitute Good Reason.</w:t>
      </w:r>
    </w:p>
    <w:p>
      <w:pPr>
        <w:spacing w:after="0" w:line="238" w:lineRule="exact"/>
        <w:rPr>
          <w:sz w:val="20"/>
          <w:szCs w:val="20"/>
          <w:color w:val="auto"/>
        </w:rPr>
      </w:pPr>
    </w:p>
    <w:p>
      <w:pPr>
        <w:jc w:val="both"/>
        <w:ind w:firstLine="980"/>
        <w:spacing w:after="0" w:line="259" w:lineRule="auto"/>
        <w:tabs>
          <w:tab w:leader="none" w:pos="1608"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24" w:lineRule="exact"/>
        <w:rPr>
          <w:rFonts w:ascii="Arial" w:cs="Arial" w:eastAsia="Arial" w:hAnsi="Arial"/>
          <w:sz w:val="21"/>
          <w:szCs w:val="21"/>
          <w:color w:val="auto"/>
        </w:rPr>
      </w:pPr>
    </w:p>
    <w:p>
      <w:pPr>
        <w:ind w:firstLine="980"/>
        <w:spacing w:after="0" w:line="263" w:lineRule="auto"/>
        <w:tabs>
          <w:tab w:leader="none" w:pos="1549"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“Incentive Pay” means compensation in addition to Base Pay determined by reference to one or more performance measures, whether payable in cash, securities or otherwise.</w:t>
      </w:r>
    </w:p>
    <w:p>
      <w:pPr>
        <w:spacing w:after="0" w:line="215" w:lineRule="exact"/>
        <w:rPr>
          <w:rFonts w:ascii="Arial" w:cs="Arial" w:eastAsia="Arial" w:hAnsi="Arial"/>
          <w:sz w:val="22"/>
          <w:szCs w:val="22"/>
          <w:color w:val="auto"/>
        </w:rPr>
      </w:pPr>
    </w:p>
    <w:p>
      <w:pPr>
        <w:jc w:val="both"/>
        <w:ind w:firstLine="980"/>
        <w:spacing w:after="0" w:line="247" w:lineRule="auto"/>
        <w:tabs>
          <w:tab w:leader="none" w:pos="1549"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“Incentive Pay Opportunity” means the maximum amount of Incentive Pay that the Executive would receive pursuant to any Incentive Pay Plan in 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234" w:lineRule="exact"/>
        <w:rPr>
          <w:rFonts w:ascii="Arial" w:cs="Arial" w:eastAsia="Arial" w:hAnsi="Arial"/>
          <w:sz w:val="22"/>
          <w:szCs w:val="22"/>
          <w:color w:val="auto"/>
        </w:rPr>
      </w:pPr>
    </w:p>
    <w:p>
      <w:pPr>
        <w:ind w:firstLine="980"/>
        <w:spacing w:after="0" w:line="343" w:lineRule="auto"/>
        <w:tabs>
          <w:tab w:leader="none" w:pos="1549"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47" w:right="239" w:bottom="1440" w:gutter="0" w:footer="0" w:header="0"/>
        </w:sectPr>
      </w:pPr>
    </w:p>
    <w:bookmarkStart w:id="126" w:name="page127"/>
    <w:bookmarkEnd w:id="126"/>
    <w:p>
      <w:pPr>
        <w:jc w:val="both"/>
        <w:ind w:firstLine="980"/>
        <w:spacing w:after="0" w:line="250" w:lineRule="auto"/>
        <w:tabs>
          <w:tab w:leader="none" w:pos="1549"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“Incentive Pay Target” means the amount or value of Incentive Pay the Executive would have received assuming that the Incentive Pay Plans in effect immediately prior to the 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228" w:lineRule="exact"/>
        <w:rPr>
          <w:rFonts w:ascii="Arial" w:cs="Arial" w:eastAsia="Arial" w:hAnsi="Arial"/>
          <w:sz w:val="22"/>
          <w:szCs w:val="22"/>
          <w:color w:val="auto"/>
        </w:rPr>
      </w:pPr>
    </w:p>
    <w:p>
      <w:pPr>
        <w:jc w:val="both"/>
        <w:ind w:firstLine="980"/>
        <w:spacing w:after="0" w:line="253" w:lineRule="auto"/>
        <w:tabs>
          <w:tab w:leader="none" w:pos="1512"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226" w:lineRule="exact"/>
        <w:rPr>
          <w:rFonts w:ascii="Arial" w:cs="Arial" w:eastAsia="Arial" w:hAnsi="Arial"/>
          <w:sz w:val="22"/>
          <w:szCs w:val="22"/>
          <w:color w:val="auto"/>
        </w:rPr>
      </w:pPr>
    </w:p>
    <w:p>
      <w:pPr>
        <w:ind w:firstLine="980"/>
        <w:spacing w:after="0" w:line="343" w:lineRule="auto"/>
        <w:tabs>
          <w:tab w:leader="none" w:pos="1524" w:val="left"/>
        </w:tabs>
        <w:numPr>
          <w:ilvl w:val="0"/>
          <w:numId w:val="64"/>
        </w:numPr>
        <w:rPr>
          <w:rFonts w:ascii="Arial" w:cs="Arial" w:eastAsia="Arial" w:hAnsi="Arial"/>
          <w:sz w:val="19"/>
          <w:szCs w:val="19"/>
          <w:color w:val="auto"/>
        </w:rPr>
      </w:pPr>
      <w:r>
        <w:rPr>
          <w:rFonts w:ascii="Arial" w:cs="Arial" w:eastAsia="Arial" w:hAnsi="Arial"/>
          <w:sz w:val="19"/>
          <w:szCs w:val="19"/>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145" w:lineRule="exact"/>
        <w:rPr>
          <w:rFonts w:ascii="Arial" w:cs="Arial" w:eastAsia="Arial" w:hAnsi="Arial"/>
          <w:sz w:val="19"/>
          <w:szCs w:val="19"/>
          <w:color w:val="auto"/>
        </w:rPr>
      </w:pPr>
    </w:p>
    <w:p>
      <w:pPr>
        <w:jc w:val="both"/>
        <w:ind w:firstLine="980"/>
        <w:spacing w:after="0" w:line="250" w:lineRule="auto"/>
        <w:tabs>
          <w:tab w:leader="none" w:pos="15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228" w:lineRule="exact"/>
        <w:rPr>
          <w:rFonts w:ascii="Arial" w:cs="Arial" w:eastAsia="Arial" w:hAnsi="Arial"/>
          <w:sz w:val="22"/>
          <w:szCs w:val="22"/>
          <w:color w:val="auto"/>
        </w:rPr>
      </w:pPr>
    </w:p>
    <w:p>
      <w:pPr>
        <w:ind w:left="1560" w:hanging="580"/>
        <w:spacing w:after="0"/>
        <w:tabs>
          <w:tab w:leader="none" w:pos="15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“Section 162(m)” means Section 162(m) of the Code.</w:t>
      </w:r>
    </w:p>
    <w:p>
      <w:pPr>
        <w:spacing w:after="0" w:line="260" w:lineRule="exact"/>
        <w:rPr>
          <w:rFonts w:ascii="Arial" w:cs="Arial" w:eastAsia="Arial" w:hAnsi="Arial"/>
          <w:sz w:val="22"/>
          <w:szCs w:val="22"/>
          <w:color w:val="auto"/>
        </w:rPr>
      </w:pPr>
    </w:p>
    <w:p>
      <w:pPr>
        <w:ind w:left="1560" w:hanging="580"/>
        <w:spacing w:after="0"/>
        <w:tabs>
          <w:tab w:leader="none" w:pos="15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“Section 409A” means Section 409A of the Code.</w:t>
      </w:r>
    </w:p>
    <w:p>
      <w:pPr>
        <w:spacing w:after="0" w:line="260" w:lineRule="exact"/>
        <w:rPr>
          <w:rFonts w:ascii="Arial" w:cs="Arial" w:eastAsia="Arial" w:hAnsi="Arial"/>
          <w:sz w:val="22"/>
          <w:szCs w:val="22"/>
          <w:color w:val="auto"/>
        </w:rPr>
      </w:pPr>
    </w:p>
    <w:p>
      <w:pPr>
        <w:jc w:val="both"/>
        <w:ind w:firstLine="980"/>
        <w:spacing w:after="0" w:line="253" w:lineRule="auto"/>
        <w:tabs>
          <w:tab w:leader="none" w:pos="1596"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“Severance Period” means the period of time commencing on the date of the first occurrence of a Change in Control and continuing until the earlier of (i) the second anniversary of the occurrence of the Change in Control and (ii) the Executive’s death.</w:t>
      </w:r>
    </w:p>
    <w:p>
      <w:pPr>
        <w:spacing w:after="0" w:line="226" w:lineRule="exact"/>
        <w:rPr>
          <w:rFonts w:ascii="Arial" w:cs="Arial" w:eastAsia="Arial" w:hAnsi="Arial"/>
          <w:sz w:val="22"/>
          <w:szCs w:val="22"/>
          <w:color w:val="auto"/>
        </w:rPr>
      </w:pPr>
    </w:p>
    <w:p>
      <w:pPr>
        <w:ind w:right="20" w:firstLine="980"/>
        <w:spacing w:after="0" w:line="263" w:lineRule="auto"/>
        <w:tabs>
          <w:tab w:leader="none" w:pos="1549"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“Subsidiary” means an entity in which the Company directly or indirectly beneficially owns 50% or more of the outstanding Voting Stock.</w:t>
      </w:r>
    </w:p>
    <w:p>
      <w:pPr>
        <w:spacing w:after="0" w:line="215" w:lineRule="exact"/>
        <w:rPr>
          <w:rFonts w:ascii="Arial" w:cs="Arial" w:eastAsia="Arial" w:hAnsi="Arial"/>
          <w:sz w:val="22"/>
          <w:szCs w:val="22"/>
          <w:color w:val="auto"/>
        </w:rPr>
      </w:pPr>
    </w:p>
    <w:p>
      <w:pPr>
        <w:jc w:val="both"/>
        <w:ind w:firstLine="980"/>
        <w:spacing w:after="0" w:line="253" w:lineRule="auto"/>
        <w:tabs>
          <w:tab w:leader="none" w:pos="1549" w:val="left"/>
        </w:tabs>
        <w:numPr>
          <w:ilvl w:val="0"/>
          <w:numId w:val="64"/>
        </w:numPr>
        <w:rPr>
          <w:rFonts w:ascii="Arial" w:cs="Arial" w:eastAsia="Arial" w:hAnsi="Arial"/>
          <w:sz w:val="22"/>
          <w:szCs w:val="22"/>
          <w:color w:val="auto"/>
        </w:rPr>
      </w:pPr>
      <w:r>
        <w:rPr>
          <w:rFonts w:ascii="Arial" w:cs="Arial" w:eastAsia="Arial" w:hAnsi="Arial"/>
          <w:sz w:val="22"/>
          <w:szCs w:val="22"/>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226" w:lineRule="exact"/>
        <w:rPr>
          <w:rFonts w:ascii="Arial" w:cs="Arial" w:eastAsia="Arial" w:hAnsi="Arial"/>
          <w:sz w:val="22"/>
          <w:szCs w:val="22"/>
          <w:color w:val="auto"/>
        </w:rPr>
      </w:pPr>
    </w:p>
    <w:p>
      <w:pPr>
        <w:ind w:left="1540" w:hanging="560"/>
        <w:spacing w:after="0"/>
        <w:tabs>
          <w:tab w:leader="none" w:pos="15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“Voting Stock” means securities entitled to vote generally in the election of directors.</w:t>
      </w:r>
    </w:p>
    <w:p>
      <w:pPr>
        <w:spacing w:after="0" w:line="260" w:lineRule="exact"/>
        <w:rPr>
          <w:sz w:val="20"/>
          <w:szCs w:val="20"/>
          <w:color w:val="auto"/>
        </w:rPr>
      </w:pPr>
    </w:p>
    <w:p>
      <w:pPr>
        <w:jc w:val="both"/>
        <w:ind w:firstLine="980"/>
        <w:spacing w:after="0" w:line="253" w:lineRule="auto"/>
        <w:tabs>
          <w:tab w:leader="none" w:pos="2281" w:val="left"/>
        </w:tabs>
        <w:numPr>
          <w:ilvl w:val="1"/>
          <w:numId w:val="65"/>
        </w:numPr>
        <w:rPr>
          <w:rFonts w:ascii="Arial" w:cs="Arial" w:eastAsia="Arial" w:hAnsi="Arial"/>
          <w:sz w:val="22"/>
          <w:szCs w:val="22"/>
          <w:color w:val="auto"/>
        </w:rPr>
      </w:pPr>
      <w:r>
        <w:rPr>
          <w:rFonts w:ascii="Arial" w:cs="Arial" w:eastAsia="Arial" w:hAnsi="Arial"/>
          <w:sz w:val="22"/>
          <w:szCs w:val="22"/>
          <w:color w:val="auto"/>
        </w:rPr>
        <w:t>“Welfare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226" w:lineRule="exact"/>
        <w:rPr>
          <w:rFonts w:ascii="Arial" w:cs="Arial" w:eastAsia="Arial" w:hAnsi="Arial"/>
          <w:sz w:val="22"/>
          <w:szCs w:val="22"/>
          <w:color w:val="auto"/>
        </w:rPr>
      </w:pPr>
    </w:p>
    <w:p>
      <w:pPr>
        <w:jc w:val="both"/>
        <w:ind w:firstLine="656"/>
        <w:spacing w:after="0" w:line="247" w:lineRule="auto"/>
        <w:tabs>
          <w:tab w:leader="none" w:pos="145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Operation of Agreement</w:t>
      </w:r>
      <w:r>
        <w:rPr>
          <w:rFonts w:ascii="Arial" w:cs="Arial" w:eastAsia="Arial" w:hAnsi="Arial"/>
          <w:sz w:val="22"/>
          <w:szCs w:val="22"/>
          <w:color w:val="auto"/>
        </w:rPr>
        <w:t xml:space="preserve">. This Agreement will be effective and binding immediately upon its execution, but, anything in this Agreement to the contrary notwithstanding, this Agreement will not be operative unless and until a Change in Control occurs. Upon the occurrence of a Change in Control, without further action, this Agreement will become immediately operative until the end of the Severance Period;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prior to a Change in Control, the Executive ceases for any reason to be a full-time employee of the Company, thereupon without further action this Agreement will immediately terminate and be of no further effect.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27" w:name="page128"/>
    <w:bookmarkEnd w:id="127"/>
    <w:p>
      <w:pPr>
        <w:jc w:val="both"/>
        <w:ind w:firstLine="656"/>
        <w:spacing w:after="0" w:line="312" w:lineRule="auto"/>
        <w:tabs>
          <w:tab w:leader="none" w:pos="145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Termination Following a 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In the event of the occurrence of a Change in Control, the Executive’s employment may be terminated by the Company during the Severance Period and the Executive will be entitled to the benefits provided by Section 4 unless such termination is the result of the occurrence of one or more of the following events:</w:t>
      </w:r>
    </w:p>
    <w:p>
      <w:pPr>
        <w:spacing w:after="0" w:line="174" w:lineRule="exact"/>
        <w:rPr>
          <w:sz w:val="20"/>
          <w:szCs w:val="20"/>
          <w:color w:val="auto"/>
        </w:rPr>
      </w:pPr>
    </w:p>
    <w:p>
      <w:pPr>
        <w:ind w:left="1500" w:hanging="844"/>
        <w:spacing w:after="0"/>
        <w:tabs>
          <w:tab w:leader="none" w:pos="15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Executive’s death;</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61"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226" w:lineRule="exact"/>
        <w:rPr>
          <w:rFonts w:ascii="Arial" w:cs="Arial" w:eastAsia="Arial" w:hAnsi="Arial"/>
          <w:sz w:val="22"/>
          <w:szCs w:val="22"/>
          <w:color w:val="auto"/>
        </w:rPr>
      </w:pPr>
    </w:p>
    <w:p>
      <w:pPr>
        <w:jc w:val="both"/>
        <w:ind w:firstLine="656"/>
        <w:spacing w:after="0" w:line="271" w:lineRule="auto"/>
        <w:tabs>
          <w:tab w:leader="none" w:pos="162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Cause. (a) If, during the Severance Period, the Executive’s employment is terminated by the Company other than pursuant to Section 3(a)(i), 3(a)(ii) or 3(a)(iii), the Executive will be entitled to the benefits provided by Section 4;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termination constitutes a “separation from service” as defined in Section 409A.</w:t>
      </w:r>
    </w:p>
    <w:p>
      <w:pPr>
        <w:spacing w:after="0" w:line="208" w:lineRule="exact"/>
        <w:rPr>
          <w:rFonts w:ascii="Arial" w:cs="Arial" w:eastAsia="Arial" w:hAnsi="Arial"/>
          <w:sz w:val="21"/>
          <w:szCs w:val="21"/>
          <w:color w:val="auto"/>
        </w:rPr>
      </w:pPr>
    </w:p>
    <w:p>
      <w:pPr>
        <w:jc w:val="both"/>
        <w:ind w:firstLine="980"/>
        <w:spacing w:after="0" w:line="271" w:lineRule="auto"/>
        <w:tabs>
          <w:tab w:leader="none" w:pos="1549" w:val="left"/>
        </w:tabs>
        <w:numPr>
          <w:ilvl w:val="1"/>
          <w:numId w:val="68"/>
        </w:numPr>
        <w:rPr>
          <w:rFonts w:ascii="Arial" w:cs="Arial" w:eastAsia="Arial" w:hAnsi="Arial"/>
          <w:sz w:val="21"/>
          <w:szCs w:val="21"/>
          <w:color w:val="auto"/>
        </w:rPr>
      </w:pPr>
      <w:r>
        <w:rPr>
          <w:rFonts w:ascii="Arial" w:cs="Arial" w:eastAsia="Arial" w:hAnsi="Arial"/>
          <w:sz w:val="21"/>
          <w:szCs w:val="21"/>
          <w:color w:val="auto"/>
        </w:rPr>
        <w:t>In the event of the occurrence of a Change in Control, the Executive may terminate employment with the Company for Good Reason, with the right to severance compensation as provided in Section 4, regardless of whether any other reason, other than Cause, for such termination exists or has occurred, including without limitation other employment.</w:t>
      </w:r>
    </w:p>
    <w:p>
      <w:pPr>
        <w:spacing w:after="0" w:line="208" w:lineRule="exact"/>
        <w:rPr>
          <w:rFonts w:ascii="Arial" w:cs="Arial" w:eastAsia="Arial" w:hAnsi="Arial"/>
          <w:sz w:val="21"/>
          <w:szCs w:val="21"/>
          <w:color w:val="auto"/>
        </w:rPr>
      </w:pPr>
    </w:p>
    <w:p>
      <w:pPr>
        <w:jc w:val="both"/>
        <w:ind w:firstLine="980"/>
        <w:spacing w:after="0" w:line="248" w:lineRule="auto"/>
        <w:tabs>
          <w:tab w:leader="none" w:pos="1536" w:val="left"/>
        </w:tabs>
        <w:numPr>
          <w:ilvl w:val="1"/>
          <w:numId w:val="68"/>
        </w:numPr>
        <w:rPr>
          <w:rFonts w:ascii="Arial" w:cs="Arial" w:eastAsia="Arial" w:hAnsi="Arial"/>
          <w:sz w:val="22"/>
          <w:szCs w:val="22"/>
          <w:color w:val="auto"/>
        </w:rPr>
      </w:pPr>
      <w:r>
        <w:rPr>
          <w:rFonts w:ascii="Arial" w:cs="Arial" w:eastAsia="Arial" w:hAnsi="Arial"/>
          <w:sz w:val="22"/>
          <w:szCs w:val="22"/>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 benefits or (ii) interfere in any way with the right of the Company to terminate the employment of the Executive at any time with or without Cause, subject in either case to the obligations of the Company under this Agreement.</w:t>
      </w:r>
    </w:p>
    <w:p>
      <w:pPr>
        <w:spacing w:after="0" w:line="233" w:lineRule="exact"/>
        <w:rPr>
          <w:sz w:val="20"/>
          <w:szCs w:val="20"/>
          <w:color w:val="auto"/>
        </w:rPr>
      </w:pPr>
    </w:p>
    <w:p>
      <w:pPr>
        <w:jc w:val="both"/>
        <w:ind w:firstLine="656"/>
        <w:spacing w:after="0" w:line="247" w:lineRule="auto"/>
        <w:tabs>
          <w:tab w:leader="none" w:pos="1459"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Severance Compensation</w:t>
      </w:r>
      <w:r>
        <w:rPr>
          <w:rFonts w:ascii="Arial" w:cs="Arial" w:eastAsia="Arial" w:hAnsi="Arial"/>
          <w:sz w:val="22"/>
          <w:szCs w:val="22"/>
          <w:color w:val="auto"/>
        </w:rPr>
        <w:t xml:space="preserve">. (a) 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then,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Triggering Termination constitutes a “separation from service” as defined in Section 409A, the Company will pay to the Executive the amounts described in Annex A within fifteen business days after the Termination Date (subject to the provisions of subsection (d) of this Section).</w:t>
      </w:r>
    </w:p>
    <w:p>
      <w:pPr>
        <w:spacing w:after="0" w:line="234" w:lineRule="exact"/>
        <w:rPr>
          <w:rFonts w:ascii="Arial" w:cs="Arial" w:eastAsia="Arial" w:hAnsi="Arial"/>
          <w:sz w:val="22"/>
          <w:szCs w:val="22"/>
          <w:color w:val="auto"/>
        </w:rPr>
      </w:pPr>
    </w:p>
    <w:p>
      <w:pPr>
        <w:jc w:val="both"/>
        <w:ind w:firstLine="980"/>
        <w:spacing w:after="0" w:line="247" w:lineRule="auto"/>
        <w:tabs>
          <w:tab w:leader="none" w:pos="1549" w:val="left"/>
        </w:tabs>
        <w:numPr>
          <w:ilvl w:val="1"/>
          <w:numId w:val="69"/>
        </w:numPr>
        <w:rPr>
          <w:rFonts w:ascii="Arial" w:cs="Arial" w:eastAsia="Arial" w:hAnsi="Arial"/>
          <w:sz w:val="22"/>
          <w:szCs w:val="22"/>
          <w:color w:val="auto"/>
        </w:rPr>
      </w:pPr>
      <w:r>
        <w:rPr>
          <w:rFonts w:ascii="Arial" w:cs="Arial" w:eastAsia="Arial" w:hAnsi="Arial"/>
          <w:sz w:val="22"/>
          <w:szCs w:val="22"/>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234" w:lineRule="exact"/>
        <w:rPr>
          <w:rFonts w:ascii="Arial" w:cs="Arial" w:eastAsia="Arial" w:hAnsi="Arial"/>
          <w:sz w:val="22"/>
          <w:szCs w:val="22"/>
          <w:color w:val="auto"/>
        </w:rPr>
      </w:pPr>
    </w:p>
    <w:p>
      <w:pPr>
        <w:jc w:val="both"/>
        <w:ind w:firstLine="980"/>
        <w:spacing w:after="0" w:line="248" w:lineRule="auto"/>
        <w:tabs>
          <w:tab w:leader="none" w:pos="1536" w:val="left"/>
        </w:tabs>
        <w:numPr>
          <w:ilvl w:val="1"/>
          <w:numId w:val="69"/>
        </w:numPr>
        <w:rPr>
          <w:rFonts w:ascii="Arial" w:cs="Arial" w:eastAsia="Arial" w:hAnsi="Arial"/>
          <w:sz w:val="22"/>
          <w:szCs w:val="22"/>
          <w:color w:val="auto"/>
        </w:rPr>
      </w:pPr>
      <w:r>
        <w:rPr>
          <w:rFonts w:ascii="Arial" w:cs="Arial" w:eastAsia="Arial" w:hAnsi="Arial"/>
          <w:sz w:val="22"/>
          <w:szCs w:val="22"/>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28" w:name="page129"/>
    <w:bookmarkEnd w:id="128"/>
    <w:p>
      <w:pPr>
        <w:jc w:val="both"/>
        <w:spacing w:after="0" w:line="260" w:lineRule="auto"/>
        <w:rPr>
          <w:sz w:val="20"/>
          <w:szCs w:val="20"/>
          <w:color w:val="auto"/>
        </w:rPr>
      </w:pPr>
      <w:r>
        <w:rPr>
          <w:rFonts w:ascii="Arial" w:cs="Arial" w:eastAsia="Arial" w:hAnsi="Arial"/>
          <w:sz w:val="21"/>
          <w:szCs w:val="21"/>
          <w:color w:val="auto"/>
        </w:rPr>
        <w:t>would otherwise be contingent on the continuing performance of services by the Executive) and (ii) the Pro Rata Portion of the Incentive Pay Target in effect for any subsequent performance period. For this purpose, “Pro Rata Portion” means (x) the number of days from and including the first day immediately following the last day of the immediately preceding Completed Performance Period to and including the Termination Date, divided by (y) the total number of days in such subsequent performance period. Such payments will be made at the earlier of (x) the date prescribed for payment pursuant to the applicable plan, program or agreement and (y) within five business days after the Termination Date, and will be payable and calculated disregarding any otherwise applicable vesting requirements.</w:t>
      </w:r>
    </w:p>
    <w:p>
      <w:pPr>
        <w:spacing w:after="0" w:line="222" w:lineRule="exact"/>
        <w:rPr>
          <w:sz w:val="20"/>
          <w:szCs w:val="20"/>
          <w:color w:val="auto"/>
        </w:rPr>
      </w:pPr>
    </w:p>
    <w:p>
      <w:pPr>
        <w:jc w:val="both"/>
        <w:ind w:firstLine="980"/>
        <w:spacing w:after="0" w:line="292" w:lineRule="auto"/>
        <w:tabs>
          <w:tab w:leader="none" w:pos="1549" w:val="left"/>
        </w:tabs>
        <w:numPr>
          <w:ilvl w:val="1"/>
          <w:numId w:val="70"/>
        </w:numPr>
        <w:rPr>
          <w:rFonts w:ascii="Arial" w:cs="Arial" w:eastAsia="Arial" w:hAnsi="Arial"/>
          <w:sz w:val="19"/>
          <w:szCs w:val="19"/>
          <w:color w:val="auto"/>
        </w:rPr>
      </w:pPr>
      <w:r>
        <w:rPr>
          <w:rFonts w:ascii="Arial" w:cs="Arial" w:eastAsia="Arial" w:hAnsi="Arial"/>
          <w:sz w:val="19"/>
          <w:szCs w:val="19"/>
          <w:color w:val="auto"/>
        </w:rPr>
        <w:t>To the extent required in order to avoid accelerated taxation and/or tax penalties under Section 409A, amounts that would otherwise be payable and benefits that would otherwise be provided pursuant to this Agreement during the six-month period immediately following the Executive’s termination of employment shall instead be paid on the first business day after the date that is six months following the Executive’s termination of employment (or upon the Executive’s death, if earlier). In addition, for purposes of this Agreement, each amount to be paid or benefit to be provided shall be construed as a separate identified payment for purposes of Section 409A, and any payments described in Annex A that are due within the “short-term deferral period” as defined in Section 409A shall not be treated as deferred compensation unless applicable law requires otherwise.</w:t>
      </w:r>
    </w:p>
    <w:p>
      <w:pPr>
        <w:spacing w:after="0" w:line="192" w:lineRule="exact"/>
        <w:rPr>
          <w:rFonts w:ascii="Arial" w:cs="Arial" w:eastAsia="Arial" w:hAnsi="Arial"/>
          <w:sz w:val="19"/>
          <w:szCs w:val="19"/>
          <w:color w:val="auto"/>
        </w:rPr>
      </w:pPr>
    </w:p>
    <w:p>
      <w:pPr>
        <w:jc w:val="both"/>
        <w:ind w:firstLine="656"/>
        <w:spacing w:after="0" w:line="257" w:lineRule="exact"/>
        <w:tabs>
          <w:tab w:leader="none" w:pos="145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Limitations on Payments and Benefits</w:t>
      </w:r>
      <w:r>
        <w:rPr>
          <w:rFonts w:ascii="Arial" w:cs="Arial" w:eastAsia="Arial" w:hAnsi="Arial"/>
          <w:sz w:val="19"/>
          <w:szCs w:val="19"/>
          <w:color w:val="auto"/>
        </w:rPr>
        <w:t xml:space="preserve">. Notwithstanding any provision of this Agreement or any Other Agreement to the contrary (including without limitation any lesser protection of Executive under any equity-based award agreement), if any amount or benefit to be paid or provided under this Agreement or any Other Agreement would be an Excess Parachute Payment (including after taking into account the value, to the maximum extent permitted by Section 280G of the Code, of the covenants in Section 9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foregoing reduction will not be made if such reduction would result in Executive receiving an After-Tax Amount that is less than 90% of the After-Tax Amount of the payments and benefits that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w:t>
      </w:r>
      <w:r>
        <w:rPr>
          <w:rFonts w:ascii="MS PGothic" w:cs="MS PGothic" w:eastAsia="MS PGothic" w:hAnsi="MS PGothic"/>
          <w:sz w:val="19"/>
          <w:szCs w:val="19"/>
          <w:color w:val="auto"/>
        </w:rPr>
        <w:t>☒</w:t>
      </w:r>
      <w:r>
        <w:rPr>
          <w:rFonts w:ascii="Arial" w:cs="Arial" w:eastAsia="Arial" w:hAnsi="Arial"/>
          <w:sz w:val="19"/>
          <w:szCs w:val="19"/>
          <w:color w:val="auto"/>
        </w:rPr>
        <w:t>9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254" w:lineRule="exact"/>
        <w:rPr>
          <w:rFonts w:ascii="Arial" w:cs="Arial" w:eastAsia="Arial" w:hAnsi="Arial"/>
          <w:sz w:val="19"/>
          <w:szCs w:val="19"/>
          <w:color w:val="auto"/>
        </w:rPr>
      </w:pPr>
    </w:p>
    <w:p>
      <w:pPr>
        <w:jc w:val="both"/>
        <w:ind w:firstLine="656"/>
        <w:spacing w:after="0" w:line="248" w:lineRule="auto"/>
        <w:tabs>
          <w:tab w:leader="none" w:pos="145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Executive Protections; Defend Trade Secrets Act.</w:t>
      </w:r>
      <w:r>
        <w:rPr>
          <w:rFonts w:ascii="Arial" w:cs="Arial" w:eastAsia="Arial" w:hAnsi="Arial"/>
          <w:sz w:val="22"/>
          <w:szCs w:val="22"/>
          <w:color w:val="auto"/>
        </w:rPr>
        <w:t xml:space="preserve"> (a) 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or self-regulatory organization (each such agency, commission or organization, a “Government Agency”) regarding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29" w:name="page130"/>
    <w:bookmarkEnd w:id="129"/>
    <w:p>
      <w:pPr>
        <w:jc w:val="both"/>
        <w:spacing w:after="0" w:line="253" w:lineRule="auto"/>
        <w:rPr>
          <w:sz w:val="20"/>
          <w:szCs w:val="20"/>
          <w:color w:val="auto"/>
        </w:rPr>
      </w:pPr>
      <w:r>
        <w:rPr>
          <w:rFonts w:ascii="Arial" w:cs="Arial" w:eastAsia="Arial" w:hAnsi="Arial"/>
          <w:sz w:val="22"/>
          <w:szCs w:val="22"/>
          <w:color w:val="auto"/>
        </w:rPr>
        <w:t>possible legal violations, without disclosure to the Company. The Company may not retaliate against Executive for any of these activities, and nothing in this Agreement requires Executive to waive any monetary award or other relief that Executive might become entitled to from the SEC or any other Government Agency.</w:t>
      </w:r>
    </w:p>
    <w:p>
      <w:pPr>
        <w:spacing w:after="0" w:line="226" w:lineRule="exact"/>
        <w:rPr>
          <w:sz w:val="20"/>
          <w:szCs w:val="20"/>
          <w:color w:val="auto"/>
        </w:rPr>
      </w:pPr>
    </w:p>
    <w:p>
      <w:pPr>
        <w:jc w:val="both"/>
        <w:ind w:firstLine="980"/>
        <w:spacing w:after="0" w:line="291" w:lineRule="auto"/>
        <w:tabs>
          <w:tab w:leader="none" w:pos="1549" w:val="left"/>
        </w:tabs>
        <w:numPr>
          <w:ilvl w:val="2"/>
          <w:numId w:val="72"/>
        </w:numPr>
        <w:rPr>
          <w:rFonts w:ascii="Arial" w:cs="Arial" w:eastAsia="Arial" w:hAnsi="Arial"/>
          <w:sz w:val="19"/>
          <w:szCs w:val="19"/>
          <w:color w:val="auto"/>
        </w:rPr>
      </w:pPr>
      <w:r>
        <w:rPr>
          <w:rFonts w:ascii="Arial" w:cs="Arial" w:eastAsia="Arial" w:hAnsi="Arial"/>
          <w:sz w:val="19"/>
          <w:szCs w:val="19"/>
          <w:color w:val="auto"/>
        </w:rPr>
        <w:t>Pursuant to the Defend Trade Secrets Act of 2016, Executive and the Company acknowledge and agree that Executive shall not have criminal or civil liability under any federal or state trade secret law for the disclosure of a trade secret that</w:t>
      </w:r>
    </w:p>
    <w:p>
      <w:pPr>
        <w:spacing w:after="0" w:line="1" w:lineRule="exact"/>
        <w:rPr>
          <w:rFonts w:ascii="Arial" w:cs="Arial" w:eastAsia="Arial" w:hAnsi="Arial"/>
          <w:sz w:val="19"/>
          <w:szCs w:val="19"/>
          <w:color w:val="auto"/>
        </w:rPr>
      </w:pPr>
    </w:p>
    <w:p>
      <w:pPr>
        <w:jc w:val="both"/>
        <w:ind w:firstLine="8"/>
        <w:spacing w:after="0" w:line="290" w:lineRule="auto"/>
        <w:tabs>
          <w:tab w:leader="none" w:pos="27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194" w:lineRule="exact"/>
        <w:rPr>
          <w:rFonts w:ascii="Arial" w:cs="Arial" w:eastAsia="Arial" w:hAnsi="Arial"/>
          <w:sz w:val="19"/>
          <w:szCs w:val="19"/>
          <w:color w:val="auto"/>
        </w:rPr>
      </w:pPr>
    </w:p>
    <w:p>
      <w:pPr>
        <w:jc w:val="both"/>
        <w:ind w:firstLine="656"/>
        <w:spacing w:after="0" w:line="246" w:lineRule="auto"/>
        <w:tabs>
          <w:tab w:leader="none" w:pos="1459"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No Mitigation Obligation; Other Agreements</w:t>
      </w:r>
      <w:r>
        <w:rPr>
          <w:rFonts w:ascii="Arial" w:cs="Arial" w:eastAsia="Arial" w:hAnsi="Arial"/>
          <w:sz w:val="22"/>
          <w:szCs w:val="22"/>
          <w:color w:val="auto"/>
        </w:rPr>
        <w:t>. (a)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 payment provided for in this Agreement by seeking other employment or otherwise, nor will any profits, income, earnings or other benefits from any source whatsoever create any mitigation, offset, reduction or any other obligation on the part of the Executive hereunder or otherwise.</w:t>
      </w:r>
    </w:p>
    <w:p>
      <w:pPr>
        <w:spacing w:after="0" w:line="237" w:lineRule="exact"/>
        <w:rPr>
          <w:rFonts w:ascii="Arial" w:cs="Arial" w:eastAsia="Arial" w:hAnsi="Arial"/>
          <w:sz w:val="22"/>
          <w:szCs w:val="22"/>
          <w:color w:val="auto"/>
        </w:rPr>
      </w:pPr>
    </w:p>
    <w:p>
      <w:pPr>
        <w:jc w:val="both"/>
        <w:ind w:firstLine="980"/>
        <w:spacing w:after="0" w:line="258" w:lineRule="auto"/>
        <w:tabs>
          <w:tab w:leader="none" w:pos="1549" w:val="left"/>
        </w:tabs>
        <w:numPr>
          <w:ilvl w:val="2"/>
          <w:numId w:val="73"/>
        </w:numPr>
        <w:rPr>
          <w:rFonts w:ascii="Arial" w:cs="Arial" w:eastAsia="Arial" w:hAnsi="Arial"/>
          <w:sz w:val="21"/>
          <w:szCs w:val="21"/>
          <w:color w:val="auto"/>
        </w:rPr>
      </w:pPr>
      <w:r>
        <w:rPr>
          <w:rFonts w:ascii="Arial" w:cs="Arial" w:eastAsia="Arial" w:hAnsi="Arial"/>
          <w:sz w:val="21"/>
          <w:szCs w:val="21"/>
          <w:color w:val="auto"/>
        </w:rPr>
        <w:t>A termination of employment pursuant to Section 3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 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 In the event that this Agreement conflicts with the terms of any equity award agreement, this Agreement shall govern unless otherwise expressly stated in such equity award agreement.</w:t>
      </w:r>
    </w:p>
    <w:p>
      <w:pPr>
        <w:spacing w:after="0" w:line="226" w:lineRule="exact"/>
        <w:rPr>
          <w:rFonts w:ascii="Arial" w:cs="Arial" w:eastAsia="Arial" w:hAnsi="Arial"/>
          <w:sz w:val="21"/>
          <w:szCs w:val="21"/>
          <w:color w:val="auto"/>
        </w:rPr>
      </w:pPr>
    </w:p>
    <w:p>
      <w:pPr>
        <w:jc w:val="both"/>
        <w:ind w:firstLine="656"/>
        <w:spacing w:after="0" w:line="288" w:lineRule="auto"/>
        <w:tabs>
          <w:tab w:leader="none" w:pos="1459"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Legal Fees and Expenses</w:t>
      </w:r>
      <w:r>
        <w:rPr>
          <w:rFonts w:ascii="Arial" w:cs="Arial" w:eastAsia="Arial" w:hAnsi="Arial"/>
          <w:sz w:val="19"/>
          <w:szCs w:val="19"/>
          <w:color w:val="auto"/>
        </w:rPr>
        <w:t>.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 this Agreement void or unenforceable, or institutes any proceeding designed to deny, or to recover from, the Executive the benefits 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 part, in connection with any of the foregoing, the Company will pay and be solely financially responsible for any and all reasonable attorneys’ and related fees and expenses incurred by the Executive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30" w:name="page131"/>
    <w:bookmarkEnd w:id="130"/>
    <w:p>
      <w:pPr>
        <w:jc w:val="both"/>
        <w:spacing w:after="0" w:line="258" w:lineRule="auto"/>
        <w:rPr>
          <w:sz w:val="20"/>
          <w:szCs w:val="20"/>
          <w:color w:val="auto"/>
        </w:rPr>
      </w:pPr>
      <w:r>
        <w:rPr>
          <w:rFonts w:ascii="Arial" w:cs="Arial" w:eastAsia="Arial" w:hAnsi="Arial"/>
          <w:sz w:val="21"/>
          <w:szCs w:val="21"/>
          <w:color w:val="auto"/>
        </w:rPr>
        <w:t xml:space="preserve">connection with any of the foregoing;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regard to such matters, the Executive has not acted in bad faith or with no colorable claim of success. The Executive shall promptly submit a written request for reimbursement of such expenses, but in no event later than ninety days following the date on which such expenses were incurred, accompanied by such evidence of fees and expenses incurred as the Company may reasonably require, and such reimbursements will be made within thirty business days after delivery of the Executive’s written requests for payment. For the avoidance of doubt, (i) the amount of expenses eligible for reimbursement provided to the Executive during any calendar year will not affect the amount of expenses eligible for reimbursement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may not be liquidated or exchanged for any other benefit.</w:t>
      </w:r>
    </w:p>
    <w:p>
      <w:pPr>
        <w:spacing w:after="0" w:line="227" w:lineRule="exact"/>
        <w:rPr>
          <w:sz w:val="20"/>
          <w:szCs w:val="20"/>
          <w:color w:val="auto"/>
        </w:rPr>
      </w:pPr>
    </w:p>
    <w:p>
      <w:pPr>
        <w:jc w:val="both"/>
        <w:ind w:firstLine="656"/>
        <w:spacing w:after="0" w:line="261" w:lineRule="exact"/>
        <w:tabs>
          <w:tab w:leader="none" w:pos="1459"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Competitive Activity; Confidentiality; Nonsolicitation</w:t>
      </w:r>
      <w:r>
        <w:rPr>
          <w:rFonts w:ascii="Arial" w:cs="Arial" w:eastAsia="Arial" w:hAnsi="Arial"/>
          <w:sz w:val="22"/>
          <w:szCs w:val="22"/>
          <w:color w:val="auto"/>
        </w:rPr>
        <w:t xml:space="preserve">. (a) For the period following the Termination Date specified in Paragraph </w:t>
      </w:r>
      <w:r>
        <w:rPr>
          <w:rFonts w:ascii="MS PGothic" w:cs="MS PGothic" w:eastAsia="MS PGothic" w:hAnsi="MS PGothic"/>
          <w:sz w:val="22"/>
          <w:szCs w:val="22"/>
          <w:color w:val="auto"/>
        </w:rPr>
        <w:t>☒</w:t>
      </w:r>
      <w:r>
        <w:rPr>
          <w:rFonts w:ascii="Arial" w:cs="Arial" w:eastAsia="Arial" w:hAnsi="Arial"/>
          <w:sz w:val="22"/>
          <w:szCs w:val="22"/>
          <w:color w:val="auto"/>
        </w:rPr>
        <w:t>(4) of Annex A (the “Non-Competition Period”), subject to the Executive’s receipt of benefits under Section 4, the Executive will not, without the prior written consent of the Company, which consent will not be unreasonably withheld, engage in any Competitive Activity.</w:t>
      </w:r>
    </w:p>
    <w:p>
      <w:pPr>
        <w:spacing w:after="0" w:line="241" w:lineRule="exact"/>
        <w:rPr>
          <w:rFonts w:ascii="Arial" w:cs="Arial" w:eastAsia="Arial" w:hAnsi="Arial"/>
          <w:sz w:val="22"/>
          <w:szCs w:val="22"/>
          <w:color w:val="auto"/>
        </w:rPr>
      </w:pPr>
    </w:p>
    <w:p>
      <w:pPr>
        <w:jc w:val="both"/>
        <w:ind w:firstLine="980"/>
        <w:spacing w:after="0" w:line="286" w:lineRule="auto"/>
        <w:tabs>
          <w:tab w:leader="none" w:pos="1549"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Company agrees that it will disclose to Executive its confidential or proprietary information (as defined in this Section (b)) to the extent necessary for Executive to carry out Executive’s obligations to the Company. The Executive hereby covenants and agrees that, subject to Section 6(a), Executive will not, without the prior written consent of the Company, during the term of his employment with the Company and two years after the Termination Date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9(b))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9(b) will be subject to Section 6(a) and will not apply (i) during the term of his employment with the Company, in the course of the business of and for the benefit of the Company and (ii) if such confidential or proprietary information has become, through no fault of the Executive, generally known to the public.</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980"/>
        <w:spacing w:after="0" w:line="263" w:lineRule="auto"/>
        <w:tabs>
          <w:tab w:leader="none" w:pos="1536" w:val="left"/>
        </w:tabs>
        <w:numPr>
          <w:ilvl w:val="1"/>
          <w:numId w:val="74"/>
        </w:numPr>
        <w:rPr>
          <w:rFonts w:ascii="Arial" w:cs="Arial" w:eastAsia="Arial" w:hAnsi="Arial"/>
          <w:sz w:val="21"/>
          <w:szCs w:val="21"/>
          <w:color w:val="auto"/>
        </w:rPr>
      </w:pPr>
      <w:r>
        <w:rPr>
          <w:rFonts w:ascii="Arial" w:cs="Arial" w:eastAsia="Arial" w:hAnsi="Arial"/>
          <w:sz w:val="21"/>
          <w:szCs w:val="21"/>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216" w:lineRule="exact"/>
        <w:rPr>
          <w:rFonts w:ascii="Arial" w:cs="Arial" w:eastAsia="Arial" w:hAnsi="Arial"/>
          <w:sz w:val="21"/>
          <w:szCs w:val="21"/>
          <w:color w:val="auto"/>
        </w:rPr>
      </w:pPr>
    </w:p>
    <w:p>
      <w:pPr>
        <w:jc w:val="both"/>
        <w:ind w:firstLine="980"/>
        <w:spacing w:after="0" w:line="260" w:lineRule="exact"/>
        <w:tabs>
          <w:tab w:leader="none" w:pos="1549"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Executive and the Company agree that the covenants contained in this Section 9 are reasonable under the circumstances and subject to the provisions of Section </w:t>
      </w:r>
      <w:r>
        <w:rPr>
          <w:rFonts w:ascii="MS PGothic" w:cs="MS PGothic" w:eastAsia="MS PGothic" w:hAnsi="MS PGothic"/>
          <w:sz w:val="19"/>
          <w:szCs w:val="19"/>
          <w:color w:val="auto"/>
        </w:rPr>
        <w:t>☒</w:t>
      </w:r>
      <w:r>
        <w:rPr>
          <w:rFonts w:ascii="Arial" w:cs="Arial" w:eastAsia="Arial" w:hAnsi="Arial"/>
          <w:sz w:val="19"/>
          <w:szCs w:val="19"/>
          <w:color w:val="auto"/>
        </w:rPr>
        <w:t>15 of this Agreement. Executive acknowledges and agrees that the remedy at law available to the Company for breach of any of Executive’s obligations under this Section 9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31" w:name="page132"/>
    <w:bookmarkEnd w:id="131"/>
    <w:p>
      <w:pPr>
        <w:jc w:val="both"/>
        <w:spacing w:after="0" w:line="253" w:lineRule="auto"/>
        <w:rPr>
          <w:sz w:val="20"/>
          <w:szCs w:val="20"/>
          <w:color w:val="auto"/>
        </w:rPr>
      </w:pPr>
      <w:r>
        <w:rPr>
          <w:rFonts w:ascii="Arial" w:cs="Arial" w:eastAsia="Arial" w:hAnsi="Arial"/>
          <w:sz w:val="22"/>
          <w:szCs w:val="22"/>
          <w:color w:val="auto"/>
        </w:rPr>
        <w:t>under this Agreement, upon adequate proof of Executive’s violation of any such provision of this Agreement, the Company will be entitled to immediate injunctive relief and may obtain a temporary order restraining any threatened or further breach, without the necessity of proof of actual damage.</w:t>
      </w:r>
    </w:p>
    <w:p>
      <w:pPr>
        <w:spacing w:after="0" w:line="226" w:lineRule="exact"/>
        <w:rPr>
          <w:sz w:val="20"/>
          <w:szCs w:val="20"/>
          <w:color w:val="auto"/>
        </w:rPr>
      </w:pPr>
    </w:p>
    <w:p>
      <w:pPr>
        <w:jc w:val="both"/>
        <w:ind w:firstLine="656"/>
        <w:spacing w:after="0" w:line="253" w:lineRule="auto"/>
        <w:tabs>
          <w:tab w:leader="none" w:pos="156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Employment Rights</w:t>
      </w:r>
      <w:r>
        <w:rPr>
          <w:rFonts w:ascii="Arial" w:cs="Arial" w:eastAsia="Arial" w:hAnsi="Arial"/>
          <w:sz w:val="22"/>
          <w:szCs w:val="22"/>
          <w:color w:val="auto"/>
        </w:rPr>
        <w:t>. Nothing expressed or implied in this Agreement will create any right or duty on the part of the Company or the Executive to have the Executive remain in the employment of the Company or any Subsidiary prior to or following any Change in Control.</w:t>
      </w:r>
    </w:p>
    <w:p>
      <w:pPr>
        <w:spacing w:after="0" w:line="226" w:lineRule="exact"/>
        <w:rPr>
          <w:rFonts w:ascii="Arial" w:cs="Arial" w:eastAsia="Arial" w:hAnsi="Arial"/>
          <w:sz w:val="22"/>
          <w:szCs w:val="22"/>
          <w:color w:val="auto"/>
        </w:rPr>
      </w:pPr>
    </w:p>
    <w:p>
      <w:pPr>
        <w:ind w:firstLine="656"/>
        <w:spacing w:after="0" w:line="343" w:lineRule="auto"/>
        <w:tabs>
          <w:tab w:leader="none" w:pos="1559"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The Company may withhold from any amounts payable under this Agreement all federal, state, city or other taxes as the Company is required to withhold pursuant to any applicable law, regulation or ruling.</w:t>
      </w:r>
    </w:p>
    <w:p>
      <w:pPr>
        <w:spacing w:after="0" w:line="145" w:lineRule="exact"/>
        <w:rPr>
          <w:rFonts w:ascii="Arial" w:cs="Arial" w:eastAsia="Arial" w:hAnsi="Arial"/>
          <w:sz w:val="19"/>
          <w:szCs w:val="19"/>
          <w:color w:val="auto"/>
        </w:rPr>
      </w:pPr>
    </w:p>
    <w:p>
      <w:pPr>
        <w:jc w:val="both"/>
        <w:ind w:firstLine="656"/>
        <w:spacing w:after="0" w:line="259" w:lineRule="auto"/>
        <w:tabs>
          <w:tab w:leader="none" w:pos="1567"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Successors and Binding Agreement</w:t>
      </w:r>
      <w:r>
        <w:rPr>
          <w:rFonts w:ascii="Arial" w:cs="Arial" w:eastAsia="Arial" w:hAnsi="Arial"/>
          <w:sz w:val="21"/>
          <w:szCs w:val="21"/>
          <w:color w:val="auto"/>
        </w:rPr>
        <w:t>. (a) The Company will require any successor (whether direct or indirect, by purchase, merger, consolidation, reorganization or otherwise) to all or substantially all of the business or assets of the Company, by agreement in form and substance reasonably satisfactory to the Executive (to the extent not assumed by operation of law),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220" w:lineRule="exact"/>
        <w:rPr>
          <w:rFonts w:ascii="Arial" w:cs="Arial" w:eastAsia="Arial" w:hAnsi="Arial"/>
          <w:sz w:val="21"/>
          <w:szCs w:val="21"/>
          <w:color w:val="auto"/>
        </w:rPr>
      </w:pPr>
    </w:p>
    <w:p>
      <w:pPr>
        <w:ind w:firstLine="980"/>
        <w:spacing w:after="0" w:line="263" w:lineRule="auto"/>
        <w:tabs>
          <w:tab w:leader="none" w:pos="1549"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This Agreement will inure to the benefit of and be enforceable by the Executive’s personal or legal representatives, executors, administrators, successors, heirs, distributees and legatees.</w:t>
      </w:r>
    </w:p>
    <w:p>
      <w:pPr>
        <w:spacing w:after="0" w:line="215" w:lineRule="exact"/>
        <w:rPr>
          <w:rFonts w:ascii="Arial" w:cs="Arial" w:eastAsia="Arial" w:hAnsi="Arial"/>
          <w:sz w:val="22"/>
          <w:szCs w:val="22"/>
          <w:color w:val="auto"/>
        </w:rPr>
      </w:pPr>
    </w:p>
    <w:p>
      <w:pPr>
        <w:jc w:val="both"/>
        <w:ind w:firstLine="980"/>
        <w:spacing w:after="0" w:line="294" w:lineRule="auto"/>
        <w:tabs>
          <w:tab w:leader="none" w:pos="1536"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This Agreement is personal in nature and neither of the parties hereto will, without the consent of the other, assign, transfer or delegate this Agreement or any rights or obligations hereunder except as expressly provided in Sections 12(a) and 12(b).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12(c), the Company will have no liability to pay any amount so attempted to be assigned, transferred or delegated.</w:t>
      </w:r>
    </w:p>
    <w:p>
      <w:pPr>
        <w:spacing w:after="0" w:line="190" w:lineRule="exact"/>
        <w:rPr>
          <w:rFonts w:ascii="Arial" w:cs="Arial" w:eastAsia="Arial" w:hAnsi="Arial"/>
          <w:sz w:val="19"/>
          <w:szCs w:val="19"/>
          <w:color w:val="auto"/>
        </w:rPr>
      </w:pPr>
    </w:p>
    <w:p>
      <w:pPr>
        <w:jc w:val="both"/>
        <w:ind w:firstLine="656"/>
        <w:spacing w:after="0" w:line="290" w:lineRule="auto"/>
        <w:tabs>
          <w:tab w:leader="none" w:pos="156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or UPS, addressed to the Company (to the attention of the Secretary of the Company) at 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197" w:lineRule="exact"/>
        <w:rPr>
          <w:rFonts w:ascii="Arial" w:cs="Arial" w:eastAsia="Arial" w:hAnsi="Arial"/>
          <w:sz w:val="19"/>
          <w:szCs w:val="19"/>
          <w:color w:val="auto"/>
        </w:rPr>
      </w:pPr>
    </w:p>
    <w:p>
      <w:pPr>
        <w:jc w:val="both"/>
        <w:ind w:firstLine="656"/>
        <w:spacing w:after="0" w:line="253" w:lineRule="auto"/>
        <w:tabs>
          <w:tab w:leader="none" w:pos="156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2"/>
          <w:szCs w:val="22"/>
          <w:color w:val="auto"/>
        </w:rPr>
        <w:t>provided herein. In the event the Company exercises its discretion under Section 9(d) to bring an action to enforce the covenants contained in Section 9 in a court of competent jurisdiction where the Executive has breached or threatened to breach such covenants, and in no other event, the parties agree that the court may apply the law of the jurisdiction in which such action is pending in order to enforce the covenants to the fullest extent permissible.</w:t>
      </w:r>
    </w:p>
    <w:p>
      <w:pPr>
        <w:spacing w:after="0" w:line="229" w:lineRule="exact"/>
        <w:rPr>
          <w:sz w:val="20"/>
          <w:szCs w:val="20"/>
          <w:color w:val="auto"/>
        </w:rPr>
      </w:pPr>
    </w:p>
    <w:p>
      <w:pPr>
        <w:jc w:val="both"/>
        <w:ind w:firstLine="656"/>
        <w:spacing w:after="0" w:line="246" w:lineRule="auto"/>
        <w:tabs>
          <w:tab w:leader="none" w:pos="156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If any provision of this Agreement or the application of any provision hereof to any person or circumstance is held invalid, unenforceable or otherwise illegal, including without limitation Section 9,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If any covenant in Section 9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237" w:lineRule="exact"/>
        <w:rPr>
          <w:rFonts w:ascii="Arial" w:cs="Arial" w:eastAsia="Arial" w:hAnsi="Arial"/>
          <w:sz w:val="22"/>
          <w:szCs w:val="22"/>
          <w:color w:val="auto"/>
        </w:rPr>
      </w:pPr>
    </w:p>
    <w:p>
      <w:pPr>
        <w:jc w:val="both"/>
        <w:ind w:firstLine="656"/>
        <w:spacing w:after="0" w:line="288" w:lineRule="auto"/>
        <w:tabs>
          <w:tab w:leader="none" w:pos="156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200" w:lineRule="exact"/>
        <w:rPr>
          <w:rFonts w:ascii="Arial" w:cs="Arial" w:eastAsia="Arial" w:hAnsi="Arial"/>
          <w:sz w:val="19"/>
          <w:szCs w:val="19"/>
          <w:color w:val="auto"/>
        </w:rPr>
      </w:pPr>
    </w:p>
    <w:p>
      <w:pPr>
        <w:jc w:val="both"/>
        <w:ind w:right="20" w:firstLine="656"/>
        <w:spacing w:after="0" w:line="312" w:lineRule="auto"/>
        <w:tabs>
          <w:tab w:leader="none" w:pos="156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Notwithstanding any provision of this Agreement to the contrary, the parties’ respective rights and obligations under Sections 3(c), 4, 5, 6, 7, 8, 9, 10, 11, 12(b), 17 and 19 will survive any termination or expiration of this Agreement or the termination of the Executive’s employment following a Change in Control for any reason whatsoever.</w:t>
      </w:r>
    </w:p>
    <w:p>
      <w:pPr>
        <w:spacing w:after="0" w:line="174" w:lineRule="exact"/>
        <w:rPr>
          <w:rFonts w:ascii="Arial" w:cs="Arial" w:eastAsia="Arial" w:hAnsi="Arial"/>
          <w:sz w:val="19"/>
          <w:szCs w:val="19"/>
          <w:color w:val="auto"/>
        </w:rPr>
      </w:pPr>
    </w:p>
    <w:p>
      <w:pPr>
        <w:jc w:val="both"/>
        <w:ind w:firstLine="656"/>
        <w:spacing w:after="0" w:line="297" w:lineRule="auto"/>
        <w:tabs>
          <w:tab w:leader="none" w:pos="156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Beneficiaries</w:t>
      </w:r>
      <w:r>
        <w:rPr>
          <w:rFonts w:ascii="Arial" w:cs="Arial" w:eastAsia="Arial" w:hAnsi="Arial"/>
          <w:sz w:val="19"/>
          <w:szCs w:val="19"/>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13. In the event of the Executive’s death or a judicial determination of the Executive’s incompetence, reference in this Agreement to the “Executive” will be deemed, where appropriate, to the Executive’s beneficiary, estate or other legal representative.</w:t>
      </w:r>
    </w:p>
    <w:p>
      <w:pPr>
        <w:spacing w:after="0" w:line="187" w:lineRule="exact"/>
        <w:rPr>
          <w:rFonts w:ascii="Arial" w:cs="Arial" w:eastAsia="Arial" w:hAnsi="Arial"/>
          <w:sz w:val="19"/>
          <w:szCs w:val="19"/>
          <w:color w:val="auto"/>
        </w:rPr>
      </w:pPr>
    </w:p>
    <w:p>
      <w:pPr>
        <w:ind w:firstLine="656"/>
        <w:spacing w:after="0" w:line="263" w:lineRule="auto"/>
        <w:tabs>
          <w:tab w:leader="none" w:pos="156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will be deemed to be an original but all of which together will constitute one and the same agreement.</w:t>
      </w:r>
    </w:p>
    <w:p>
      <w:pPr>
        <w:spacing w:after="0" w:line="215" w:lineRule="exact"/>
        <w:rPr>
          <w:rFonts w:ascii="Arial" w:cs="Arial" w:eastAsia="Arial" w:hAnsi="Arial"/>
          <w:sz w:val="22"/>
          <w:szCs w:val="22"/>
          <w:color w:val="auto"/>
        </w:rPr>
      </w:pPr>
    </w:p>
    <w:p>
      <w:pPr>
        <w:jc w:val="both"/>
        <w:ind w:firstLine="656"/>
        <w:spacing w:after="0" w:line="248" w:lineRule="auto"/>
        <w:tabs>
          <w:tab w:leader="none" w:pos="156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To the extent applicable, it is intended that this Agreement comply with the provisions of Section 409A. This Agreement will be administered in a manner consistent with this intent, and any provision that would cause the Agreement to fail to satisfy Section 409A will have no force and effect until amended to comply with Section 409A (which amendment may be retroactive to the extent permitted by Section 409A and may be made by the Company without the consent of the Executive).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33" w:name="page134"/>
    <w:bookmarkEnd w:id="133"/>
    <w:p>
      <w:pPr>
        <w:spacing w:after="0" w:line="263" w:lineRule="auto"/>
        <w:rPr>
          <w:sz w:val="20"/>
          <w:szCs w:val="20"/>
          <w:color w:val="auto"/>
        </w:rPr>
      </w:pPr>
      <w:r>
        <w:rPr>
          <w:rFonts w:ascii="Arial" w:cs="Arial" w:eastAsia="Arial" w:hAnsi="Arial"/>
          <w:sz w:val="22"/>
          <w:szCs w:val="22"/>
          <w:color w:val="auto"/>
        </w:rPr>
        <w:t>IN WITNESS WHEREOF, the parties have caused this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19"/>
          <w:szCs w:val="19"/>
          <w:b w:val="1"/>
          <w:bCs w:val="1"/>
          <w:color w:val="auto"/>
        </w:rPr>
        <w:t>Scott Salmirs</w:t>
      </w:r>
    </w:p>
    <w:p>
      <w:pPr>
        <w:spacing w:after="0" w:line="34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Scott Salmirs</w:t>
      </w:r>
    </w:p>
    <w:p>
      <w:pPr>
        <w:spacing w:after="0" w:line="233" w:lineRule="exact"/>
        <w:rPr>
          <w:sz w:val="20"/>
          <w:szCs w:val="20"/>
          <w:color w:val="auto"/>
        </w:rPr>
      </w:pPr>
    </w:p>
    <w:p>
      <w:pPr>
        <w:ind w:left="1980"/>
        <w:spacing w:after="0"/>
        <w:tabs>
          <w:tab w:leader="none" w:pos="2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21, 2017</w:t>
      </w:r>
    </w:p>
    <w:p>
      <w:pPr>
        <w:spacing w:after="0" w:line="335"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19"/>
          <w:szCs w:val="19"/>
          <w:b w:val="1"/>
          <w:bCs w:val="1"/>
          <w:color w:val="auto"/>
        </w:rPr>
        <w:t>ABM Industries Incorporated</w:t>
      </w:r>
    </w:p>
    <w:p>
      <w:pPr>
        <w:spacing w:after="0" w:line="200" w:lineRule="exact"/>
        <w:rPr>
          <w:sz w:val="20"/>
          <w:szCs w:val="20"/>
          <w:color w:val="auto"/>
        </w:rPr>
      </w:pPr>
    </w:p>
    <w:p>
      <w:pPr>
        <w:spacing w:after="0" w:line="255"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Thomas M. Gartland</w:t>
      </w:r>
    </w:p>
    <w:p>
      <w:pPr>
        <w:spacing w:after="0" w:line="34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 xml:space="preserve">Name, Title: </w:t>
      </w:r>
      <w:r>
        <w:rPr>
          <w:rFonts w:ascii="Arial" w:cs="Arial" w:eastAsia="Arial" w:hAnsi="Arial"/>
          <w:sz w:val="22"/>
          <w:szCs w:val="22"/>
          <w:u w:val="single" w:color="auto"/>
          <w:color w:val="auto"/>
        </w:rPr>
        <w:t>Thomas M. Gartland, Chairman Compensation Committee</w:t>
      </w:r>
    </w:p>
    <w:p>
      <w:pPr>
        <w:spacing w:after="0" w:line="328"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COMPENSATION, ETC.</w:t>
      </w:r>
    </w:p>
    <w:p>
      <w:pPr>
        <w:spacing w:after="0" w:line="226" w:lineRule="exact"/>
        <w:rPr>
          <w:sz w:val="20"/>
          <w:szCs w:val="20"/>
          <w:color w:val="auto"/>
        </w:rPr>
      </w:pPr>
    </w:p>
    <w:p>
      <w:pPr>
        <w:jc w:val="both"/>
        <w:ind w:firstLine="332"/>
        <w:spacing w:after="0" w:line="250" w:lineRule="auto"/>
        <w:tabs>
          <w:tab w:leader="none" w:pos="9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lump sum payment in an amount equal to three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228" w:lineRule="exact"/>
        <w:rPr>
          <w:rFonts w:ascii="Arial" w:cs="Arial" w:eastAsia="Arial" w:hAnsi="Arial"/>
          <w:sz w:val="22"/>
          <w:szCs w:val="22"/>
          <w:color w:val="auto"/>
        </w:rPr>
      </w:pPr>
    </w:p>
    <w:p>
      <w:pPr>
        <w:jc w:val="both"/>
        <w:ind w:firstLine="332"/>
        <w:spacing w:after="0" w:line="265" w:lineRule="auto"/>
        <w:tabs>
          <w:tab w:leader="none" w:pos="9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Executive’s then-outstanding equity-based awards under the Equity Plan (including any awards issued by an acquirer or successor to the Company in exchange or substitution for such awards) will not be forfeited but will become fully vested;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performance awards with respect to then-ongoing performance periods shall be vested with respect to the number of shares that would have become earned and vested if the target level of performance was met.</w:t>
      </w:r>
    </w:p>
    <w:p>
      <w:pPr>
        <w:spacing w:after="0" w:line="216" w:lineRule="exact"/>
        <w:rPr>
          <w:rFonts w:ascii="Arial" w:cs="Arial" w:eastAsia="Arial" w:hAnsi="Arial"/>
          <w:sz w:val="21"/>
          <w:szCs w:val="21"/>
          <w:color w:val="auto"/>
        </w:rPr>
      </w:pPr>
    </w:p>
    <w:p>
      <w:pPr>
        <w:jc w:val="both"/>
        <w:ind w:firstLine="332"/>
        <w:spacing w:after="0" w:line="259" w:lineRule="auto"/>
        <w:tabs>
          <w:tab w:leader="none" w:pos="9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 lieu of providing any continuation of Welfare Benefits to the Executive and his or her dependents following the Termination Date (</w:t>
      </w:r>
      <w:r>
        <w:rPr>
          <w:rFonts w:ascii="Arial" w:cs="Arial" w:eastAsia="Arial" w:hAnsi="Arial"/>
          <w:sz w:val="21"/>
          <w:szCs w:val="21"/>
          <w:i w:val="1"/>
          <w:iCs w:val="1"/>
          <w:color w:val="auto"/>
        </w:rPr>
        <w:t>it being understood</w:t>
      </w:r>
      <w:r>
        <w:rPr>
          <w:rFonts w:ascii="Arial" w:cs="Arial" w:eastAsia="Arial" w:hAnsi="Arial"/>
          <w:sz w:val="21"/>
          <w:szCs w:val="21"/>
          <w:color w:val="auto"/>
        </w:rPr>
        <w:t xml:space="preserve"> that this is not intended to supersede any right of the Executive and his or her dependents to COBRA continuation following the Termination Date), a lump sum payment in an amount equal to the present value of such Welfare Benefits, if such Welfare Benefits were provided for a period of 18 months following the Termination Date. For purposes of the immediately preceding sentence, the value of such Welfare Benefits shall be measured immediately prior to the Termination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applicable for purposes of calculating service or age to determine the value of such Welfare Benefits, assuming that the Executive had remained actively employed on a full-time basis for a period of 18 months following the Termination Date).</w:t>
      </w:r>
    </w:p>
    <w:p>
      <w:pPr>
        <w:spacing w:after="0" w:line="224" w:lineRule="exact"/>
        <w:rPr>
          <w:rFonts w:ascii="Arial" w:cs="Arial" w:eastAsia="Arial" w:hAnsi="Arial"/>
          <w:sz w:val="21"/>
          <w:szCs w:val="21"/>
          <w:color w:val="auto"/>
        </w:rPr>
      </w:pPr>
    </w:p>
    <w:p>
      <w:pPr>
        <w:ind w:left="900" w:hanging="568"/>
        <w:spacing w:after="0"/>
        <w:tabs>
          <w:tab w:leader="none" w:pos="9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Non-Competition Period contemplated by Section 9(a) will be 12 months from the Termination Date.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11111"/>
        </w:rPr>
        <w:t>RETIREMENT AND RELEASE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111111"/>
        </w:rPr>
        <w:t>September 1,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111111"/>
        </w:rPr>
        <w:t>James P</w:t>
      </w:r>
      <w:r>
        <w:rPr>
          <w:rFonts w:ascii="Arial" w:cs="Arial" w:eastAsia="Arial" w:hAnsi="Arial"/>
          <w:sz w:val="18"/>
          <w:szCs w:val="18"/>
          <w:color w:val="414141"/>
        </w:rPr>
        <w:t>.</w:t>
      </w:r>
      <w:r>
        <w:rPr>
          <w:rFonts w:ascii="Arial" w:cs="Arial" w:eastAsia="Arial" w:hAnsi="Arial"/>
          <w:sz w:val="18"/>
          <w:szCs w:val="18"/>
          <w:color w:val="111111"/>
        </w:rPr>
        <w:t xml:space="preserve"> McClure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11111"/>
        </w:rPr>
        <w:t>c/o ABM Industries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11111"/>
        </w:rPr>
        <w:t>One Liberty Plaza, 7th Floor, New York, NY 10006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11111"/>
        </w:rPr>
        <w:t>Dear Jim</w:t>
      </w:r>
      <w:r>
        <w:rPr>
          <w:rFonts w:ascii="Arial" w:cs="Arial" w:eastAsia="Arial" w:hAnsi="Arial"/>
          <w:sz w:val="18"/>
          <w:szCs w:val="18"/>
          <w:color w:val="414141"/>
        </w:rPr>
        <w:t>:</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111111"/>
        </w:rPr>
        <w:t xml:space="preserve">This Retirement and Release Agreement (this “Retirement Agreement”) between ABM Industries </w:t>
      </w:r>
      <w:r>
        <w:rPr>
          <w:rFonts w:ascii="Arial" w:cs="Arial" w:eastAsia="Arial" w:hAnsi="Arial"/>
          <w:sz w:val="18"/>
          <w:szCs w:val="18"/>
          <w:color w:val="262626"/>
        </w:rPr>
        <w:t>Incorporated</w:t>
      </w:r>
      <w:r>
        <w:rPr>
          <w:rFonts w:ascii="Arial" w:cs="Arial" w:eastAsia="Arial" w:hAnsi="Arial"/>
          <w:sz w:val="18"/>
          <w:szCs w:val="18"/>
          <w:color w:val="111111"/>
        </w:rPr>
        <w:t xml:space="preserve"> (“Company” or </w:t>
      </w:r>
      <w:r>
        <w:rPr>
          <w:rFonts w:ascii="Arial" w:cs="Arial" w:eastAsia="Arial" w:hAnsi="Arial"/>
          <w:sz w:val="18"/>
          <w:szCs w:val="18"/>
          <w:color w:val="262626"/>
        </w:rPr>
        <w:t>“ABM”)</w:t>
      </w:r>
      <w:r>
        <w:rPr>
          <w:rFonts w:ascii="Arial" w:cs="Arial" w:eastAsia="Arial" w:hAnsi="Arial"/>
          <w:sz w:val="18"/>
          <w:szCs w:val="18"/>
          <w:color w:val="111111"/>
        </w:rPr>
        <w:t xml:space="preserve"> and you sets forth the terms of your retirement from the Company</w:t>
      </w:r>
      <w:r>
        <w:rPr>
          <w:rFonts w:ascii="Arial" w:cs="Arial" w:eastAsia="Arial" w:hAnsi="Arial"/>
          <w:sz w:val="18"/>
          <w:szCs w:val="18"/>
          <w:color w:val="414141"/>
        </w:rPr>
        <w:t>.</w:t>
      </w:r>
      <w:r>
        <w:rPr>
          <w:rFonts w:ascii="Arial" w:cs="Arial" w:eastAsia="Arial" w:hAnsi="Arial"/>
          <w:sz w:val="18"/>
          <w:szCs w:val="18"/>
          <w:color w:val="111111"/>
        </w:rPr>
        <w:t xml:space="preserve"> By signing this Retirement Agreement, you and the Company agree as follows:</w:t>
      </w:r>
    </w:p>
    <w:p>
      <w:pPr>
        <w:spacing w:after="0" w:line="174"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111111"/>
        </w:rPr>
        <w:t>RETIREMENT DATE</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111111"/>
        </w:rPr>
        <w:t xml:space="preserve">Your last day of employment with the Company will be November 1, 2017 (the “Retirement Date”), which is the date the term of your Executive Employment Agreement dated January 13, 2015 </w:t>
      </w:r>
      <w:r>
        <w:rPr>
          <w:rFonts w:ascii="Arial" w:cs="Arial" w:eastAsia="Arial" w:hAnsi="Arial"/>
          <w:sz w:val="18"/>
          <w:szCs w:val="18"/>
          <w:color w:val="262626"/>
        </w:rPr>
        <w:t>(the “Employment</w:t>
      </w:r>
      <w:r>
        <w:rPr>
          <w:rFonts w:ascii="Arial" w:cs="Arial" w:eastAsia="Arial" w:hAnsi="Arial"/>
          <w:sz w:val="18"/>
          <w:szCs w:val="18"/>
          <w:color w:val="111111"/>
        </w:rPr>
        <w:t xml:space="preserve"> Agreement”) will end as a result of your retirement.</w:t>
      </w:r>
    </w:p>
    <w:p>
      <w:pPr>
        <w:spacing w:after="0" w:line="174"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8"/>
          <w:szCs w:val="18"/>
          <w:b w:val="1"/>
          <w:bCs w:val="1"/>
          <w:color w:val="111111"/>
        </w:rPr>
      </w:pPr>
      <w:r>
        <w:rPr>
          <w:rFonts w:ascii="Arial" w:cs="Arial" w:eastAsia="Arial" w:hAnsi="Arial"/>
          <w:sz w:val="18"/>
          <w:szCs w:val="18"/>
          <w:b w:val="1"/>
          <w:bCs w:val="1"/>
          <w:u w:val="single" w:color="auto"/>
          <w:color w:val="111111"/>
        </w:rPr>
        <w:t>STATUS OF COMPENSATION AND BENEFITS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111111"/>
        </w:rPr>
        <w:t>Whether you sign this Retirement Agreement or not, in connection with or following the termination of your employment (whether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11111"/>
        </w:rPr>
        <w:t xml:space="preserve">Retirement Date or upon an earlier termination of employment, your </w:t>
      </w:r>
      <w:r>
        <w:rPr>
          <w:rFonts w:ascii="Arial" w:cs="Arial" w:eastAsia="Arial" w:hAnsi="Arial"/>
          <w:sz w:val="18"/>
          <w:szCs w:val="18"/>
          <w:color w:val="262626"/>
        </w:rPr>
        <w:t>“Date</w:t>
      </w:r>
      <w:r>
        <w:rPr>
          <w:rFonts w:ascii="Arial" w:cs="Arial" w:eastAsia="Arial" w:hAnsi="Arial"/>
          <w:sz w:val="18"/>
          <w:szCs w:val="18"/>
          <w:color w:val="111111"/>
        </w:rPr>
        <w:t xml:space="preserve"> of Termination</w:t>
      </w:r>
      <w:r>
        <w:rPr>
          <w:rFonts w:ascii="Arial" w:cs="Arial" w:eastAsia="Arial" w:hAnsi="Arial"/>
          <w:sz w:val="18"/>
          <w:szCs w:val="18"/>
          <w:color w:val="414141"/>
        </w:rPr>
        <w:t>”</w:t>
      </w:r>
      <w:r>
        <w:rPr>
          <w:rFonts w:ascii="Arial" w:cs="Arial" w:eastAsia="Arial" w:hAnsi="Arial"/>
          <w:sz w:val="18"/>
          <w:szCs w:val="18"/>
          <w:color w:val="111111"/>
        </w:rPr>
        <w:t>)</w:t>
      </w:r>
      <w:r>
        <w:rPr>
          <w:rFonts w:ascii="Arial" w:cs="Arial" w:eastAsia="Arial" w:hAnsi="Arial"/>
          <w:sz w:val="18"/>
          <w:szCs w:val="18"/>
          <w:color w:val="414141"/>
        </w:rPr>
        <w:t>,</w:t>
      </w:r>
      <w:r>
        <w:rPr>
          <w:rFonts w:ascii="Arial" w:cs="Arial" w:eastAsia="Arial" w:hAnsi="Arial"/>
          <w:sz w:val="18"/>
          <w:szCs w:val="18"/>
          <w:color w:val="111111"/>
        </w:rPr>
        <w:t xml:space="preserve"> you will, subject to applicable tax withholding:</w:t>
      </w:r>
    </w:p>
    <w:p>
      <w:pPr>
        <w:spacing w:after="0" w:line="225" w:lineRule="exact"/>
        <w:rPr>
          <w:sz w:val="20"/>
          <w:szCs w:val="20"/>
          <w:color w:val="auto"/>
        </w:rPr>
      </w:pPr>
    </w:p>
    <w:p>
      <w:pPr>
        <w:ind w:left="360" w:right="20" w:hanging="352"/>
        <w:spacing w:after="0" w:line="250" w:lineRule="auto"/>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111111"/>
        </w:rPr>
        <w:t xml:space="preserve">be paid any accrued but unpaid salary, together with accrued but unused vacation to the extent required by law, through the Date of </w:t>
      </w:r>
      <w:r>
        <w:rPr>
          <w:rFonts w:ascii="Arial" w:cs="Arial" w:eastAsia="Arial" w:hAnsi="Arial"/>
          <w:sz w:val="18"/>
          <w:szCs w:val="18"/>
          <w:color w:val="5B5B5B"/>
        </w:rPr>
        <w:t>T</w:t>
      </w:r>
      <w:r>
        <w:rPr>
          <w:rFonts w:ascii="Arial" w:cs="Arial" w:eastAsia="Arial" w:hAnsi="Arial"/>
          <w:sz w:val="18"/>
          <w:szCs w:val="18"/>
          <w:color w:val="111111"/>
        </w:rPr>
        <w:t>er</w:t>
      </w:r>
      <w:r>
        <w:rPr>
          <w:rFonts w:ascii="Arial" w:cs="Arial" w:eastAsia="Arial" w:hAnsi="Arial"/>
          <w:sz w:val="18"/>
          <w:szCs w:val="18"/>
          <w:color w:val="414141"/>
        </w:rPr>
        <w:t>m</w:t>
      </w:r>
      <w:r>
        <w:rPr>
          <w:rFonts w:ascii="Arial" w:cs="Arial" w:eastAsia="Arial" w:hAnsi="Arial"/>
          <w:sz w:val="18"/>
          <w:szCs w:val="18"/>
          <w:color w:val="262626"/>
        </w:rPr>
        <w:t>ination;</w:t>
      </w:r>
    </w:p>
    <w:p>
      <w:pPr>
        <w:ind w:left="360" w:hanging="352"/>
        <w:spacing w:after="0" w:line="250" w:lineRule="auto"/>
        <w:tabs>
          <w:tab w:leader="none" w:pos="360" w:val="left"/>
        </w:tabs>
        <w:numPr>
          <w:ilvl w:val="0"/>
          <w:numId w:val="80"/>
        </w:numPr>
        <w:rPr>
          <w:rFonts w:ascii="Arial" w:cs="Arial" w:eastAsia="Arial" w:hAnsi="Arial"/>
          <w:sz w:val="18"/>
          <w:szCs w:val="18"/>
          <w:color w:val="262626"/>
        </w:rPr>
      </w:pPr>
      <w:r>
        <w:rPr>
          <w:rFonts w:ascii="Arial" w:cs="Arial" w:eastAsia="Arial" w:hAnsi="Arial"/>
          <w:sz w:val="18"/>
          <w:szCs w:val="18"/>
          <w:color w:val="111111"/>
        </w:rPr>
        <w:t xml:space="preserve">be notified of your right to continue your health, dental and vision </w:t>
      </w:r>
      <w:r>
        <w:rPr>
          <w:rFonts w:ascii="Arial" w:cs="Arial" w:eastAsia="Arial" w:hAnsi="Arial"/>
          <w:sz w:val="18"/>
          <w:szCs w:val="18"/>
          <w:color w:val="262626"/>
        </w:rPr>
        <w:t>insurance</w:t>
      </w:r>
      <w:r>
        <w:rPr>
          <w:rFonts w:ascii="Arial" w:cs="Arial" w:eastAsia="Arial" w:hAnsi="Arial"/>
          <w:sz w:val="18"/>
          <w:szCs w:val="18"/>
          <w:color w:val="111111"/>
        </w:rPr>
        <w:t xml:space="preserve"> coverage as well as EAP services under the COBRA law for 18 months;</w:t>
      </w:r>
    </w:p>
    <w:p>
      <w:pPr>
        <w:ind w:left="360" w:hanging="352"/>
        <w:spacing w:after="0"/>
        <w:tabs>
          <w:tab w:leader="none" w:pos="360" w:val="left"/>
        </w:tabs>
        <w:numPr>
          <w:ilvl w:val="0"/>
          <w:numId w:val="80"/>
        </w:numPr>
        <w:rPr>
          <w:rFonts w:ascii="Arial" w:cs="Arial" w:eastAsia="Arial" w:hAnsi="Arial"/>
          <w:sz w:val="18"/>
          <w:szCs w:val="18"/>
          <w:color w:val="111111"/>
        </w:rPr>
      </w:pPr>
      <w:r>
        <w:rPr>
          <w:rFonts w:ascii="Arial" w:cs="Arial" w:eastAsia="Arial" w:hAnsi="Arial"/>
          <w:sz w:val="18"/>
          <w:szCs w:val="18"/>
          <w:color w:val="262626"/>
        </w:rPr>
        <w:t xml:space="preserve">not </w:t>
      </w:r>
      <w:r>
        <w:rPr>
          <w:rFonts w:ascii="Arial" w:cs="Arial" w:eastAsia="Arial" w:hAnsi="Arial"/>
          <w:sz w:val="18"/>
          <w:szCs w:val="18"/>
          <w:color w:val="111111"/>
        </w:rPr>
        <w:t>be eligible for a bonus for the fiscal year ending October 31</w:t>
      </w:r>
      <w:r>
        <w:rPr>
          <w:rFonts w:ascii="Arial" w:cs="Arial" w:eastAsia="Arial" w:hAnsi="Arial"/>
          <w:sz w:val="18"/>
          <w:szCs w:val="18"/>
          <w:color w:val="414141"/>
        </w:rPr>
        <w:t>,</w:t>
      </w:r>
      <w:r>
        <w:rPr>
          <w:rFonts w:ascii="Arial" w:cs="Arial" w:eastAsia="Arial" w:hAnsi="Arial"/>
          <w:sz w:val="18"/>
          <w:szCs w:val="18"/>
          <w:color w:val="262626"/>
        </w:rPr>
        <w:t xml:space="preserve"> </w:t>
      </w:r>
      <w:r>
        <w:rPr>
          <w:rFonts w:ascii="Arial" w:cs="Arial" w:eastAsia="Arial" w:hAnsi="Arial"/>
          <w:sz w:val="18"/>
          <w:szCs w:val="18"/>
          <w:color w:val="111111"/>
        </w:rPr>
        <w:t>2017 except as set forth</w:t>
      </w:r>
      <w:r>
        <w:rPr>
          <w:rFonts w:ascii="Arial" w:cs="Arial" w:eastAsia="Arial" w:hAnsi="Arial"/>
          <w:sz w:val="18"/>
          <w:szCs w:val="18"/>
          <w:color w:val="262626"/>
        </w:rPr>
        <w:t xml:space="preserve"> in </w:t>
      </w:r>
      <w:r>
        <w:rPr>
          <w:rFonts w:ascii="Arial" w:cs="Arial" w:eastAsia="Arial" w:hAnsi="Arial"/>
          <w:sz w:val="18"/>
          <w:szCs w:val="18"/>
          <w:color w:val="111111"/>
        </w:rPr>
        <w:t>Paragraph 3 below;</w:t>
      </w:r>
    </w:p>
    <w:p>
      <w:pPr>
        <w:spacing w:after="0" w:line="9" w:lineRule="exact"/>
        <w:rPr>
          <w:rFonts w:ascii="Arial" w:cs="Arial" w:eastAsia="Arial" w:hAnsi="Arial"/>
          <w:sz w:val="18"/>
          <w:szCs w:val="18"/>
          <w:color w:val="111111"/>
        </w:rPr>
      </w:pPr>
    </w:p>
    <w:p>
      <w:pPr>
        <w:jc w:val="both"/>
        <w:ind w:left="340" w:hanging="332"/>
        <w:spacing w:after="0" w:line="250"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111111"/>
        </w:rPr>
        <w:t>not be covered by any basic or supplemental life</w:t>
      </w:r>
      <w:r>
        <w:rPr>
          <w:rFonts w:ascii="Arial" w:cs="Arial" w:eastAsia="Arial" w:hAnsi="Arial"/>
          <w:sz w:val="18"/>
          <w:szCs w:val="18"/>
          <w:color w:val="414141"/>
        </w:rPr>
        <w:t>,</w:t>
      </w:r>
      <w:r>
        <w:rPr>
          <w:rFonts w:ascii="Arial" w:cs="Arial" w:eastAsia="Arial" w:hAnsi="Arial"/>
          <w:sz w:val="18"/>
          <w:szCs w:val="18"/>
          <w:color w:val="111111"/>
        </w:rPr>
        <w:t xml:space="preserve"> short term disability or personal accident insurance offered through the Company after your Date of Termination; however, you will have 31 days from your Date of Termination to convert any of these group policies to an individual policy;</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111111"/>
        </w:rPr>
        <w:t xml:space="preserve">not be eligible to contribute additional amounts or receive additional matching contributions </w:t>
      </w:r>
      <w:r>
        <w:rPr>
          <w:rFonts w:ascii="Arial" w:cs="Arial" w:eastAsia="Arial" w:hAnsi="Arial"/>
          <w:sz w:val="18"/>
          <w:szCs w:val="18"/>
          <w:color w:val="262626"/>
        </w:rPr>
        <w:t>in</w:t>
      </w:r>
      <w:r>
        <w:rPr>
          <w:rFonts w:ascii="Arial" w:cs="Arial" w:eastAsia="Arial" w:hAnsi="Arial"/>
          <w:sz w:val="18"/>
          <w:szCs w:val="18"/>
          <w:color w:val="111111"/>
        </w:rPr>
        <w:t xml:space="preserve"> the ABM 401(k) Employee Savings Plan after the Date of Termination</w:t>
      </w:r>
      <w:r>
        <w:rPr>
          <w:rFonts w:ascii="Arial" w:cs="Arial" w:eastAsia="Arial" w:hAnsi="Arial"/>
          <w:sz w:val="18"/>
          <w:szCs w:val="18"/>
          <w:color w:val="414141"/>
        </w:rPr>
        <w:t>;</w:t>
      </w:r>
      <w:r>
        <w:rPr>
          <w:rFonts w:ascii="Arial" w:cs="Arial" w:eastAsia="Arial" w:hAnsi="Arial"/>
          <w:sz w:val="18"/>
          <w:szCs w:val="18"/>
          <w:color w:val="111111"/>
        </w:rPr>
        <w:t xml:space="preserve"> however, monies </w:t>
      </w:r>
      <w:r>
        <w:rPr>
          <w:rFonts w:ascii="Arial" w:cs="Arial" w:eastAsia="Arial" w:hAnsi="Arial"/>
          <w:sz w:val="18"/>
          <w:szCs w:val="18"/>
          <w:color w:val="262626"/>
        </w:rPr>
        <w:t>in</w:t>
      </w:r>
      <w:r>
        <w:rPr>
          <w:rFonts w:ascii="Arial" w:cs="Arial" w:eastAsia="Arial" w:hAnsi="Arial"/>
          <w:sz w:val="18"/>
          <w:szCs w:val="18"/>
          <w:color w:val="111111"/>
        </w:rPr>
        <w:t xml:space="preserve"> your account will be available to you under the terms of the plan, </w:t>
      </w:r>
      <w:r>
        <w:rPr>
          <w:rFonts w:ascii="Arial" w:cs="Arial" w:eastAsia="Arial" w:hAnsi="Arial"/>
          <w:sz w:val="18"/>
          <w:szCs w:val="18"/>
          <w:i w:val="1"/>
          <w:iCs w:val="1"/>
          <w:u w:val="single" w:color="auto"/>
          <w:color w:val="111111"/>
        </w:rPr>
        <w:t>provided</w:t>
      </w:r>
      <w:r>
        <w:rPr>
          <w:rFonts w:ascii="Arial" w:cs="Arial" w:eastAsia="Arial" w:hAnsi="Arial"/>
          <w:sz w:val="18"/>
          <w:szCs w:val="18"/>
          <w:color w:val="111111"/>
        </w:rPr>
        <w:t xml:space="preserve"> that (i) if your account balance </w:t>
      </w:r>
      <w:r>
        <w:rPr>
          <w:rFonts w:ascii="Arial" w:cs="Arial" w:eastAsia="Arial" w:hAnsi="Arial"/>
          <w:sz w:val="18"/>
          <w:szCs w:val="18"/>
          <w:color w:val="262626"/>
        </w:rPr>
        <w:t>is in</w:t>
      </w:r>
      <w:r>
        <w:rPr>
          <w:rFonts w:ascii="Arial" w:cs="Arial" w:eastAsia="Arial" w:hAnsi="Arial"/>
          <w:sz w:val="18"/>
          <w:szCs w:val="18"/>
          <w:color w:val="111111"/>
        </w:rPr>
        <w:t xml:space="preserve"> excess of $5,000 (excluding amounts previously rolled into the plan), you can allow that balance to </w:t>
      </w:r>
      <w:r>
        <w:rPr>
          <w:rFonts w:ascii="Arial" w:cs="Arial" w:eastAsia="Arial" w:hAnsi="Arial"/>
          <w:sz w:val="18"/>
          <w:szCs w:val="18"/>
          <w:color w:val="262626"/>
        </w:rPr>
        <w:t>remain</w:t>
      </w:r>
      <w:r>
        <w:rPr>
          <w:rFonts w:ascii="Arial" w:cs="Arial" w:eastAsia="Arial" w:hAnsi="Arial"/>
          <w:sz w:val="18"/>
          <w:szCs w:val="18"/>
          <w:color w:val="111111"/>
        </w:rPr>
        <w:t xml:space="preserve"> in the plan or (ii) where a lesser account balance </w:t>
      </w:r>
      <w:r>
        <w:rPr>
          <w:rFonts w:ascii="Arial" w:cs="Arial" w:eastAsia="Arial" w:hAnsi="Arial"/>
          <w:sz w:val="18"/>
          <w:szCs w:val="18"/>
          <w:color w:val="262626"/>
        </w:rPr>
        <w:t>remains,</w:t>
      </w:r>
      <w:r>
        <w:rPr>
          <w:rFonts w:ascii="Arial" w:cs="Arial" w:eastAsia="Arial" w:hAnsi="Arial"/>
          <w:sz w:val="18"/>
          <w:szCs w:val="18"/>
          <w:color w:val="111111"/>
        </w:rPr>
        <w:t xml:space="preserve"> you will be notified </w:t>
      </w:r>
      <w:r>
        <w:rPr>
          <w:rFonts w:ascii="Arial" w:cs="Arial" w:eastAsia="Arial" w:hAnsi="Arial"/>
          <w:sz w:val="18"/>
          <w:szCs w:val="18"/>
          <w:color w:val="262626"/>
        </w:rPr>
        <w:t>that</w:t>
      </w:r>
      <w:r>
        <w:rPr>
          <w:rFonts w:ascii="Arial" w:cs="Arial" w:eastAsia="Arial" w:hAnsi="Arial"/>
          <w:sz w:val="18"/>
          <w:szCs w:val="18"/>
          <w:color w:val="111111"/>
        </w:rPr>
        <w:t xml:space="preserve"> the balance will be distributed to </w:t>
      </w:r>
      <w:r>
        <w:rPr>
          <w:rFonts w:ascii="Arial" w:cs="Arial" w:eastAsia="Arial" w:hAnsi="Arial"/>
          <w:sz w:val="18"/>
          <w:szCs w:val="18"/>
          <w:color w:val="262626"/>
        </w:rPr>
        <w:t>you</w:t>
      </w:r>
      <w:r>
        <w:rPr>
          <w:rFonts w:ascii="Arial" w:cs="Arial" w:eastAsia="Arial" w:hAnsi="Arial"/>
          <w:sz w:val="18"/>
          <w:szCs w:val="18"/>
          <w:color w:val="414141"/>
        </w:rPr>
        <w:t>,</w:t>
      </w:r>
      <w:r>
        <w:rPr>
          <w:rFonts w:ascii="Arial" w:cs="Arial" w:eastAsia="Arial" w:hAnsi="Arial"/>
          <w:sz w:val="18"/>
          <w:szCs w:val="18"/>
          <w:color w:val="111111"/>
        </w:rPr>
        <w:t xml:space="preserve"> but </w:t>
      </w:r>
      <w:r>
        <w:rPr>
          <w:rFonts w:ascii="Arial" w:cs="Arial" w:eastAsia="Arial" w:hAnsi="Arial"/>
          <w:sz w:val="18"/>
          <w:szCs w:val="18"/>
          <w:color w:val="262626"/>
        </w:rPr>
        <w:t>in</w:t>
      </w:r>
      <w:r>
        <w:rPr>
          <w:rFonts w:ascii="Arial" w:cs="Arial" w:eastAsia="Arial" w:hAnsi="Arial"/>
          <w:sz w:val="18"/>
          <w:szCs w:val="18"/>
          <w:color w:val="111111"/>
        </w:rPr>
        <w:t xml:space="preserve"> either case</w:t>
      </w:r>
      <w:r>
        <w:rPr>
          <w:rFonts w:ascii="Arial" w:cs="Arial" w:eastAsia="Arial" w:hAnsi="Arial"/>
          <w:sz w:val="18"/>
          <w:szCs w:val="18"/>
          <w:color w:val="414141"/>
        </w:rPr>
        <w:t>,</w:t>
      </w:r>
      <w:r>
        <w:rPr>
          <w:rFonts w:ascii="Arial" w:cs="Arial" w:eastAsia="Arial" w:hAnsi="Arial"/>
          <w:sz w:val="18"/>
          <w:szCs w:val="18"/>
          <w:color w:val="111111"/>
        </w:rPr>
        <w:t xml:space="preserve"> you can choose to roll-over the account balance to an outside 401(k) plan or IRA;</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0"/>
        </w:numPr>
        <w:rPr>
          <w:rFonts w:ascii="Arial" w:cs="Arial" w:eastAsia="Arial" w:hAnsi="Arial"/>
          <w:sz w:val="18"/>
          <w:szCs w:val="18"/>
          <w:color w:val="111111"/>
        </w:rPr>
      </w:pPr>
      <w:r>
        <w:rPr>
          <w:rFonts w:ascii="Arial" w:cs="Arial" w:eastAsia="Arial" w:hAnsi="Arial"/>
          <w:sz w:val="18"/>
          <w:szCs w:val="18"/>
          <w:color w:val="111111"/>
        </w:rPr>
        <w:t xml:space="preserve">continue to vest </w:t>
      </w:r>
      <w:r>
        <w:rPr>
          <w:rFonts w:ascii="Arial" w:cs="Arial" w:eastAsia="Arial" w:hAnsi="Arial"/>
          <w:sz w:val="18"/>
          <w:szCs w:val="18"/>
          <w:color w:val="262626"/>
        </w:rPr>
        <w:t>in</w:t>
      </w:r>
      <w:r>
        <w:rPr>
          <w:rFonts w:ascii="Arial" w:cs="Arial" w:eastAsia="Arial" w:hAnsi="Arial"/>
          <w:sz w:val="18"/>
          <w:szCs w:val="18"/>
          <w:color w:val="111111"/>
        </w:rPr>
        <w:t xml:space="preserve"> your outstanding ABM equity awards until your Date of Termination</w:t>
      </w:r>
      <w:r>
        <w:rPr>
          <w:rFonts w:ascii="Arial" w:cs="Arial" w:eastAsia="Arial" w:hAnsi="Arial"/>
          <w:sz w:val="18"/>
          <w:szCs w:val="18"/>
          <w:color w:val="414141"/>
        </w:rPr>
        <w:t>,</w:t>
      </w:r>
      <w:r>
        <w:rPr>
          <w:rFonts w:ascii="Arial" w:cs="Arial" w:eastAsia="Arial" w:hAnsi="Arial"/>
          <w:sz w:val="18"/>
          <w:szCs w:val="18"/>
          <w:color w:val="111111"/>
        </w:rPr>
        <w:t xml:space="preserve"> at which </w:t>
      </w:r>
      <w:r>
        <w:rPr>
          <w:rFonts w:ascii="Arial" w:cs="Arial" w:eastAsia="Arial" w:hAnsi="Arial"/>
          <w:sz w:val="18"/>
          <w:szCs w:val="18"/>
          <w:color w:val="262626"/>
        </w:rPr>
        <w:t>time</w:t>
      </w:r>
      <w:r>
        <w:rPr>
          <w:rFonts w:ascii="Arial" w:cs="Arial" w:eastAsia="Arial" w:hAnsi="Arial"/>
          <w:sz w:val="18"/>
          <w:szCs w:val="18"/>
          <w:color w:val="111111"/>
        </w:rPr>
        <w:t xml:space="preserve"> such equity awards will cease to vest, </w:t>
      </w:r>
      <w:r>
        <w:rPr>
          <w:rFonts w:ascii="Arial" w:cs="Arial" w:eastAsia="Arial" w:hAnsi="Arial"/>
          <w:sz w:val="18"/>
          <w:szCs w:val="18"/>
          <w:i w:val="1"/>
          <w:iCs w:val="1"/>
          <w:color w:val="111111"/>
        </w:rPr>
        <w:t xml:space="preserve">provided </w:t>
      </w:r>
      <w:r>
        <w:rPr>
          <w:rFonts w:ascii="Arial" w:cs="Arial" w:eastAsia="Arial" w:hAnsi="Arial"/>
          <w:sz w:val="18"/>
          <w:szCs w:val="18"/>
          <w:color w:val="111111"/>
        </w:rPr>
        <w:t>that any outstanding ABM equity awards that remain eligible for vesting upon or following Retirement</w:t>
      </w:r>
      <w:r>
        <w:rPr>
          <w:rFonts w:ascii="Arial" w:cs="Arial" w:eastAsia="Arial" w:hAnsi="Arial"/>
          <w:sz w:val="18"/>
          <w:szCs w:val="18"/>
          <w:i w:val="1"/>
          <w:iCs w:val="1"/>
          <w:color w:val="111111"/>
        </w:rPr>
        <w:t xml:space="preserve"> </w:t>
      </w:r>
      <w:r>
        <w:rPr>
          <w:rFonts w:ascii="Arial" w:cs="Arial" w:eastAsia="Arial" w:hAnsi="Arial"/>
          <w:sz w:val="18"/>
          <w:szCs w:val="18"/>
          <w:color w:val="262626"/>
        </w:rPr>
        <w:t>(as</w:t>
      </w:r>
      <w:r>
        <w:rPr>
          <w:rFonts w:ascii="Arial" w:cs="Arial" w:eastAsia="Arial" w:hAnsi="Arial"/>
          <w:sz w:val="18"/>
          <w:szCs w:val="18"/>
          <w:i w:val="1"/>
          <w:iCs w:val="1"/>
          <w:color w:val="111111"/>
        </w:rPr>
        <w:t xml:space="preserve"> </w:t>
      </w:r>
      <w:r>
        <w:rPr>
          <w:rFonts w:ascii="Arial" w:cs="Arial" w:eastAsia="Arial" w:hAnsi="Arial"/>
          <w:sz w:val="18"/>
          <w:szCs w:val="18"/>
          <w:color w:val="111111"/>
        </w:rPr>
        <w:t>defined in ABM's 2006</w:t>
      </w:r>
      <w:r>
        <w:rPr>
          <w:rFonts w:ascii="Arial" w:cs="Arial" w:eastAsia="Arial" w:hAnsi="Arial"/>
          <w:sz w:val="18"/>
          <w:szCs w:val="18"/>
          <w:i w:val="1"/>
          <w:iCs w:val="1"/>
          <w:color w:val="111111"/>
        </w:rPr>
        <w:t xml:space="preserve"> </w:t>
      </w:r>
      <w:r>
        <w:rPr>
          <w:rFonts w:ascii="Arial" w:cs="Arial" w:eastAsia="Arial" w:hAnsi="Arial"/>
          <w:sz w:val="18"/>
          <w:szCs w:val="18"/>
          <w:color w:val="111111"/>
        </w:rPr>
        <w:t xml:space="preserve">Equity </w:t>
      </w:r>
      <w:r>
        <w:rPr>
          <w:rFonts w:ascii="Arial" w:cs="Arial" w:eastAsia="Arial" w:hAnsi="Arial"/>
          <w:sz w:val="18"/>
          <w:szCs w:val="18"/>
          <w:color w:val="262626"/>
        </w:rPr>
        <w:t>Incentive</w:t>
      </w:r>
      <w:r>
        <w:rPr>
          <w:rFonts w:ascii="Arial" w:cs="Arial" w:eastAsia="Arial" w:hAnsi="Arial"/>
          <w:sz w:val="18"/>
          <w:szCs w:val="18"/>
          <w:color w:val="111111"/>
        </w:rPr>
        <w:t xml:space="preserve"> Plan</w:t>
      </w:r>
      <w:r>
        <w:rPr>
          <w:rFonts w:ascii="Arial" w:cs="Arial" w:eastAsia="Arial" w:hAnsi="Arial"/>
          <w:sz w:val="18"/>
          <w:szCs w:val="18"/>
          <w:color w:val="414141"/>
        </w:rPr>
        <w:t>,</w:t>
      </w:r>
      <w:r>
        <w:rPr>
          <w:rFonts w:ascii="Arial" w:cs="Arial" w:eastAsia="Arial" w:hAnsi="Arial"/>
          <w:sz w:val="18"/>
          <w:szCs w:val="18"/>
          <w:color w:val="111111"/>
        </w:rPr>
        <w:t xml:space="preserve"> as amended and restated) pursuant to the terms expressly set forth in the Applicable Award Agreement will remain eligible for such vesting, and you will be able </w:t>
      </w:r>
      <w:r>
        <w:rPr>
          <w:rFonts w:ascii="Arial" w:cs="Arial" w:eastAsia="Arial" w:hAnsi="Arial"/>
          <w:sz w:val="18"/>
          <w:szCs w:val="18"/>
          <w:color w:val="262626"/>
        </w:rPr>
        <w:t>to</w:t>
      </w:r>
      <w:r>
        <w:rPr>
          <w:rFonts w:ascii="Arial" w:cs="Arial" w:eastAsia="Arial" w:hAnsi="Arial"/>
          <w:sz w:val="18"/>
          <w:szCs w:val="18"/>
          <w:color w:val="111111"/>
        </w:rPr>
        <w:t xml:space="preserve"> exercise any vested stock options for the period following your Date of Termination specified </w:t>
      </w:r>
      <w:r>
        <w:rPr>
          <w:rFonts w:ascii="Arial" w:cs="Arial" w:eastAsia="Arial" w:hAnsi="Arial"/>
          <w:sz w:val="18"/>
          <w:szCs w:val="18"/>
          <w:color w:val="262626"/>
        </w:rPr>
        <w:t>in</w:t>
      </w:r>
      <w:r>
        <w:rPr>
          <w:rFonts w:ascii="Arial" w:cs="Arial" w:eastAsia="Arial" w:hAnsi="Arial"/>
          <w:sz w:val="18"/>
          <w:szCs w:val="18"/>
          <w:color w:val="111111"/>
        </w:rPr>
        <w:t xml:space="preserve"> the applicable equity award documents (see Annex </w:t>
      </w:r>
      <w:r>
        <w:rPr>
          <w:rFonts w:ascii="Arial" w:cs="Arial" w:eastAsia="Arial" w:hAnsi="Arial"/>
          <w:sz w:val="18"/>
          <w:szCs w:val="18"/>
          <w:color w:val="262626"/>
        </w:rPr>
        <w:t>1);</w:t>
      </w:r>
      <w:r>
        <w:rPr>
          <w:rFonts w:ascii="Arial" w:cs="Arial" w:eastAsia="Arial" w:hAnsi="Arial"/>
          <w:sz w:val="18"/>
          <w:szCs w:val="18"/>
          <w:color w:val="111111"/>
        </w:rPr>
        <w:t xml:space="preserve"> and</w:t>
      </w:r>
    </w:p>
    <w:p>
      <w:pPr>
        <w:spacing w:after="0" w:line="2" w:lineRule="exact"/>
        <w:rPr>
          <w:rFonts w:ascii="Arial" w:cs="Arial" w:eastAsia="Arial" w:hAnsi="Arial"/>
          <w:sz w:val="18"/>
          <w:szCs w:val="18"/>
          <w:color w:val="111111"/>
        </w:rPr>
      </w:pPr>
    </w:p>
    <w:p>
      <w:pPr>
        <w:jc w:val="both"/>
        <w:ind w:left="340" w:hanging="332"/>
        <w:spacing w:after="0" w:line="256"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0F0F0F"/>
        </w:rPr>
        <w:t>receive the amounts due, if any, under each of the Company’s Employee Deferred Compensation Plan and the Company's Supplemental Executive Retirement Plan (“SERP”), in accordance with and subject to the terms of such applicable plan, including without limitation the payment timing following your “separation from service” within the meaning of Section 409A (see Annex 2)</w:t>
      </w:r>
      <w:r>
        <w:rPr>
          <w:rFonts w:ascii="Arial" w:cs="Arial" w:eastAsia="Arial" w:hAnsi="Arial"/>
          <w:sz w:val="18"/>
          <w:szCs w:val="18"/>
          <w:color w:val="2F2F2F"/>
        </w:rPr>
        <w:t>.</w:t>
      </w:r>
    </w:p>
    <w:p>
      <w:pPr>
        <w:spacing w:after="0" w:line="180" w:lineRule="exact"/>
        <w:rPr>
          <w:sz w:val="20"/>
          <w:szCs w:val="20"/>
          <w:color w:val="auto"/>
        </w:rPr>
      </w:pPr>
    </w:p>
    <w:p>
      <w:pPr>
        <w:ind w:left="200" w:hanging="192"/>
        <w:spacing w:after="0"/>
        <w:tabs>
          <w:tab w:leader="none" w:pos="200" w:val="left"/>
        </w:tabs>
        <w:numPr>
          <w:ilvl w:val="0"/>
          <w:numId w:val="81"/>
        </w:numPr>
        <w:rPr>
          <w:rFonts w:ascii="Arial" w:cs="Arial" w:eastAsia="Arial" w:hAnsi="Arial"/>
          <w:sz w:val="18"/>
          <w:szCs w:val="18"/>
          <w:b w:val="1"/>
          <w:bCs w:val="1"/>
          <w:color w:val="0F0F0F"/>
        </w:rPr>
      </w:pPr>
      <w:r>
        <w:rPr>
          <w:rFonts w:ascii="Arial" w:cs="Arial" w:eastAsia="Arial" w:hAnsi="Arial"/>
          <w:sz w:val="18"/>
          <w:szCs w:val="18"/>
          <w:b w:val="1"/>
          <w:bCs w:val="1"/>
          <w:u w:val="single" w:color="auto"/>
          <w:color w:val="0F0F0F"/>
        </w:rPr>
        <w:t>SEPARATION AND RETIREMENT BENEFITS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0F0F0F"/>
        </w:rPr>
        <w:t>So long as your employment is not terminated for Cause, and you do not resign, prior to the Retirement Date</w:t>
      </w:r>
      <w:r>
        <w:rPr>
          <w:rFonts w:ascii="Arial" w:cs="Arial" w:eastAsia="Arial" w:hAnsi="Arial"/>
          <w:sz w:val="18"/>
          <w:szCs w:val="18"/>
          <w:color w:val="5D5D5D"/>
        </w:rPr>
        <w:t>,</w:t>
      </w:r>
      <w:r>
        <w:rPr>
          <w:rFonts w:ascii="Arial" w:cs="Arial" w:eastAsia="Arial" w:hAnsi="Arial"/>
          <w:sz w:val="18"/>
          <w:szCs w:val="18"/>
          <w:color w:val="0F0F0F"/>
        </w:rPr>
        <w:t xml:space="preserve"> and in consideration for you sign</w:t>
      </w:r>
      <w:r>
        <w:rPr>
          <w:rFonts w:ascii="Arial" w:cs="Arial" w:eastAsia="Arial" w:hAnsi="Arial"/>
          <w:sz w:val="18"/>
          <w:szCs w:val="18"/>
          <w:color w:val="3F3F3F"/>
        </w:rPr>
        <w:t>in</w:t>
      </w:r>
      <w:r>
        <w:rPr>
          <w:rFonts w:ascii="Arial" w:cs="Arial" w:eastAsia="Arial" w:hAnsi="Arial"/>
          <w:sz w:val="18"/>
          <w:szCs w:val="18"/>
          <w:color w:val="0F0F0F"/>
        </w:rPr>
        <w:t>g and not revoking this Retirement Agreement and subject to your execution (no earlier</w:t>
      </w:r>
    </w:p>
    <w:p>
      <w:pPr>
        <w:sectPr>
          <w:pgSz w:w="11900" w:h="16838" w:orient="portrait"/>
          <w:cols w:equalWidth="0" w:num="1">
            <w:col w:w="11420"/>
          </w:cols>
          <w:pgMar w:left="240" w:top="576" w:right="239" w:bottom="1440" w:gutter="0" w:footer="0" w:header="0"/>
        </w:sectPr>
      </w:pPr>
    </w:p>
    <w:bookmarkStart w:id="136" w:name="page137"/>
    <w:bookmarkEnd w:id="136"/>
    <w:p>
      <w:pPr>
        <w:jc w:val="both"/>
        <w:spacing w:after="0" w:line="216" w:lineRule="exact"/>
        <w:rPr>
          <w:sz w:val="20"/>
          <w:szCs w:val="20"/>
          <w:color w:val="auto"/>
        </w:rPr>
      </w:pPr>
      <w:r>
        <w:rPr>
          <w:rFonts w:ascii="Arial" w:cs="Arial" w:eastAsia="Arial" w:hAnsi="Arial"/>
          <w:sz w:val="18"/>
          <w:szCs w:val="18"/>
          <w:color w:val="0F0F0F"/>
        </w:rPr>
        <w:t>than the Retirement Date but no later than 21 days thereafter) of the release attached hereto as Exhibit A (the “Final Release</w:t>
      </w:r>
      <w:r>
        <w:rPr>
          <w:rFonts w:ascii="Arial" w:cs="Arial" w:eastAsia="Arial" w:hAnsi="Arial"/>
          <w:sz w:val="18"/>
          <w:szCs w:val="18"/>
          <w:color w:val="2F2F2F"/>
        </w:rPr>
        <w:t>”</w:t>
      </w:r>
      <w:r>
        <w:rPr>
          <w:rFonts w:ascii="Arial" w:cs="Arial" w:eastAsia="Arial" w:hAnsi="Arial"/>
          <w:sz w:val="18"/>
          <w:szCs w:val="18"/>
          <w:color w:val="0F0F0F"/>
        </w:rPr>
        <w:t>), and non</w:t>
      </w:r>
      <w:r>
        <w:rPr>
          <w:rFonts w:ascii="MS PGothic" w:cs="MS PGothic" w:eastAsia="MS PGothic" w:hAnsi="MS PGothic"/>
          <w:sz w:val="18"/>
          <w:szCs w:val="18"/>
          <w:color w:val="0F0F0F"/>
        </w:rPr>
        <w:t>‐</w:t>
      </w:r>
      <w:r>
        <w:rPr>
          <w:rFonts w:ascii="Arial" w:cs="Arial" w:eastAsia="Arial" w:hAnsi="Arial"/>
          <w:sz w:val="18"/>
          <w:szCs w:val="18"/>
          <w:color w:val="0F0F0F"/>
        </w:rPr>
        <w:t xml:space="preserve"> revocation within the period specified therein (the “Final Release Effective Date”), which shall be in addition to the release set forth in Paragraph 5 of this Retirement Agreement, and your continuing compliance with all of your continuing obligations under the Employment Agreement and those set forth in Paragraph 4 hereof, you will receive the following additional payments and benefits (“Separation Benefits”), in full satisfaction of any amounts under the Employment Agreement and any other Company plan, policy or agreement, all subject to applicable tax withholding:</w:t>
      </w:r>
    </w:p>
    <w:p>
      <w:pPr>
        <w:spacing w:after="0" w:line="197" w:lineRule="exact"/>
        <w:rPr>
          <w:sz w:val="20"/>
          <w:szCs w:val="20"/>
          <w:color w:val="auto"/>
        </w:rPr>
      </w:pPr>
    </w:p>
    <w:p>
      <w:pPr>
        <w:jc w:val="both"/>
        <w:ind w:left="340" w:hanging="332"/>
        <w:spacing w:after="0" w:line="256"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0F0F0F"/>
        </w:rPr>
        <w:t xml:space="preserve">Cash Payments. </w:t>
      </w:r>
      <w:r>
        <w:rPr>
          <w:rFonts w:ascii="Arial" w:cs="Arial" w:eastAsia="Arial" w:hAnsi="Arial"/>
          <w:sz w:val="18"/>
          <w:szCs w:val="18"/>
          <w:color w:val="0F0F0F"/>
        </w:rPr>
        <w:t>The Company will pay you a total of $1,270,787</w:t>
      </w:r>
      <w:r>
        <w:rPr>
          <w:rFonts w:ascii="Arial" w:cs="Arial" w:eastAsia="Arial" w:hAnsi="Arial"/>
          <w:sz w:val="18"/>
          <w:szCs w:val="18"/>
          <w:color w:val="5D5D5D"/>
        </w:rPr>
        <w:t>.</w:t>
      </w:r>
      <w:r>
        <w:rPr>
          <w:rFonts w:ascii="Arial" w:cs="Arial" w:eastAsia="Arial" w:hAnsi="Arial"/>
          <w:sz w:val="18"/>
          <w:szCs w:val="18"/>
          <w:color w:val="0F0F0F"/>
        </w:rPr>
        <w:t>00</w:t>
      </w:r>
      <w:r>
        <w:rPr>
          <w:rFonts w:ascii="Arial" w:cs="Arial" w:eastAsia="Arial" w:hAnsi="Arial"/>
          <w:sz w:val="18"/>
          <w:szCs w:val="18"/>
          <w:color w:val="3F3F3F"/>
        </w:rPr>
        <w:t>,</w:t>
      </w:r>
      <w:r>
        <w:rPr>
          <w:rFonts w:ascii="Arial" w:cs="Arial" w:eastAsia="Arial" w:hAnsi="Arial"/>
          <w:sz w:val="18"/>
          <w:szCs w:val="18"/>
          <w:b w:val="1"/>
          <w:bCs w:val="1"/>
          <w:color w:val="0F0F0F"/>
        </w:rPr>
        <w:t xml:space="preserve"> </w:t>
      </w:r>
      <w:r>
        <w:rPr>
          <w:rFonts w:ascii="Arial" w:cs="Arial" w:eastAsia="Arial" w:hAnsi="Arial"/>
          <w:sz w:val="18"/>
          <w:szCs w:val="18"/>
          <w:color w:val="0F0F0F"/>
        </w:rPr>
        <w:t>which equals 12 months of your current base pay and target bonus</w:t>
      </w:r>
      <w:r>
        <w:rPr>
          <w:rFonts w:ascii="Arial" w:cs="Arial" w:eastAsia="Arial" w:hAnsi="Arial"/>
          <w:sz w:val="18"/>
          <w:szCs w:val="18"/>
          <w:b w:val="1"/>
          <w:bCs w:val="1"/>
          <w:color w:val="0F0F0F"/>
        </w:rPr>
        <w:t xml:space="preserve"> </w:t>
      </w:r>
      <w:r>
        <w:rPr>
          <w:rFonts w:ascii="Arial" w:cs="Arial" w:eastAsia="Arial" w:hAnsi="Arial"/>
          <w:sz w:val="18"/>
          <w:szCs w:val="18"/>
          <w:color w:val="0F0F0F"/>
        </w:rPr>
        <w:t>under the Company's annual performance incentive program</w:t>
      </w:r>
      <w:r>
        <w:rPr>
          <w:rFonts w:ascii="Arial" w:cs="Arial" w:eastAsia="Arial" w:hAnsi="Arial"/>
          <w:sz w:val="18"/>
          <w:szCs w:val="18"/>
          <w:color w:val="3F3F3F"/>
        </w:rPr>
        <w:t>.</w:t>
      </w:r>
      <w:r>
        <w:rPr>
          <w:rFonts w:ascii="Arial" w:cs="Arial" w:eastAsia="Arial" w:hAnsi="Arial"/>
          <w:sz w:val="18"/>
          <w:szCs w:val="18"/>
          <w:color w:val="0F0F0F"/>
        </w:rPr>
        <w:t xml:space="preserve"> Such payment will be made in equal semi-monthly installments of $52,950.00 over the 12-month period following the Retirement Date; </w:t>
      </w:r>
      <w:r>
        <w:rPr>
          <w:rFonts w:ascii="Arial" w:cs="Arial" w:eastAsia="Arial" w:hAnsi="Arial"/>
          <w:sz w:val="18"/>
          <w:szCs w:val="18"/>
          <w:i w:val="1"/>
          <w:iCs w:val="1"/>
          <w:color w:val="0F0F0F"/>
        </w:rPr>
        <w:t>provided</w:t>
      </w:r>
      <w:r>
        <w:rPr>
          <w:rFonts w:ascii="Arial" w:cs="Arial" w:eastAsia="Arial" w:hAnsi="Arial"/>
          <w:sz w:val="18"/>
          <w:szCs w:val="18"/>
          <w:color w:val="0F0F0F"/>
        </w:rPr>
        <w:t xml:space="preserve"> that no such payments will be made earlier than five business days after the Final Release Effective Date</w:t>
      </w:r>
      <w:r>
        <w:rPr>
          <w:rFonts w:ascii="Arial" w:cs="Arial" w:eastAsia="Arial" w:hAnsi="Arial"/>
          <w:sz w:val="18"/>
          <w:szCs w:val="18"/>
          <w:color w:val="3F3F3F"/>
        </w:rPr>
        <w:t>.</w:t>
      </w:r>
    </w:p>
    <w:p>
      <w:pPr>
        <w:spacing w:after="0" w:line="3"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0F0F0F"/>
        </w:rPr>
        <w:t xml:space="preserve">FY2017 Bonus. </w:t>
      </w:r>
      <w:r>
        <w:rPr>
          <w:rFonts w:ascii="Arial" w:cs="Arial" w:eastAsia="Arial" w:hAnsi="Arial"/>
          <w:sz w:val="18"/>
          <w:szCs w:val="18"/>
          <w:color w:val="0F0F0F"/>
        </w:rPr>
        <w:t>The Company will pay you your bonus for the fiscal year ending October 31, 2017, if and to the extent determined by the</w:t>
      </w:r>
      <w:r>
        <w:rPr>
          <w:rFonts w:ascii="Arial" w:cs="Arial" w:eastAsia="Arial" w:hAnsi="Arial"/>
          <w:sz w:val="18"/>
          <w:szCs w:val="18"/>
          <w:b w:val="1"/>
          <w:bCs w:val="1"/>
          <w:color w:val="0F0F0F"/>
        </w:rPr>
        <w:t xml:space="preserve"> </w:t>
      </w:r>
      <w:r>
        <w:rPr>
          <w:rFonts w:ascii="Arial" w:cs="Arial" w:eastAsia="Arial" w:hAnsi="Arial"/>
          <w:sz w:val="18"/>
          <w:szCs w:val="18"/>
          <w:color w:val="0F0F0F"/>
        </w:rPr>
        <w:t>Compensation Committee based on the Company's actual performance for the entire fiscal year. Such fiscal year 2017 bonus shall be paid at such time as bonuses for fiscal year 2017 are paid to employees generally, but in no event later than March 15, 2018.</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F0F0F"/>
        </w:rPr>
        <w:t>In addition, as a result of your retirement from the Company under the terms set forth in this Retirement Agreement</w:t>
      </w:r>
      <w:r>
        <w:rPr>
          <w:rFonts w:ascii="Arial" w:cs="Arial" w:eastAsia="Arial" w:hAnsi="Arial"/>
          <w:sz w:val="18"/>
          <w:szCs w:val="18"/>
          <w:color w:val="2F2F2F"/>
        </w:rPr>
        <w:t>,</w:t>
      </w:r>
      <w:r>
        <w:rPr>
          <w:rFonts w:ascii="Arial" w:cs="Arial" w:eastAsia="Arial" w:hAnsi="Arial"/>
          <w:sz w:val="18"/>
          <w:szCs w:val="18"/>
          <w:color w:val="0F0F0F"/>
        </w:rPr>
        <w:t xml:space="preserve"> pursuant to Section 3.2 of the Employment Ag</w:t>
      </w:r>
      <w:r>
        <w:rPr>
          <w:rFonts w:ascii="Arial" w:cs="Arial" w:eastAsia="Arial" w:hAnsi="Arial"/>
          <w:sz w:val="18"/>
          <w:szCs w:val="18"/>
          <w:color w:val="3F3F3F"/>
        </w:rPr>
        <w:t>ree</w:t>
      </w:r>
      <w:r>
        <w:rPr>
          <w:rFonts w:ascii="Arial" w:cs="Arial" w:eastAsia="Arial" w:hAnsi="Arial"/>
          <w:sz w:val="18"/>
          <w:szCs w:val="18"/>
          <w:color w:val="0F0F0F"/>
        </w:rPr>
        <w:t>ment, upon the Retirement Date, on each anniversary of the Retirement Date, and concluding with the ninth anniversary of the Retirement Date</w:t>
      </w:r>
      <w:r>
        <w:rPr>
          <w:rFonts w:ascii="Arial" w:cs="Arial" w:eastAsia="Arial" w:hAnsi="Arial"/>
          <w:sz w:val="18"/>
          <w:szCs w:val="18"/>
          <w:color w:val="2F2F2F"/>
        </w:rPr>
        <w:t>,</w:t>
      </w:r>
      <w:r>
        <w:rPr>
          <w:rFonts w:ascii="Arial" w:cs="Arial" w:eastAsia="Arial" w:hAnsi="Arial"/>
          <w:sz w:val="18"/>
          <w:szCs w:val="18"/>
          <w:color w:val="0F0F0F"/>
        </w:rPr>
        <w:t xml:space="preserve"> the Company shall pay you $10</w:t>
      </w:r>
      <w:r>
        <w:rPr>
          <w:rFonts w:ascii="Arial" w:cs="Arial" w:eastAsia="Arial" w:hAnsi="Arial"/>
          <w:sz w:val="18"/>
          <w:szCs w:val="18"/>
          <w:color w:val="3F3F3F"/>
        </w:rPr>
        <w:t>,</w:t>
      </w:r>
      <w:r>
        <w:rPr>
          <w:rFonts w:ascii="Arial" w:cs="Arial" w:eastAsia="Arial" w:hAnsi="Arial"/>
          <w:sz w:val="18"/>
          <w:szCs w:val="18"/>
          <w:color w:val="0F0F0F"/>
        </w:rPr>
        <w:t xml:space="preserve">000.00 per year to assist you in purchasing health insurance for you and your spouse. In the event that you die prior to the expiration of such ten-year period, the Company shall pay your surviving spouse $10,000.00 per year as described above until the first to occur of (i) the death of your spouse or </w:t>
      </w:r>
      <w:r>
        <w:rPr>
          <w:rFonts w:ascii="Arial" w:cs="Arial" w:eastAsia="Arial" w:hAnsi="Arial"/>
          <w:sz w:val="18"/>
          <w:szCs w:val="18"/>
          <w:color w:val="5D5D5D"/>
        </w:rPr>
        <w:t>(</w:t>
      </w:r>
      <w:r>
        <w:rPr>
          <w:rFonts w:ascii="Arial" w:cs="Arial" w:eastAsia="Arial" w:hAnsi="Arial"/>
          <w:sz w:val="18"/>
          <w:szCs w:val="18"/>
          <w:color w:val="2F2F2F"/>
        </w:rPr>
        <w:t>i</w:t>
      </w:r>
      <w:r>
        <w:rPr>
          <w:rFonts w:ascii="Arial" w:cs="Arial" w:eastAsia="Arial" w:hAnsi="Arial"/>
          <w:sz w:val="18"/>
          <w:szCs w:val="18"/>
          <w:color w:val="0F0F0F"/>
        </w:rPr>
        <w:t>i) the end of the ten-year period</w:t>
      </w:r>
      <w:r>
        <w:rPr>
          <w:rFonts w:ascii="Arial" w:cs="Arial" w:eastAsia="Arial" w:hAnsi="Arial"/>
          <w:sz w:val="18"/>
          <w:szCs w:val="18"/>
          <w:color w:val="2F2F2F"/>
        </w:rPr>
        <w:t>.</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F0F0F"/>
        </w:rPr>
        <w:t>No Separation Benefits will be paid or provided until after the Final Release Effective Date</w:t>
      </w:r>
      <w:r>
        <w:rPr>
          <w:rFonts w:ascii="Arial" w:cs="Arial" w:eastAsia="Arial" w:hAnsi="Arial"/>
          <w:sz w:val="18"/>
          <w:szCs w:val="18"/>
          <w:color w:val="3F3F3F"/>
        </w:rPr>
        <w:t>.</w:t>
      </w:r>
      <w:r>
        <w:rPr>
          <w:rFonts w:ascii="Arial" w:cs="Arial" w:eastAsia="Arial" w:hAnsi="Arial"/>
          <w:sz w:val="18"/>
          <w:szCs w:val="18"/>
          <w:color w:val="0F0F0F"/>
        </w:rPr>
        <w:t xml:space="preserve"> You acknowledge that the compensation and benefits provided under this Retirement Agreement are greater than what you would be legally entitled to rece</w:t>
      </w:r>
      <w:r>
        <w:rPr>
          <w:rFonts w:ascii="Arial" w:cs="Arial" w:eastAsia="Arial" w:hAnsi="Arial"/>
          <w:sz w:val="18"/>
          <w:szCs w:val="18"/>
          <w:color w:val="2F2F2F"/>
        </w:rPr>
        <w:t>i</w:t>
      </w:r>
      <w:r>
        <w:rPr>
          <w:rFonts w:ascii="Arial" w:cs="Arial" w:eastAsia="Arial" w:hAnsi="Arial"/>
          <w:sz w:val="18"/>
          <w:szCs w:val="18"/>
          <w:color w:val="0F0F0F"/>
        </w:rPr>
        <w:t>ve in the absence of this Retirement Agreement. You acknowledge (a) rece</w:t>
      </w:r>
      <w:r>
        <w:rPr>
          <w:rFonts w:ascii="Arial" w:cs="Arial" w:eastAsia="Arial" w:hAnsi="Arial"/>
          <w:sz w:val="18"/>
          <w:szCs w:val="18"/>
          <w:color w:val="2F2F2F"/>
        </w:rPr>
        <w:t>i</w:t>
      </w:r>
      <w:r>
        <w:rPr>
          <w:rFonts w:ascii="Arial" w:cs="Arial" w:eastAsia="Arial" w:hAnsi="Arial"/>
          <w:sz w:val="18"/>
          <w:szCs w:val="18"/>
          <w:color w:val="0F0F0F"/>
        </w:rPr>
        <w:t>pt of all compensation and benefits due through the date you sign this Retirement Agreement as a result of services performed for the Company</w:t>
      </w:r>
      <w:r>
        <w:rPr>
          <w:rFonts w:ascii="Arial" w:cs="Arial" w:eastAsia="Arial" w:hAnsi="Arial"/>
          <w:sz w:val="18"/>
          <w:szCs w:val="18"/>
          <w:color w:val="2F2F2F"/>
        </w:rPr>
        <w:t>;</w:t>
      </w:r>
      <w:r>
        <w:rPr>
          <w:rFonts w:ascii="Arial" w:cs="Arial" w:eastAsia="Arial" w:hAnsi="Arial"/>
          <w:sz w:val="18"/>
          <w:szCs w:val="18"/>
          <w:color w:val="0F0F0F"/>
        </w:rPr>
        <w:t xml:space="preserve"> (b) you have reported to the Company any and all work-related injuries incurred during employment</w:t>
      </w:r>
      <w:r>
        <w:rPr>
          <w:rFonts w:ascii="Arial" w:cs="Arial" w:eastAsia="Arial" w:hAnsi="Arial"/>
          <w:sz w:val="18"/>
          <w:szCs w:val="18"/>
          <w:color w:val="2F2F2F"/>
        </w:rPr>
        <w:t>;</w:t>
      </w:r>
      <w:r>
        <w:rPr>
          <w:rFonts w:ascii="Arial" w:cs="Arial" w:eastAsia="Arial" w:hAnsi="Arial"/>
          <w:sz w:val="18"/>
          <w:szCs w:val="18"/>
          <w:color w:val="0F0F0F"/>
        </w:rPr>
        <w:t xml:space="preserve"> and (c) the Company properly provided any leave of absence because of your or a family member's health condition and you have not been subjected to any improper treatment, conduct o</w:t>
      </w:r>
      <w:r>
        <w:rPr>
          <w:rFonts w:ascii="Arial" w:cs="Arial" w:eastAsia="Arial" w:hAnsi="Arial"/>
          <w:sz w:val="18"/>
          <w:szCs w:val="18"/>
          <w:color w:val="2F2F2F"/>
        </w:rPr>
        <w:t>r</w:t>
      </w:r>
      <w:r>
        <w:rPr>
          <w:rFonts w:ascii="Arial" w:cs="Arial" w:eastAsia="Arial" w:hAnsi="Arial"/>
          <w:sz w:val="18"/>
          <w:szCs w:val="18"/>
          <w:color w:val="0F0F0F"/>
        </w:rPr>
        <w:t xml:space="preserve"> actions due to a request for or taking such leave.</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0F0F0F"/>
        </w:rPr>
        <w:t>Section 409A Tax Considerations</w:t>
      </w:r>
      <w:r>
        <w:rPr>
          <w:rFonts w:ascii="Arial" w:cs="Arial" w:eastAsia="Arial" w:hAnsi="Arial"/>
          <w:sz w:val="18"/>
          <w:szCs w:val="18"/>
          <w:b w:val="1"/>
          <w:bCs w:val="1"/>
          <w:color w:val="2F2F2F"/>
        </w:rPr>
        <w:t>.</w:t>
      </w:r>
      <w:r>
        <w:rPr>
          <w:rFonts w:ascii="Arial" w:cs="Arial" w:eastAsia="Arial" w:hAnsi="Arial"/>
          <w:sz w:val="18"/>
          <w:szCs w:val="18"/>
          <w:b w:val="1"/>
          <w:bCs w:val="1"/>
          <w:color w:val="0F0F0F"/>
        </w:rPr>
        <w:t xml:space="preserve"> </w:t>
      </w:r>
      <w:r>
        <w:rPr>
          <w:rFonts w:ascii="Arial" w:cs="Arial" w:eastAsia="Arial" w:hAnsi="Arial"/>
          <w:sz w:val="18"/>
          <w:szCs w:val="18"/>
          <w:color w:val="0F0F0F"/>
        </w:rPr>
        <w:t>Notwithstanding the above, you shall not be considered to have terminated employment with the</w:t>
      </w:r>
      <w:r>
        <w:rPr>
          <w:rFonts w:ascii="Arial" w:cs="Arial" w:eastAsia="Arial" w:hAnsi="Arial"/>
          <w:sz w:val="18"/>
          <w:szCs w:val="18"/>
          <w:b w:val="1"/>
          <w:bCs w:val="1"/>
          <w:color w:val="0F0F0F"/>
        </w:rPr>
        <w:t xml:space="preserve"> </w:t>
      </w:r>
      <w:r>
        <w:rPr>
          <w:rFonts w:ascii="Arial" w:cs="Arial" w:eastAsia="Arial" w:hAnsi="Arial"/>
          <w:sz w:val="18"/>
          <w:szCs w:val="18"/>
          <w:color w:val="0F0F0F"/>
        </w:rPr>
        <w:t>Company for p</w:t>
      </w:r>
      <w:r>
        <w:rPr>
          <w:rFonts w:ascii="Arial" w:cs="Arial" w:eastAsia="Arial" w:hAnsi="Arial"/>
          <w:sz w:val="18"/>
          <w:szCs w:val="18"/>
          <w:color w:val="3F3F3F"/>
        </w:rPr>
        <w:t>u</w:t>
      </w:r>
      <w:r>
        <w:rPr>
          <w:rFonts w:ascii="Arial" w:cs="Arial" w:eastAsia="Arial" w:hAnsi="Arial"/>
          <w:sz w:val="18"/>
          <w:szCs w:val="18"/>
          <w:color w:val="0F0F0F"/>
        </w:rPr>
        <w:t>rposes of th</w:t>
      </w:r>
      <w:r>
        <w:rPr>
          <w:rFonts w:ascii="Arial" w:cs="Arial" w:eastAsia="Arial" w:hAnsi="Arial"/>
          <w:sz w:val="18"/>
          <w:szCs w:val="18"/>
          <w:color w:val="2F2F2F"/>
        </w:rPr>
        <w:t>i</w:t>
      </w:r>
      <w:r>
        <w:rPr>
          <w:rFonts w:ascii="Arial" w:cs="Arial" w:eastAsia="Arial" w:hAnsi="Arial"/>
          <w:sz w:val="18"/>
          <w:szCs w:val="18"/>
          <w:color w:val="0F0F0F"/>
        </w:rPr>
        <w:t xml:space="preserve">s Paragraph 3, and no Separation Benefits (or other payments or benefits that would be considered deferred </w:t>
      </w:r>
      <w:r>
        <w:rPr>
          <w:rFonts w:ascii="Arial" w:cs="Arial" w:eastAsia="Arial" w:hAnsi="Arial"/>
          <w:sz w:val="18"/>
          <w:szCs w:val="18"/>
          <w:color w:val="0A0A0A"/>
        </w:rPr>
        <w:t>compensation) shall be due to you, unless you would be considered to have incurred a “separation from service” from the Company within the meaning of Section 409A of the Internal Revenue Code (“Section 409A”). Each amount to be paid or benefit to be provided hereunder shall be construed as a separate identified payment for purposes of Section 409A, and any Separation Benefits that are due within the “short term deferral period” as defined in Section 409A shall not be treated as deferred compensation unless applicable law requires otherwise. In the event that it would be possi</w:t>
      </w:r>
      <w:r>
        <w:rPr>
          <w:rFonts w:ascii="Arial" w:cs="Arial" w:eastAsia="Arial" w:hAnsi="Arial"/>
          <w:sz w:val="18"/>
          <w:szCs w:val="18"/>
          <w:color w:val="313131"/>
        </w:rPr>
        <w:t>ble</w:t>
      </w:r>
      <w:r>
        <w:rPr>
          <w:rFonts w:ascii="Arial" w:cs="Arial" w:eastAsia="Arial" w:hAnsi="Arial"/>
          <w:sz w:val="18"/>
          <w:szCs w:val="18"/>
          <w:color w:val="0A0A0A"/>
        </w:rPr>
        <w:t xml:space="preserve"> for any Separation Benefit to be paid in either of two calendar years, depending on when you sign the Final Release, then to the extent required to avoid being subject to Section 409A, any such Separation Benefits will not be paid until the calendar year following the calendar year in which your separation from service occurs. To the extent required in order to avoid accelerated taxation and/or tax penalties under Section 409A, Separation Benefits (and other payments or benefits that would be considered deferred compensation) that would otherwise be payable or provided during the six-month period immediately following your “separation from service” within the meaning of Section 409A shall instead be paid on the first business day after the date that is six months following such “separation from service” (or upon your death, if earlier). To the extent any expense reimbursement or the provision of any in-kind benefit under this Retirement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w:t>
      </w:r>
      <w:r>
        <w:rPr>
          <w:rFonts w:ascii="Arial" w:cs="Arial" w:eastAsia="Arial" w:hAnsi="Arial"/>
          <w:sz w:val="18"/>
          <w:szCs w:val="18"/>
          <w:color w:val="1D1D1D"/>
        </w:rPr>
        <w:t>in</w:t>
      </w:r>
      <w:r>
        <w:rPr>
          <w:rFonts w:ascii="Arial" w:cs="Arial" w:eastAsia="Arial" w:hAnsi="Arial"/>
          <w:sz w:val="18"/>
          <w:szCs w:val="18"/>
          <w:color w:val="0A0A0A"/>
        </w:rPr>
        <w:t xml:space="preserve">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194" w:lineRule="exact"/>
        <w:rPr>
          <w:sz w:val="20"/>
          <w:szCs w:val="20"/>
          <w:color w:val="auto"/>
        </w:rPr>
      </w:pPr>
    </w:p>
    <w:p>
      <w:pPr>
        <w:ind w:left="200" w:hanging="192"/>
        <w:spacing w:after="0"/>
        <w:tabs>
          <w:tab w:leader="none" w:pos="200" w:val="left"/>
        </w:tabs>
        <w:numPr>
          <w:ilvl w:val="0"/>
          <w:numId w:val="83"/>
        </w:numPr>
        <w:rPr>
          <w:rFonts w:ascii="Arial" w:cs="Arial" w:eastAsia="Arial" w:hAnsi="Arial"/>
          <w:sz w:val="18"/>
          <w:szCs w:val="18"/>
          <w:b w:val="1"/>
          <w:bCs w:val="1"/>
          <w:color w:val="0A0A0A"/>
        </w:rPr>
      </w:pPr>
      <w:r>
        <w:rPr>
          <w:rFonts w:ascii="Arial" w:cs="Arial" w:eastAsia="Arial" w:hAnsi="Arial"/>
          <w:sz w:val="18"/>
          <w:szCs w:val="18"/>
          <w:b w:val="1"/>
          <w:bCs w:val="1"/>
          <w:u w:val="single" w:color="auto"/>
          <w:color w:val="0A0A0A"/>
        </w:rPr>
        <w:t>RESTRICTIVE COVENANTS AND EXTENSION OF RESTRICTED PERIOD TO TWO YEARS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0A0A0A"/>
        </w:rPr>
        <w:t>By signing this Retirement Agreement, you reaffirm that you will continue to abide by the covenants set forth in Section 5 of your Employment Agreement, which expressly survive the termination of your employmen</w:t>
      </w:r>
      <w:r>
        <w:rPr>
          <w:rFonts w:ascii="Arial" w:cs="Arial" w:eastAsia="Arial" w:hAnsi="Arial"/>
          <w:sz w:val="18"/>
          <w:szCs w:val="18"/>
          <w:color w:val="464646"/>
        </w:rPr>
        <w:t>t;</w:t>
      </w:r>
      <w:r>
        <w:rPr>
          <w:rFonts w:ascii="Arial" w:cs="Arial" w:eastAsia="Arial" w:hAnsi="Arial"/>
          <w:sz w:val="18"/>
          <w:szCs w:val="18"/>
          <w:color w:val="0A0A0A"/>
        </w:rPr>
        <w:t xml:space="preserve"> </w:t>
      </w:r>
      <w:r>
        <w:rPr>
          <w:rFonts w:ascii="Arial" w:cs="Arial" w:eastAsia="Arial" w:hAnsi="Arial"/>
          <w:sz w:val="18"/>
          <w:szCs w:val="18"/>
          <w:i w:val="1"/>
          <w:iCs w:val="1"/>
          <w:color w:val="0A0A0A"/>
        </w:rPr>
        <w:t>provided</w:t>
      </w:r>
      <w:r>
        <w:rPr>
          <w:rFonts w:ascii="Arial" w:cs="Arial" w:eastAsia="Arial" w:hAnsi="Arial"/>
          <w:sz w:val="18"/>
          <w:szCs w:val="18"/>
          <w:color w:val="0A0A0A"/>
        </w:rPr>
        <w:t xml:space="preserve"> that you</w:t>
      </w:r>
    </w:p>
    <w:p>
      <w:pPr>
        <w:sectPr>
          <w:pgSz w:w="11900" w:h="16838" w:orient="portrait"/>
          <w:cols w:equalWidth="0" w:num="1">
            <w:col w:w="11420"/>
          </w:cols>
          <w:pgMar w:left="240" w:top="598" w:right="239" w:bottom="1440" w:gutter="0" w:footer="0" w:header="0"/>
        </w:sectPr>
      </w:pPr>
    </w:p>
    <w:bookmarkStart w:id="137" w:name="page138"/>
    <w:bookmarkEnd w:id="137"/>
    <w:p>
      <w:pPr>
        <w:jc w:val="both"/>
        <w:ind w:right="20"/>
        <w:spacing w:after="0" w:line="262" w:lineRule="auto"/>
        <w:rPr>
          <w:sz w:val="20"/>
          <w:szCs w:val="20"/>
          <w:color w:val="auto"/>
        </w:rPr>
      </w:pPr>
      <w:r>
        <w:rPr>
          <w:rFonts w:ascii="Arial" w:cs="Arial" w:eastAsia="Arial" w:hAnsi="Arial"/>
          <w:sz w:val="18"/>
          <w:szCs w:val="18"/>
          <w:color w:val="0A0A0A"/>
        </w:rPr>
        <w:t>hereby agree that the time period during which you agree to abide with each such covenant shall be amended to be the longer of (i) 24 months following your Retirement Date and (ii) the time period originally set forth in Section 5 of your Employment Agreement.</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A0A0A"/>
        </w:rPr>
        <w:t>Pursuant to the Defend Trade Secrets Act of 2016, the parties hereto acknowled</w:t>
      </w:r>
      <w:r>
        <w:rPr>
          <w:rFonts w:ascii="Arial" w:cs="Arial" w:eastAsia="Arial" w:hAnsi="Arial"/>
          <w:sz w:val="18"/>
          <w:szCs w:val="18"/>
          <w:color w:val="313131"/>
        </w:rPr>
        <w:t>ge</w:t>
      </w:r>
      <w:r>
        <w:rPr>
          <w:rFonts w:ascii="Arial" w:cs="Arial" w:eastAsia="Arial" w:hAnsi="Arial"/>
          <w:sz w:val="18"/>
          <w:szCs w:val="18"/>
          <w:color w:val="0A0A0A"/>
        </w:rPr>
        <w:t xml:space="preserve"> and agree that you shall not have criminal or civil liability under any Federal or State trade secret law for the disclosure of a trade secret that </w:t>
      </w:r>
      <w:r>
        <w:rPr>
          <w:rFonts w:ascii="Arial" w:cs="Arial" w:eastAsia="Arial" w:hAnsi="Arial"/>
          <w:sz w:val="18"/>
          <w:szCs w:val="18"/>
          <w:color w:val="1D1D1D"/>
        </w:rPr>
        <w:t>(A) is</w:t>
      </w:r>
      <w:r>
        <w:rPr>
          <w:rFonts w:ascii="Arial" w:cs="Arial" w:eastAsia="Arial" w:hAnsi="Arial"/>
          <w:sz w:val="18"/>
          <w:szCs w:val="18"/>
          <w:color w:val="0A0A0A"/>
        </w:rPr>
        <w:t xml:space="preserve"> made </w:t>
      </w:r>
      <w:r>
        <w:rPr>
          <w:rFonts w:ascii="Arial" w:cs="Arial" w:eastAsia="Arial" w:hAnsi="Arial"/>
          <w:sz w:val="18"/>
          <w:szCs w:val="18"/>
          <w:color w:val="1D1D1D"/>
        </w:rPr>
        <w:t>(i)</w:t>
      </w:r>
      <w:r>
        <w:rPr>
          <w:rFonts w:ascii="Arial" w:cs="Arial" w:eastAsia="Arial" w:hAnsi="Arial"/>
          <w:sz w:val="18"/>
          <w:szCs w:val="18"/>
          <w:color w:val="0A0A0A"/>
        </w:rPr>
        <w:t xml:space="preserve"> in confidence to a Federal</w:t>
      </w:r>
      <w:r>
        <w:rPr>
          <w:rFonts w:ascii="Arial" w:cs="Arial" w:eastAsia="Arial" w:hAnsi="Arial"/>
          <w:sz w:val="18"/>
          <w:szCs w:val="18"/>
          <w:color w:val="313131"/>
        </w:rPr>
        <w:t>,</w:t>
      </w:r>
      <w:r>
        <w:rPr>
          <w:rFonts w:ascii="Arial" w:cs="Arial" w:eastAsia="Arial" w:hAnsi="Arial"/>
          <w:sz w:val="18"/>
          <w:szCs w:val="18"/>
          <w:color w:val="0A0A0A"/>
        </w:rPr>
        <w:t xml:space="preserve"> State</w:t>
      </w:r>
      <w:r>
        <w:rPr>
          <w:rFonts w:ascii="Arial" w:cs="Arial" w:eastAsia="Arial" w:hAnsi="Arial"/>
          <w:sz w:val="18"/>
          <w:szCs w:val="18"/>
          <w:color w:val="5D5D5D"/>
        </w:rPr>
        <w:t>,</w:t>
      </w:r>
      <w:r>
        <w:rPr>
          <w:rFonts w:ascii="Arial" w:cs="Arial" w:eastAsia="Arial" w:hAnsi="Arial"/>
          <w:sz w:val="18"/>
          <w:szCs w:val="18"/>
          <w:color w:val="0A0A0A"/>
        </w:rPr>
        <w:t xml:space="preserv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w:t>
      </w:r>
      <w:r>
        <w:rPr>
          <w:rFonts w:ascii="Arial" w:cs="Arial" w:eastAsia="Arial" w:hAnsi="Arial"/>
          <w:sz w:val="18"/>
          <w:szCs w:val="18"/>
          <w:color w:val="1D1D1D"/>
        </w:rPr>
        <w:t>in</w:t>
      </w:r>
      <w:r>
        <w:rPr>
          <w:rFonts w:ascii="Arial" w:cs="Arial" w:eastAsia="Arial" w:hAnsi="Arial"/>
          <w:sz w:val="18"/>
          <w:szCs w:val="18"/>
          <w:color w:val="0A0A0A"/>
        </w:rPr>
        <w:t xml:space="preserve"> the court proceeding, if you (X) file any document containing the trade secret under seal and (Y) do </w:t>
      </w:r>
      <w:r>
        <w:rPr>
          <w:rFonts w:ascii="Arial" w:cs="Arial" w:eastAsia="Arial" w:hAnsi="Arial"/>
          <w:sz w:val="18"/>
          <w:szCs w:val="18"/>
          <w:color w:val="1D1D1D"/>
        </w:rPr>
        <w:t>not</w:t>
      </w:r>
      <w:r>
        <w:rPr>
          <w:rFonts w:ascii="Arial" w:cs="Arial" w:eastAsia="Arial" w:hAnsi="Arial"/>
          <w:sz w:val="18"/>
          <w:szCs w:val="18"/>
          <w:color w:val="0A0A0A"/>
        </w:rPr>
        <w:t xml:space="preserve"> disclose </w:t>
      </w:r>
      <w:r>
        <w:rPr>
          <w:rFonts w:ascii="Arial" w:cs="Arial" w:eastAsia="Arial" w:hAnsi="Arial"/>
          <w:sz w:val="18"/>
          <w:szCs w:val="18"/>
          <w:color w:val="1D1D1D"/>
        </w:rPr>
        <w:t>the trade</w:t>
      </w:r>
      <w:r>
        <w:rPr>
          <w:rFonts w:ascii="Arial" w:cs="Arial" w:eastAsia="Arial" w:hAnsi="Arial"/>
          <w:sz w:val="18"/>
          <w:szCs w:val="18"/>
          <w:color w:val="0A0A0A"/>
        </w:rPr>
        <w:t xml:space="preserve"> secret, except </w:t>
      </w:r>
      <w:r>
        <w:rPr>
          <w:rFonts w:ascii="Arial" w:cs="Arial" w:eastAsia="Arial" w:hAnsi="Arial"/>
          <w:sz w:val="18"/>
          <w:szCs w:val="18"/>
          <w:color w:val="464646"/>
        </w:rPr>
        <w:t>pu</w:t>
      </w:r>
      <w:r>
        <w:rPr>
          <w:rFonts w:ascii="Arial" w:cs="Arial" w:eastAsia="Arial" w:hAnsi="Arial"/>
          <w:sz w:val="18"/>
          <w:szCs w:val="18"/>
          <w:color w:val="0A0A0A"/>
        </w:rPr>
        <w:t>rsuant to court order</w:t>
      </w:r>
      <w:r>
        <w:rPr>
          <w:rFonts w:ascii="Arial" w:cs="Arial" w:eastAsia="Arial" w:hAnsi="Arial"/>
          <w:sz w:val="18"/>
          <w:szCs w:val="18"/>
          <w:color w:val="313131"/>
        </w:rPr>
        <w:t>.</w:t>
      </w:r>
    </w:p>
    <w:p>
      <w:pPr>
        <w:spacing w:after="0" w:line="185" w:lineRule="exact"/>
        <w:rPr>
          <w:sz w:val="20"/>
          <w:szCs w:val="20"/>
          <w:color w:val="auto"/>
        </w:rPr>
      </w:pPr>
    </w:p>
    <w:p>
      <w:pPr>
        <w:ind w:left="200" w:hanging="192"/>
        <w:spacing w:after="0"/>
        <w:tabs>
          <w:tab w:leader="none" w:pos="200" w:val="left"/>
        </w:tabs>
        <w:numPr>
          <w:ilvl w:val="0"/>
          <w:numId w:val="84"/>
        </w:numPr>
        <w:rPr>
          <w:rFonts w:ascii="Arial" w:cs="Arial" w:eastAsia="Arial" w:hAnsi="Arial"/>
          <w:sz w:val="18"/>
          <w:szCs w:val="18"/>
          <w:b w:val="1"/>
          <w:bCs w:val="1"/>
          <w:color w:val="0A0A0A"/>
        </w:rPr>
      </w:pPr>
      <w:r>
        <w:rPr>
          <w:rFonts w:ascii="Arial" w:cs="Arial" w:eastAsia="Arial" w:hAnsi="Arial"/>
          <w:sz w:val="18"/>
          <w:szCs w:val="18"/>
          <w:b w:val="1"/>
          <w:bCs w:val="1"/>
          <w:u w:val="single" w:color="auto"/>
          <w:color w:val="0A0A0A"/>
        </w:rPr>
        <w:t>WAIVER AND RELEASE</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D1D1D"/>
        </w:rPr>
        <w:t xml:space="preserve">In </w:t>
      </w:r>
      <w:r>
        <w:rPr>
          <w:rFonts w:ascii="Arial" w:cs="Arial" w:eastAsia="Arial" w:hAnsi="Arial"/>
          <w:sz w:val="18"/>
          <w:szCs w:val="18"/>
          <w:color w:val="0A0A0A"/>
        </w:rPr>
        <w:t>exchange for</w:t>
      </w:r>
      <w:r>
        <w:rPr>
          <w:rFonts w:ascii="Arial" w:cs="Arial" w:eastAsia="Arial" w:hAnsi="Arial"/>
          <w:sz w:val="18"/>
          <w:szCs w:val="18"/>
          <w:color w:val="1D1D1D"/>
        </w:rPr>
        <w:t xml:space="preserve"> the </w:t>
      </w:r>
      <w:r>
        <w:rPr>
          <w:rFonts w:ascii="Arial" w:cs="Arial" w:eastAsia="Arial" w:hAnsi="Arial"/>
          <w:sz w:val="18"/>
          <w:szCs w:val="18"/>
          <w:color w:val="0A0A0A"/>
        </w:rPr>
        <w:t>Separation Benefits,</w:t>
      </w:r>
      <w:r>
        <w:rPr>
          <w:rFonts w:ascii="Arial" w:cs="Arial" w:eastAsia="Arial" w:hAnsi="Arial"/>
          <w:sz w:val="18"/>
          <w:szCs w:val="18"/>
          <w:color w:val="1D1D1D"/>
        </w:rPr>
        <w:t xml:space="preserve"> the </w:t>
      </w:r>
      <w:r>
        <w:rPr>
          <w:rFonts w:ascii="Arial" w:cs="Arial" w:eastAsia="Arial" w:hAnsi="Arial"/>
          <w:sz w:val="18"/>
          <w:szCs w:val="18"/>
          <w:color w:val="0A0A0A"/>
        </w:rPr>
        <w:t>Company</w:t>
      </w:r>
      <w:r>
        <w:rPr>
          <w:rFonts w:ascii="Arial" w:cs="Arial" w:eastAsia="Arial" w:hAnsi="Arial"/>
          <w:sz w:val="18"/>
          <w:szCs w:val="18"/>
          <w:color w:val="1D1D1D"/>
        </w:rPr>
        <w:t xml:space="preserve"> will provide </w:t>
      </w:r>
      <w:r>
        <w:rPr>
          <w:rFonts w:ascii="Arial" w:cs="Arial" w:eastAsia="Arial" w:hAnsi="Arial"/>
          <w:sz w:val="18"/>
          <w:szCs w:val="18"/>
          <w:color w:val="0A0A0A"/>
        </w:rPr>
        <w:t>you</w:t>
      </w:r>
      <w:r>
        <w:rPr>
          <w:rFonts w:ascii="Arial" w:cs="Arial" w:eastAsia="Arial" w:hAnsi="Arial"/>
          <w:sz w:val="18"/>
          <w:szCs w:val="18"/>
          <w:color w:val="1D1D1D"/>
        </w:rPr>
        <w:t xml:space="preserve"> </w:t>
      </w:r>
      <w:r>
        <w:rPr>
          <w:rFonts w:ascii="Arial" w:cs="Arial" w:eastAsia="Arial" w:hAnsi="Arial"/>
          <w:sz w:val="18"/>
          <w:szCs w:val="18"/>
          <w:color w:val="313131"/>
        </w:rPr>
        <w:t>und</w:t>
      </w:r>
      <w:r>
        <w:rPr>
          <w:rFonts w:ascii="Arial" w:cs="Arial" w:eastAsia="Arial" w:hAnsi="Arial"/>
          <w:sz w:val="18"/>
          <w:szCs w:val="18"/>
          <w:color w:val="0A0A0A"/>
        </w:rPr>
        <w:t>er</w:t>
      </w:r>
      <w:r>
        <w:rPr>
          <w:rFonts w:ascii="Arial" w:cs="Arial" w:eastAsia="Arial" w:hAnsi="Arial"/>
          <w:sz w:val="18"/>
          <w:szCs w:val="18"/>
          <w:color w:val="1D1D1D"/>
        </w:rPr>
        <w:t xml:space="preserve"> this </w:t>
      </w:r>
      <w:r>
        <w:rPr>
          <w:rFonts w:ascii="Arial" w:cs="Arial" w:eastAsia="Arial" w:hAnsi="Arial"/>
          <w:sz w:val="18"/>
          <w:szCs w:val="18"/>
          <w:color w:val="0A0A0A"/>
        </w:rPr>
        <w:t>Retirement Agreement, you release and forever discharge</w:t>
      </w:r>
      <w:r>
        <w:rPr>
          <w:rFonts w:ascii="Arial" w:cs="Arial" w:eastAsia="Arial" w:hAnsi="Arial"/>
          <w:sz w:val="18"/>
          <w:szCs w:val="18"/>
          <w:color w:val="1D1D1D"/>
        </w:rPr>
        <w:t xml:space="preserve"> </w:t>
      </w:r>
      <w:r>
        <w:rPr>
          <w:rFonts w:ascii="Arial" w:cs="Arial" w:eastAsia="Arial" w:hAnsi="Arial"/>
          <w:sz w:val="18"/>
          <w:szCs w:val="18"/>
          <w:color w:val="0A0A0A"/>
        </w:rPr>
        <w:t xml:space="preserve">the Company, ABM Industries Incorporated, and all of their respective past, present or future subsidiaries, affiliates, related persons or entities, </w:t>
      </w:r>
      <w:r>
        <w:rPr>
          <w:rFonts w:ascii="Arial" w:cs="Arial" w:eastAsia="Arial" w:hAnsi="Arial"/>
          <w:sz w:val="18"/>
          <w:szCs w:val="18"/>
          <w:color w:val="1D1D1D"/>
        </w:rPr>
        <w:t xml:space="preserve">including </w:t>
      </w:r>
      <w:r>
        <w:rPr>
          <w:rFonts w:ascii="Arial" w:cs="Arial" w:eastAsia="Arial" w:hAnsi="Arial"/>
          <w:sz w:val="18"/>
          <w:szCs w:val="18"/>
          <w:color w:val="0A0A0A"/>
        </w:rPr>
        <w:t>but not</w:t>
      </w:r>
      <w:r>
        <w:rPr>
          <w:rFonts w:ascii="Arial" w:cs="Arial" w:eastAsia="Arial" w:hAnsi="Arial"/>
          <w:sz w:val="18"/>
          <w:szCs w:val="18"/>
          <w:color w:val="1D1D1D"/>
        </w:rPr>
        <w:t xml:space="preserve"> limited </w:t>
      </w:r>
      <w:r>
        <w:rPr>
          <w:rFonts w:ascii="Arial" w:cs="Arial" w:eastAsia="Arial" w:hAnsi="Arial"/>
          <w:sz w:val="18"/>
          <w:szCs w:val="18"/>
          <w:color w:val="0A0A0A"/>
        </w:rPr>
        <w:t>to</w:t>
      </w:r>
      <w:r>
        <w:rPr>
          <w:rFonts w:ascii="Arial" w:cs="Arial" w:eastAsia="Arial" w:hAnsi="Arial"/>
          <w:sz w:val="18"/>
          <w:szCs w:val="18"/>
          <w:color w:val="1D1D1D"/>
        </w:rPr>
        <w:t xml:space="preserve"> its </w:t>
      </w:r>
      <w:r>
        <w:rPr>
          <w:rFonts w:ascii="Arial" w:cs="Arial" w:eastAsia="Arial" w:hAnsi="Arial"/>
          <w:sz w:val="18"/>
          <w:szCs w:val="18"/>
          <w:color w:val="0A0A0A"/>
        </w:rPr>
        <w:t>officers, directors, managers, employees, shareholders, agents, attorneys, successors and assigns (collectively</w:t>
      </w:r>
      <w:r>
        <w:rPr>
          <w:rFonts w:ascii="Arial" w:cs="Arial" w:eastAsia="Arial" w:hAnsi="Arial"/>
          <w:sz w:val="18"/>
          <w:szCs w:val="18"/>
          <w:color w:val="1D1D1D"/>
        </w:rPr>
        <w:t xml:space="preserve"> </w:t>
      </w:r>
      <w:r>
        <w:rPr>
          <w:rFonts w:ascii="Arial" w:cs="Arial" w:eastAsia="Arial" w:hAnsi="Arial"/>
          <w:sz w:val="18"/>
          <w:szCs w:val="18"/>
          <w:color w:val="0A0A0A"/>
        </w:rPr>
        <w:t xml:space="preserve">the </w:t>
      </w:r>
      <w:r>
        <w:rPr>
          <w:rFonts w:ascii="Arial" w:cs="Arial" w:eastAsia="Arial" w:hAnsi="Arial"/>
          <w:sz w:val="18"/>
          <w:szCs w:val="18"/>
          <w:color w:val="1D1D1D"/>
        </w:rPr>
        <w:t>“Released</w:t>
      </w:r>
      <w:r>
        <w:rPr>
          <w:rFonts w:ascii="Arial" w:cs="Arial" w:eastAsia="Arial" w:hAnsi="Arial"/>
          <w:sz w:val="18"/>
          <w:szCs w:val="18"/>
          <w:color w:val="0A0A0A"/>
        </w:rPr>
        <w:t xml:space="preserve"> Parties”), from any and all actions, </w:t>
      </w:r>
      <w:r>
        <w:rPr>
          <w:rFonts w:ascii="Arial" w:cs="Arial" w:eastAsia="Arial" w:hAnsi="Arial"/>
          <w:sz w:val="18"/>
          <w:szCs w:val="18"/>
          <w:color w:val="0C0C0C"/>
        </w:rPr>
        <w:t>claims, demands and damages, whether actual or potential, known or unknown, and</w:t>
      </w:r>
      <w:r>
        <w:rPr>
          <w:rFonts w:ascii="Arial" w:cs="Arial" w:eastAsia="Arial" w:hAnsi="Arial"/>
          <w:sz w:val="18"/>
          <w:szCs w:val="18"/>
          <w:color w:val="0A0A0A"/>
        </w:rPr>
        <w:t xml:space="preserve"> </w:t>
      </w:r>
      <w:r>
        <w:rPr>
          <w:rFonts w:ascii="Arial" w:cs="Arial" w:eastAsia="Arial" w:hAnsi="Arial"/>
          <w:sz w:val="18"/>
          <w:szCs w:val="18"/>
          <w:color w:val="0C0C0C"/>
        </w:rPr>
        <w:t>specifically but not exclusively, which you may have or claim to have against the Company as of the date you sign this Retirement Agreement including, without limitation, any and all claims related or in any manner incidental to your employment with the Company or termination of that employment relationship which you or your heirs, successors</w:t>
      </w:r>
      <w:r>
        <w:rPr>
          <w:rFonts w:ascii="Arial" w:cs="Arial" w:eastAsia="Arial" w:hAnsi="Arial"/>
          <w:sz w:val="18"/>
          <w:szCs w:val="18"/>
          <w:color w:val="262626"/>
        </w:rPr>
        <w:t>,</w:t>
      </w:r>
      <w:r>
        <w:rPr>
          <w:rFonts w:ascii="Arial" w:cs="Arial" w:eastAsia="Arial" w:hAnsi="Arial"/>
          <w:sz w:val="18"/>
          <w:szCs w:val="18"/>
          <w:color w:val="0C0C0C"/>
        </w:rPr>
        <w:t xml:space="preserve"> executors, or other representatives may have ("Claims")</w:t>
      </w:r>
      <w:r>
        <w:rPr>
          <w:rFonts w:ascii="Arial" w:cs="Arial" w:eastAsia="Arial" w:hAnsi="Arial"/>
          <w:sz w:val="18"/>
          <w:szCs w:val="18"/>
          <w:color w:val="262626"/>
        </w:rPr>
        <w:t>.</w:t>
      </w:r>
      <w:r>
        <w:rPr>
          <w:rFonts w:ascii="Arial" w:cs="Arial" w:eastAsia="Arial" w:hAnsi="Arial"/>
          <w:sz w:val="18"/>
          <w:szCs w:val="18"/>
          <w:color w:val="0C0C0C"/>
        </w:rPr>
        <w:t xml:space="preserve"> All such Claims are forever barred by this Retirement Agreement regardless of the forum in which such Claims might be brought, including, but not limited to, Claims (a) under any federal, state or local law governing the employment relationship or its termination (including, but not limited to, Title VII of the Civil Rights Acts of 1964 and 1991; the Age Discrimination in Employment Act of 1967 ("ADEA"); the Americans with Disabilities Act; the Family Medical Leave Act; the Employee Retirement Income Security Act of 1974, the Rehabilitation Act, the Worker Adjustment and Retraining Notification Act, any state, local, and other federal employment laws, and any amendments to any of the foregoing and/or (b) under the common law for breach of contract, wrongful discharge, personal injuries and/or torts</w:t>
      </w:r>
      <w:r>
        <w:rPr>
          <w:rFonts w:ascii="Arial" w:cs="Arial" w:eastAsia="Arial" w:hAnsi="Arial"/>
          <w:sz w:val="18"/>
          <w:szCs w:val="18"/>
          <w:color w:val="262626"/>
        </w:rPr>
        <w:t>.</w:t>
      </w:r>
      <w:r>
        <w:rPr>
          <w:rFonts w:ascii="Arial" w:cs="Arial" w:eastAsia="Arial" w:hAnsi="Arial"/>
          <w:sz w:val="18"/>
          <w:szCs w:val="18"/>
          <w:color w:val="0C0C0C"/>
        </w:rPr>
        <w:t xml:space="preserve"> </w:t>
      </w:r>
      <w:r>
        <w:rPr>
          <w:rFonts w:ascii="Arial" w:cs="Arial" w:eastAsia="Arial" w:hAnsi="Arial"/>
          <w:sz w:val="18"/>
          <w:szCs w:val="18"/>
          <w:b w:val="1"/>
          <w:bCs w:val="1"/>
          <w:color w:val="0C0C0C"/>
        </w:rPr>
        <w:t>You understand that this is a general waiver and</w:t>
      </w:r>
      <w:r>
        <w:rPr>
          <w:rFonts w:ascii="Arial" w:cs="Arial" w:eastAsia="Arial" w:hAnsi="Arial"/>
          <w:sz w:val="18"/>
          <w:szCs w:val="18"/>
          <w:color w:val="0C0C0C"/>
        </w:rPr>
        <w:t xml:space="preserve"> </w:t>
      </w:r>
      <w:r>
        <w:rPr>
          <w:rFonts w:ascii="Arial" w:cs="Arial" w:eastAsia="Arial" w:hAnsi="Arial"/>
          <w:sz w:val="18"/>
          <w:szCs w:val="18"/>
          <w:b w:val="1"/>
          <w:bCs w:val="1"/>
          <w:color w:val="0C0C0C"/>
        </w:rPr>
        <w:t>release of all claims, known or unknown that you may have against the Released Parties based on any act, omission</w:t>
      </w:r>
      <w:r>
        <w:rPr>
          <w:rFonts w:ascii="Arial" w:cs="Arial" w:eastAsia="Arial" w:hAnsi="Arial"/>
          <w:sz w:val="18"/>
          <w:szCs w:val="18"/>
          <w:b w:val="1"/>
          <w:bCs w:val="1"/>
          <w:color w:val="494949"/>
        </w:rPr>
        <w:t>,</w:t>
      </w:r>
      <w:r>
        <w:rPr>
          <w:rFonts w:ascii="Arial" w:cs="Arial" w:eastAsia="Arial" w:hAnsi="Arial"/>
          <w:sz w:val="18"/>
          <w:szCs w:val="18"/>
          <w:b w:val="1"/>
          <w:bCs w:val="1"/>
          <w:color w:val="0C0C0C"/>
        </w:rPr>
        <w:t xml:space="preserve"> matter, cause or thing that occurred through the date of your execution of this Retirement Agreement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0C0C0C"/>
        </w:rPr>
        <w:t>California Waiver of California Civil Code§ 1542. To effect a full and complete release as described above, you expressly waive and relinquish all rights and benefits of §1542 of the Civil Code of the State of California, and do so understanding and acknowledging the significance and consequence of specifically waiving §1542, which states: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GENTERAL RELEASE DOES NOT EXTEND TO CLAIMS WHICH THE CREDITOR DOES NOT KNOW OR SUSPECT TO EXIST IN HIS OR HER FABOR AT THE TIME OF EXECUTING THE RELEASE, WHICH IF KNOWN BY HIM OR HER MUST HAVE MATERIALLY AFFECTED HIS OR HER SETTLEMENT WITH THE DEBTOR.</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C0C0C"/>
        </w:rPr>
        <w:t>In addition, by signing this Retirement Agreement you acknowledge and agree that you are not aware of any actions or inactions by the Company or any of the Released Parties that you believe may constitute bank fraud, wire fraud, mail fraud, securities fraud, any violation of a rule or regulation of the Securities and Exchange Commission, any violation of federal law, or any violation of the Company’s Code of Business Conduct.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C0C0C"/>
        </w:rPr>
        <w:t>The above release (the “Release”) does not waive claims (i) for vested rights under ERISA covered employee benefit plans as applicable on the date you sign this Retirement Agreement</w:t>
      </w:r>
      <w:r>
        <w:rPr>
          <w:rFonts w:ascii="Arial" w:cs="Arial" w:eastAsia="Arial" w:hAnsi="Arial"/>
          <w:sz w:val="18"/>
          <w:szCs w:val="18"/>
          <w:color w:val="383838"/>
        </w:rPr>
        <w:t>,</w:t>
      </w:r>
      <w:r>
        <w:rPr>
          <w:rFonts w:ascii="Arial" w:cs="Arial" w:eastAsia="Arial" w:hAnsi="Arial"/>
          <w:sz w:val="18"/>
          <w:szCs w:val="18"/>
          <w:color w:val="0C0C0C"/>
        </w:rPr>
        <w:t xml:space="preserve"> </w:t>
      </w:r>
      <w:r>
        <w:rPr>
          <w:rFonts w:ascii="Arial" w:cs="Arial" w:eastAsia="Arial" w:hAnsi="Arial"/>
          <w:sz w:val="18"/>
          <w:szCs w:val="18"/>
          <w:color w:val="262626"/>
        </w:rPr>
        <w:t>(</w:t>
      </w:r>
      <w:r>
        <w:rPr>
          <w:rFonts w:ascii="Arial" w:cs="Arial" w:eastAsia="Arial" w:hAnsi="Arial"/>
          <w:sz w:val="18"/>
          <w:szCs w:val="18"/>
          <w:color w:val="0C0C0C"/>
        </w:rPr>
        <w:t>ii) that may arise after you sign this Retirement Agreement</w:t>
      </w:r>
      <w:r>
        <w:rPr>
          <w:rFonts w:ascii="Arial" w:cs="Arial" w:eastAsia="Arial" w:hAnsi="Arial"/>
          <w:sz w:val="18"/>
          <w:szCs w:val="18"/>
          <w:color w:val="838383"/>
        </w:rPr>
        <w:t>,</w:t>
      </w:r>
      <w:r>
        <w:rPr>
          <w:rFonts w:ascii="Arial" w:cs="Arial" w:eastAsia="Arial" w:hAnsi="Arial"/>
          <w:sz w:val="18"/>
          <w:szCs w:val="18"/>
          <w:color w:val="0C0C0C"/>
        </w:rPr>
        <w:t xml:space="preserve"> </w:t>
      </w:r>
      <w:r>
        <w:rPr>
          <w:rFonts w:ascii="Arial" w:cs="Arial" w:eastAsia="Arial" w:hAnsi="Arial"/>
          <w:sz w:val="18"/>
          <w:szCs w:val="18"/>
          <w:color w:val="262626"/>
        </w:rPr>
        <w:t>(</w:t>
      </w:r>
      <w:r>
        <w:rPr>
          <w:rFonts w:ascii="Arial" w:cs="Arial" w:eastAsia="Arial" w:hAnsi="Arial"/>
          <w:sz w:val="18"/>
          <w:szCs w:val="18"/>
          <w:color w:val="0C0C0C"/>
        </w:rPr>
        <w:t xml:space="preserve">iii) </w:t>
      </w:r>
      <w:r>
        <w:rPr>
          <w:rFonts w:ascii="Arial" w:cs="Arial" w:eastAsia="Arial" w:hAnsi="Arial"/>
          <w:sz w:val="18"/>
          <w:szCs w:val="18"/>
          <w:color w:val="494949"/>
        </w:rPr>
        <w:t>wh</w:t>
      </w:r>
      <w:r>
        <w:rPr>
          <w:rFonts w:ascii="Arial" w:cs="Arial" w:eastAsia="Arial" w:hAnsi="Arial"/>
          <w:sz w:val="18"/>
          <w:szCs w:val="18"/>
          <w:color w:val="0C0C0C"/>
        </w:rPr>
        <w:t>ich cannot be released by private agreement, or (iv) under this Retirement Agreement. In addition, the Company agrees that the Release does not extend to</w:t>
      </w:r>
      <w:r>
        <w:rPr>
          <w:rFonts w:ascii="Arial" w:cs="Arial" w:eastAsia="Arial" w:hAnsi="Arial"/>
          <w:sz w:val="18"/>
          <w:szCs w:val="18"/>
          <w:color w:val="262626"/>
        </w:rPr>
        <w:t>,</w:t>
      </w:r>
      <w:r>
        <w:rPr>
          <w:rFonts w:ascii="Arial" w:cs="Arial" w:eastAsia="Arial" w:hAnsi="Arial"/>
          <w:sz w:val="18"/>
          <w:szCs w:val="18"/>
          <w:color w:val="0C0C0C"/>
        </w:rPr>
        <w:t xml:space="preserve"> release or modify any rights to indemnification or advancement of expenses to which you are entitled from the </w:t>
      </w:r>
      <w:r>
        <w:rPr>
          <w:rFonts w:ascii="Arial" w:cs="Arial" w:eastAsia="Arial" w:hAnsi="Arial"/>
          <w:sz w:val="18"/>
          <w:szCs w:val="18"/>
          <w:color w:val="383838"/>
        </w:rPr>
        <w:t>Compa</w:t>
      </w:r>
      <w:r>
        <w:rPr>
          <w:rFonts w:ascii="Arial" w:cs="Arial" w:eastAsia="Arial" w:hAnsi="Arial"/>
          <w:sz w:val="18"/>
          <w:szCs w:val="18"/>
          <w:color w:val="0C0C0C"/>
        </w:rPr>
        <w:t>ny or its insurers under the Company's Certificate of Incorporation, Bylaws, and the General Corporation Law of the State of Delaware or otherwise</w:t>
      </w:r>
      <w:r>
        <w:rPr>
          <w:rFonts w:ascii="Arial" w:cs="Arial" w:eastAsia="Arial" w:hAnsi="Arial"/>
          <w:sz w:val="18"/>
          <w:szCs w:val="18"/>
          <w:color w:val="262626"/>
        </w:rPr>
        <w: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62626"/>
        </w:rPr>
        <w:t>T</w:t>
      </w:r>
      <w:r>
        <w:rPr>
          <w:rFonts w:ascii="Arial" w:cs="Arial" w:eastAsia="Arial" w:hAnsi="Arial"/>
          <w:sz w:val="18"/>
          <w:szCs w:val="18"/>
          <w:color w:val="0C0C0C"/>
        </w:rPr>
        <w:t>o implement a full and complete release of all claims, you expressly acknowledge the Release</w:t>
      </w:r>
      <w:r>
        <w:rPr>
          <w:rFonts w:ascii="Arial" w:cs="Arial" w:eastAsia="Arial" w:hAnsi="Arial"/>
          <w:sz w:val="18"/>
          <w:szCs w:val="18"/>
          <w:color w:val="262626"/>
        </w:rPr>
        <w:t xml:space="preserve"> i</w:t>
      </w:r>
      <w:r>
        <w:rPr>
          <w:rFonts w:ascii="Arial" w:cs="Arial" w:eastAsia="Arial" w:hAnsi="Arial"/>
          <w:sz w:val="18"/>
          <w:szCs w:val="18"/>
          <w:color w:val="0C0C0C"/>
        </w:rPr>
        <w:t>s intended to include in its effect, without</w:t>
      </w:r>
      <w:r>
        <w:rPr>
          <w:rFonts w:ascii="Arial" w:cs="Arial" w:eastAsia="Arial" w:hAnsi="Arial"/>
          <w:sz w:val="18"/>
          <w:szCs w:val="18"/>
          <w:color w:val="262626"/>
        </w:rPr>
        <w:t xml:space="preserve"> </w:t>
      </w:r>
      <w:r>
        <w:rPr>
          <w:rFonts w:ascii="Arial" w:cs="Arial" w:eastAsia="Arial" w:hAnsi="Arial"/>
          <w:sz w:val="18"/>
          <w:szCs w:val="18"/>
          <w:color w:val="0C0C0C"/>
        </w:rPr>
        <w:t>limitation, all causes of action or claims you do not know or suspect to exist in your favor at the time of signing this Retirement Agreement, and that this Retirement Agreement contemplates the extinguishment of</w:t>
      </w:r>
    </w:p>
    <w:p>
      <w:pPr>
        <w:sectPr>
          <w:pgSz w:w="11900" w:h="16838" w:orient="portrait"/>
          <w:cols w:equalWidth="0" w:num="1">
            <w:col w:w="11420"/>
          </w:cols>
          <w:pgMar w:left="240" w:top="59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0C0C0C"/>
        </w:rPr>
        <w:t>any such causes of action or claims</w:t>
      </w:r>
      <w:r>
        <w:rPr>
          <w:rFonts w:ascii="Arial" w:cs="Arial" w:eastAsia="Arial" w:hAnsi="Arial"/>
          <w:sz w:val="18"/>
          <w:szCs w:val="18"/>
          <w:color w:val="262626"/>
        </w:rPr>
        <w:t>.</w:t>
      </w:r>
    </w:p>
    <w:p>
      <w:pPr>
        <w:spacing w:after="0" w:line="203" w:lineRule="exact"/>
        <w:rPr>
          <w:sz w:val="20"/>
          <w:szCs w:val="20"/>
          <w:color w:val="auto"/>
        </w:rPr>
      </w:pPr>
    </w:p>
    <w:p>
      <w:pPr>
        <w:ind w:left="200" w:hanging="192"/>
        <w:spacing w:after="0"/>
        <w:tabs>
          <w:tab w:leader="none" w:pos="200" w:val="left"/>
        </w:tabs>
        <w:numPr>
          <w:ilvl w:val="0"/>
          <w:numId w:val="85"/>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0C0C0C"/>
        </w:rPr>
        <w:t>COVENANT NOT TO SUE; NO WAIVER OF WHISTLEBLOWER PROTECTIONS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C0C0C"/>
        </w:rPr>
        <w:t xml:space="preserve">You understand that following the Effective Date, the Release will be final and binding. You promise that you will not pursue any claim that you have settled by the Release. If you break </w:t>
      </w:r>
      <w:r>
        <w:rPr>
          <w:rFonts w:ascii="Arial" w:cs="Arial" w:eastAsia="Arial" w:hAnsi="Arial"/>
          <w:sz w:val="18"/>
          <w:szCs w:val="18"/>
          <w:color w:val="0E0E0E"/>
        </w:rPr>
        <w:t>this promise, you agree to pay all of the Company’s costs and expenses (including reasonable</w:t>
      </w:r>
      <w:r>
        <w:rPr>
          <w:rFonts w:ascii="Arial" w:cs="Arial" w:eastAsia="Arial" w:hAnsi="Arial"/>
          <w:sz w:val="18"/>
          <w:szCs w:val="18"/>
          <w:color w:val="0C0C0C"/>
        </w:rPr>
        <w:t xml:space="preserve"> </w:t>
      </w:r>
      <w:r>
        <w:rPr>
          <w:rFonts w:ascii="Arial" w:cs="Arial" w:eastAsia="Arial" w:hAnsi="Arial"/>
          <w:sz w:val="18"/>
          <w:szCs w:val="18"/>
          <w:color w:val="0E0E0E"/>
        </w:rPr>
        <w:t>attorneys</w:t>
      </w:r>
      <w:r>
        <w:rPr>
          <w:rFonts w:ascii="Arial" w:cs="Arial" w:eastAsia="Arial" w:hAnsi="Arial"/>
          <w:sz w:val="18"/>
          <w:szCs w:val="18"/>
          <w:color w:val="3A3A3A"/>
        </w:rPr>
        <w:t>’</w:t>
      </w:r>
      <w:r>
        <w:rPr>
          <w:rFonts w:ascii="Arial" w:cs="Arial" w:eastAsia="Arial" w:hAnsi="Arial"/>
          <w:sz w:val="18"/>
          <w:szCs w:val="18"/>
          <w:color w:val="0E0E0E"/>
        </w:rPr>
        <w:t xml:space="preserve"> fees) related to the defense of any claims except this promise not to sue stated in this paragraph does not apply to claims that you may have under the OWBPA and the ADEA</w:t>
      </w:r>
      <w:r>
        <w:rPr>
          <w:rFonts w:ascii="Arial" w:cs="Arial" w:eastAsia="Arial" w:hAnsi="Arial"/>
          <w:sz w:val="18"/>
          <w:szCs w:val="18"/>
          <w:color w:val="3A3A3A"/>
        </w:rPr>
        <w: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E0E0E"/>
        </w:rPr>
        <w:t xml:space="preserve">Nothing </w:t>
      </w:r>
      <w:r>
        <w:rPr>
          <w:rFonts w:ascii="Arial" w:cs="Arial" w:eastAsia="Arial" w:hAnsi="Arial"/>
          <w:sz w:val="18"/>
          <w:szCs w:val="18"/>
          <w:color w:val="212121"/>
        </w:rPr>
        <w:t>in</w:t>
      </w:r>
      <w:r>
        <w:rPr>
          <w:rFonts w:ascii="Arial" w:cs="Arial" w:eastAsia="Arial" w:hAnsi="Arial"/>
          <w:sz w:val="18"/>
          <w:szCs w:val="18"/>
          <w:color w:val="0E0E0E"/>
        </w:rPr>
        <w:t xml:space="preserve"> this Agreement or otherwise limits your ability to communicate directly with and provide </w:t>
      </w:r>
      <w:r>
        <w:rPr>
          <w:rFonts w:ascii="Arial" w:cs="Arial" w:eastAsia="Arial" w:hAnsi="Arial"/>
          <w:sz w:val="18"/>
          <w:szCs w:val="18"/>
          <w:color w:val="212121"/>
        </w:rPr>
        <w:t>information,</w:t>
      </w:r>
      <w:r>
        <w:rPr>
          <w:rFonts w:ascii="Arial" w:cs="Arial" w:eastAsia="Arial" w:hAnsi="Arial"/>
          <w:sz w:val="18"/>
          <w:szCs w:val="18"/>
          <w:color w:val="0E0E0E"/>
        </w:rPr>
        <w:t xml:space="preserve">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you for any of these activities, and nothing in this Agreement requires you to waive any monetary award or other payment that you might become entitled to from the SEC or any other Government Agency. Further, nothing in this Agreement or otherwise precludes you from filing a charge of discrimination with the Equal Employment Opportunity Commission or a like charge or complaint with a state or local fair employment practice agency. However, o</w:t>
      </w:r>
      <w:r>
        <w:rPr>
          <w:rFonts w:ascii="Arial" w:cs="Arial" w:eastAsia="Arial" w:hAnsi="Arial"/>
          <w:sz w:val="18"/>
          <w:szCs w:val="18"/>
          <w:color w:val="3A3A3A"/>
        </w:rPr>
        <w:t>nce</w:t>
      </w:r>
      <w:r>
        <w:rPr>
          <w:rFonts w:ascii="Arial" w:cs="Arial" w:eastAsia="Arial" w:hAnsi="Arial"/>
          <w:sz w:val="18"/>
          <w:szCs w:val="18"/>
          <w:color w:val="0E0E0E"/>
        </w:rPr>
        <w:t xml:space="preserve"> this Agreement becomes effective, you may not receive a monetary award or any other form of personal relief from the Company in connection with any such charge or complaint that you filed or is filed on your behalf.</w:t>
      </w:r>
    </w:p>
    <w:p>
      <w:pPr>
        <w:spacing w:after="0" w:line="191" w:lineRule="exact"/>
        <w:rPr>
          <w:sz w:val="20"/>
          <w:szCs w:val="20"/>
          <w:color w:val="auto"/>
        </w:rPr>
      </w:pPr>
    </w:p>
    <w:p>
      <w:pPr>
        <w:ind w:left="200" w:hanging="192"/>
        <w:spacing w:after="0"/>
        <w:tabs>
          <w:tab w:leader="none" w:pos="200" w:val="left"/>
        </w:tabs>
        <w:numPr>
          <w:ilvl w:val="0"/>
          <w:numId w:val="86"/>
        </w:numPr>
        <w:rPr>
          <w:rFonts w:ascii="Arial" w:cs="Arial" w:eastAsia="Arial" w:hAnsi="Arial"/>
          <w:sz w:val="18"/>
          <w:szCs w:val="18"/>
          <w:b w:val="1"/>
          <w:bCs w:val="1"/>
          <w:color w:val="0E0E0E"/>
        </w:rPr>
      </w:pPr>
      <w:r>
        <w:rPr>
          <w:rFonts w:ascii="Arial" w:cs="Arial" w:eastAsia="Arial" w:hAnsi="Arial"/>
          <w:sz w:val="18"/>
          <w:szCs w:val="18"/>
          <w:b w:val="1"/>
          <w:bCs w:val="1"/>
          <w:u w:val="single" w:color="auto"/>
          <w:color w:val="0E0E0E"/>
        </w:rPr>
        <w:t>MATERIAL BREACH</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E0E0E"/>
        </w:rPr>
        <w:t xml:space="preserve">You agree that in the event of any breach or threatened breach of any provision of </w:t>
      </w:r>
      <w:r>
        <w:rPr>
          <w:rFonts w:ascii="Arial" w:cs="Arial" w:eastAsia="Arial" w:hAnsi="Arial"/>
          <w:sz w:val="18"/>
          <w:szCs w:val="18"/>
          <w:color w:val="3A3A3A"/>
        </w:rPr>
        <w:t>P</w:t>
      </w:r>
      <w:r>
        <w:rPr>
          <w:rFonts w:ascii="Arial" w:cs="Arial" w:eastAsia="Arial" w:hAnsi="Arial"/>
          <w:sz w:val="18"/>
          <w:szCs w:val="18"/>
          <w:color w:val="0E0E0E"/>
        </w:rPr>
        <w:t>aragraph 4 of this Retirement Agreement or of Section 5 of the Employment Agreement (as modified by this Retirement Agreement), the Company will have no further obligation to pay or provide any unpaid Separation Benefits and will be entitled to equitable and/or injunctive relief and</w:t>
      </w:r>
      <w:r>
        <w:rPr>
          <w:rFonts w:ascii="Arial" w:cs="Arial" w:eastAsia="Arial" w:hAnsi="Arial"/>
          <w:sz w:val="18"/>
          <w:szCs w:val="18"/>
          <w:color w:val="3A3A3A"/>
        </w:rPr>
        <w:t>,</w:t>
      </w:r>
      <w:r>
        <w:rPr>
          <w:rFonts w:ascii="Arial" w:cs="Arial" w:eastAsia="Arial" w:hAnsi="Arial"/>
          <w:sz w:val="18"/>
          <w:szCs w:val="18"/>
          <w:color w:val="0E0E0E"/>
        </w:rPr>
        <w:t xml:space="preserve"> because the damages for such a breach or threatened breach will be impossible or impractical to determine and will not therefore provide a full and adequate remedy, the Company or ABM affiliated compa</w:t>
      </w:r>
      <w:r>
        <w:rPr>
          <w:rFonts w:ascii="Arial" w:cs="Arial" w:eastAsia="Arial" w:hAnsi="Arial"/>
          <w:sz w:val="18"/>
          <w:szCs w:val="18"/>
          <w:color w:val="3A3A3A"/>
        </w:rPr>
        <w:t>n</w:t>
      </w:r>
      <w:r>
        <w:rPr>
          <w:rFonts w:ascii="Arial" w:cs="Arial" w:eastAsia="Arial" w:hAnsi="Arial"/>
          <w:sz w:val="18"/>
          <w:szCs w:val="18"/>
          <w:color w:val="0E0E0E"/>
        </w:rPr>
        <w:t>ies will also be e</w:t>
      </w:r>
      <w:r>
        <w:rPr>
          <w:rFonts w:ascii="Arial" w:cs="Arial" w:eastAsia="Arial" w:hAnsi="Arial"/>
          <w:sz w:val="18"/>
          <w:szCs w:val="18"/>
          <w:color w:val="3A3A3A"/>
        </w:rPr>
        <w:t>ntitl</w:t>
      </w:r>
      <w:r>
        <w:rPr>
          <w:rFonts w:ascii="Arial" w:cs="Arial" w:eastAsia="Arial" w:hAnsi="Arial"/>
          <w:sz w:val="18"/>
          <w:szCs w:val="18"/>
          <w:color w:val="0E0E0E"/>
        </w:rPr>
        <w:t xml:space="preserve">ed to specific performance by you. Nothing </w:t>
      </w:r>
      <w:r>
        <w:rPr>
          <w:rFonts w:ascii="Arial" w:cs="Arial" w:eastAsia="Arial" w:hAnsi="Arial"/>
          <w:sz w:val="18"/>
          <w:szCs w:val="18"/>
          <w:color w:val="212121"/>
        </w:rPr>
        <w:t>in</w:t>
      </w:r>
      <w:r>
        <w:rPr>
          <w:rFonts w:ascii="Arial" w:cs="Arial" w:eastAsia="Arial" w:hAnsi="Arial"/>
          <w:sz w:val="18"/>
          <w:szCs w:val="18"/>
          <w:color w:val="0E0E0E"/>
        </w:rPr>
        <w:t xml:space="preserve"> this Retirement Agreement shall limit or prevent the Company from also pursuing any other or additional remedies it may have for breach of any other agreement you may have signed. Despite any breaches, your other obligations under this Retirement Agreement will remain in full force and effect.</w:t>
      </w:r>
    </w:p>
    <w:p>
      <w:pPr>
        <w:spacing w:after="0" w:line="185"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18"/>
          <w:szCs w:val="18"/>
          <w:b w:val="1"/>
          <w:bCs w:val="1"/>
          <w:color w:val="0E0E0E"/>
        </w:rPr>
      </w:pPr>
      <w:r>
        <w:rPr>
          <w:rFonts w:ascii="Arial" w:cs="Arial" w:eastAsia="Arial" w:hAnsi="Arial"/>
          <w:sz w:val="18"/>
          <w:szCs w:val="18"/>
          <w:b w:val="1"/>
          <w:bCs w:val="1"/>
          <w:u w:val="single" w:color="auto"/>
          <w:color w:val="0E0E0E"/>
        </w:rPr>
        <w:t>RE-EMPLOYMENT</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0E0E0E"/>
        </w:rPr>
        <w:t>If you are offered and accept re-employment with the Company or ABM-affiliated companies</w:t>
      </w:r>
      <w:r>
        <w:rPr>
          <w:rFonts w:ascii="Arial" w:cs="Arial" w:eastAsia="Arial" w:hAnsi="Arial"/>
          <w:sz w:val="18"/>
          <w:szCs w:val="18"/>
          <w:color w:val="3A3A3A"/>
        </w:rPr>
        <w:t>,</w:t>
      </w:r>
      <w:r>
        <w:rPr>
          <w:rFonts w:ascii="Arial" w:cs="Arial" w:eastAsia="Arial" w:hAnsi="Arial"/>
          <w:sz w:val="18"/>
          <w:szCs w:val="18"/>
          <w:color w:val="0E0E0E"/>
        </w:rPr>
        <w:t xml:space="preserve"> remaining Separation Benefits will cease upon such re-employment with the Company or ABM-affiliated companies.</w:t>
      </w:r>
    </w:p>
    <w:p>
      <w:pPr>
        <w:spacing w:after="0" w:line="174" w:lineRule="exact"/>
        <w:rPr>
          <w:sz w:val="20"/>
          <w:szCs w:val="20"/>
          <w:color w:val="auto"/>
        </w:rPr>
      </w:pPr>
    </w:p>
    <w:p>
      <w:pPr>
        <w:ind w:left="200" w:hanging="192"/>
        <w:spacing w:after="0"/>
        <w:tabs>
          <w:tab w:leader="none" w:pos="200" w:val="left"/>
        </w:tabs>
        <w:numPr>
          <w:ilvl w:val="0"/>
          <w:numId w:val="88"/>
        </w:numPr>
        <w:rPr>
          <w:rFonts w:ascii="Arial" w:cs="Arial" w:eastAsia="Arial" w:hAnsi="Arial"/>
          <w:sz w:val="18"/>
          <w:szCs w:val="18"/>
          <w:b w:val="1"/>
          <w:bCs w:val="1"/>
          <w:color w:val="0E0E0E"/>
        </w:rPr>
      </w:pPr>
      <w:r>
        <w:rPr>
          <w:rFonts w:ascii="Arial" w:cs="Arial" w:eastAsia="Arial" w:hAnsi="Arial"/>
          <w:sz w:val="18"/>
          <w:szCs w:val="18"/>
          <w:b w:val="1"/>
          <w:bCs w:val="1"/>
          <w:u w:val="single" w:color="auto"/>
          <w:color w:val="0E0E0E"/>
        </w:rPr>
        <w:t>NOTICE AND REVOCATION PERIODS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E0E0E"/>
        </w:rPr>
        <w:t>This Retirement Agreement is important. You are advised to review it carefully and consult an attorney before signing it, as well as any other professional whose advice you value</w:t>
      </w:r>
      <w:r>
        <w:rPr>
          <w:rFonts w:ascii="Arial" w:cs="Arial" w:eastAsia="Arial" w:hAnsi="Arial"/>
          <w:sz w:val="18"/>
          <w:szCs w:val="18"/>
          <w:color w:val="3A3A3A"/>
        </w:rPr>
        <w:t>,</w:t>
      </w:r>
      <w:r>
        <w:rPr>
          <w:rFonts w:ascii="Arial" w:cs="Arial" w:eastAsia="Arial" w:hAnsi="Arial"/>
          <w:sz w:val="18"/>
          <w:szCs w:val="18"/>
          <w:color w:val="0E0E0E"/>
        </w:rPr>
        <w:t xml:space="preserve"> such as an accounta</w:t>
      </w:r>
      <w:r>
        <w:rPr>
          <w:rFonts w:ascii="Arial" w:cs="Arial" w:eastAsia="Arial" w:hAnsi="Arial"/>
          <w:sz w:val="18"/>
          <w:szCs w:val="18"/>
          <w:color w:val="3A3A3A"/>
        </w:rPr>
        <w:t>nt</w:t>
      </w:r>
      <w:r>
        <w:rPr>
          <w:rFonts w:ascii="Arial" w:cs="Arial" w:eastAsia="Arial" w:hAnsi="Arial"/>
          <w:sz w:val="18"/>
          <w:szCs w:val="18"/>
          <w:color w:val="0E0E0E"/>
        </w:rPr>
        <w:t xml:space="preserve"> or financial advisor. If you agree to the terms of this Retirement Agreement</w:t>
      </w:r>
      <w:r>
        <w:rPr>
          <w:rFonts w:ascii="Arial" w:cs="Arial" w:eastAsia="Arial" w:hAnsi="Arial"/>
          <w:sz w:val="18"/>
          <w:szCs w:val="18"/>
          <w:color w:val="3A3A3A"/>
        </w:rPr>
        <w:t>,</w:t>
      </w:r>
      <w:r>
        <w:rPr>
          <w:rFonts w:ascii="Arial" w:cs="Arial" w:eastAsia="Arial" w:hAnsi="Arial"/>
          <w:sz w:val="18"/>
          <w:szCs w:val="18"/>
          <w:color w:val="0E0E0E"/>
        </w:rPr>
        <w:t xml:space="preserve"> sign </w:t>
      </w:r>
      <w:r>
        <w:rPr>
          <w:rFonts w:ascii="Arial" w:cs="Arial" w:eastAsia="Arial" w:hAnsi="Arial"/>
          <w:sz w:val="18"/>
          <w:szCs w:val="18"/>
          <w:color w:val="212121"/>
        </w:rPr>
        <w:t xml:space="preserve">in the </w:t>
      </w:r>
      <w:r>
        <w:rPr>
          <w:rFonts w:ascii="Arial" w:cs="Arial" w:eastAsia="Arial" w:hAnsi="Arial"/>
          <w:sz w:val="18"/>
          <w:szCs w:val="18"/>
          <w:color w:val="0E0E0E"/>
        </w:rPr>
        <w:t>space below where your agreement</w:t>
      </w:r>
      <w:r>
        <w:rPr>
          <w:rFonts w:ascii="Arial" w:cs="Arial" w:eastAsia="Arial" w:hAnsi="Arial"/>
          <w:sz w:val="18"/>
          <w:szCs w:val="18"/>
          <w:color w:val="212121"/>
        </w:rPr>
        <w:t xml:space="preserve"> is indicated. </w:t>
      </w:r>
      <w:r>
        <w:rPr>
          <w:rFonts w:ascii="Arial" w:cs="Arial" w:eastAsia="Arial" w:hAnsi="Arial"/>
          <w:sz w:val="18"/>
          <w:szCs w:val="18"/>
          <w:color w:val="0E0E0E"/>
        </w:rPr>
        <w:t>The payments and benefits specified</w:t>
      </w:r>
      <w:r>
        <w:rPr>
          <w:rFonts w:ascii="Arial" w:cs="Arial" w:eastAsia="Arial" w:hAnsi="Arial"/>
          <w:sz w:val="18"/>
          <w:szCs w:val="18"/>
          <w:color w:val="212121"/>
        </w:rPr>
        <w:t xml:space="preserve"> in </w:t>
      </w:r>
      <w:r>
        <w:rPr>
          <w:rFonts w:ascii="Arial" w:cs="Arial" w:eastAsia="Arial" w:hAnsi="Arial"/>
          <w:sz w:val="18"/>
          <w:szCs w:val="18"/>
          <w:color w:val="0E0E0E"/>
        </w:rPr>
        <w:t>this Retirement Agreement are cont</w:t>
      </w:r>
      <w:r>
        <w:rPr>
          <w:rFonts w:ascii="Arial" w:cs="Arial" w:eastAsia="Arial" w:hAnsi="Arial"/>
          <w:sz w:val="18"/>
          <w:szCs w:val="18"/>
          <w:color w:val="3A3A3A"/>
        </w:rPr>
        <w:t>i</w:t>
      </w:r>
      <w:r>
        <w:rPr>
          <w:rFonts w:ascii="Arial" w:cs="Arial" w:eastAsia="Arial" w:hAnsi="Arial"/>
          <w:sz w:val="18"/>
          <w:szCs w:val="18"/>
          <w:color w:val="0E0E0E"/>
        </w:rPr>
        <w:t>ngent on</w:t>
      </w:r>
      <w:r>
        <w:rPr>
          <w:rFonts w:ascii="Arial" w:cs="Arial" w:eastAsia="Arial" w:hAnsi="Arial"/>
          <w:sz w:val="18"/>
          <w:szCs w:val="18"/>
          <w:color w:val="212121"/>
        </w:rPr>
        <w:t xml:space="preserve"> </w:t>
      </w:r>
      <w:r>
        <w:rPr>
          <w:rFonts w:ascii="Arial" w:cs="Arial" w:eastAsia="Arial" w:hAnsi="Arial"/>
          <w:sz w:val="18"/>
          <w:szCs w:val="18"/>
          <w:color w:val="0E0E0E"/>
        </w:rPr>
        <w:t xml:space="preserve">your signing and </w:t>
      </w:r>
      <w:r>
        <w:rPr>
          <w:rFonts w:ascii="Arial" w:cs="Arial" w:eastAsia="Arial" w:hAnsi="Arial"/>
          <w:sz w:val="18"/>
          <w:szCs w:val="18"/>
          <w:color w:val="212121"/>
        </w:rPr>
        <w:t>not revoking</w:t>
      </w:r>
      <w:r>
        <w:rPr>
          <w:rFonts w:ascii="Arial" w:cs="Arial" w:eastAsia="Arial" w:hAnsi="Arial"/>
          <w:sz w:val="18"/>
          <w:szCs w:val="18"/>
          <w:color w:val="0E0E0E"/>
        </w:rPr>
        <w:t xml:space="preserve"> this Retirement Agreement and the Final Release. You will have 21 calendar days from the date </w:t>
      </w:r>
      <w:r>
        <w:rPr>
          <w:rFonts w:ascii="Arial" w:cs="Arial" w:eastAsia="Arial" w:hAnsi="Arial"/>
          <w:sz w:val="18"/>
          <w:szCs w:val="18"/>
          <w:color w:val="3A3A3A"/>
        </w:rPr>
        <w:t>h</w:t>
      </w:r>
      <w:r>
        <w:rPr>
          <w:rFonts w:ascii="Arial" w:cs="Arial" w:eastAsia="Arial" w:hAnsi="Arial"/>
          <w:sz w:val="18"/>
          <w:szCs w:val="18"/>
          <w:color w:val="0E0E0E"/>
        </w:rPr>
        <w:t xml:space="preserve">ereof to consider </w:t>
      </w:r>
      <w:r>
        <w:rPr>
          <w:rFonts w:ascii="Arial" w:cs="Arial" w:eastAsia="Arial" w:hAnsi="Arial"/>
          <w:sz w:val="18"/>
          <w:szCs w:val="18"/>
          <w:color w:val="212121"/>
        </w:rPr>
        <w:t>this</w:t>
      </w:r>
      <w:r>
        <w:rPr>
          <w:rFonts w:ascii="Arial" w:cs="Arial" w:eastAsia="Arial" w:hAnsi="Arial"/>
          <w:sz w:val="18"/>
          <w:szCs w:val="18"/>
          <w:color w:val="0E0E0E"/>
        </w:rPr>
        <w:t xml:space="preserve"> Retirement Agreement. If you choose to sign this Retirement Agreement before the end of that 21-day period, you certify that you did so voluntarily for your own benefit and waived the right to consider this Retirement Agreement for the entire 21-day period. You agree that changes to this Retirement Agreement, whether material or immaterial, do not restart the running of the 21-day period for you to consider the Agreement. After you </w:t>
      </w:r>
      <w:r>
        <w:rPr>
          <w:rFonts w:ascii="Arial" w:cs="Arial" w:eastAsia="Arial" w:hAnsi="Arial"/>
          <w:sz w:val="18"/>
          <w:szCs w:val="18"/>
          <w:color w:val="3A3A3A"/>
        </w:rPr>
        <w:t>hav</w:t>
      </w:r>
      <w:r>
        <w:rPr>
          <w:rFonts w:ascii="Arial" w:cs="Arial" w:eastAsia="Arial" w:hAnsi="Arial"/>
          <w:sz w:val="18"/>
          <w:szCs w:val="18"/>
          <w:color w:val="0E0E0E"/>
        </w:rPr>
        <w:t xml:space="preserve">e signed this Retirement Agreement, you may revoke your consent to it by delivering written </w:t>
      </w:r>
      <w:r>
        <w:rPr>
          <w:rFonts w:ascii="Arial" w:cs="Arial" w:eastAsia="Arial" w:hAnsi="Arial"/>
          <w:sz w:val="18"/>
          <w:szCs w:val="18"/>
          <w:color w:val="212121"/>
        </w:rPr>
        <w:t>notice</w:t>
      </w:r>
      <w:r>
        <w:rPr>
          <w:rFonts w:ascii="Arial" w:cs="Arial" w:eastAsia="Arial" w:hAnsi="Arial"/>
          <w:sz w:val="18"/>
          <w:szCs w:val="18"/>
          <w:color w:val="0E0E0E"/>
        </w:rPr>
        <w:t xml:space="preserve"> signed by you to David Goodes, ABM Industries Incorporated, One </w:t>
      </w:r>
      <w:r>
        <w:rPr>
          <w:rFonts w:ascii="Arial" w:cs="Arial" w:eastAsia="Arial" w:hAnsi="Arial"/>
          <w:sz w:val="18"/>
          <w:szCs w:val="18"/>
          <w:color w:val="212121"/>
        </w:rPr>
        <w:t>Liberty Plaza,</w:t>
      </w:r>
      <w:r>
        <w:rPr>
          <w:rFonts w:ascii="Arial" w:cs="Arial" w:eastAsia="Arial" w:hAnsi="Arial"/>
          <w:sz w:val="18"/>
          <w:szCs w:val="18"/>
          <w:color w:val="0E0E0E"/>
        </w:rPr>
        <w:t xml:space="preserve"> 7th </w:t>
      </w:r>
      <w:r>
        <w:rPr>
          <w:rFonts w:ascii="Arial" w:cs="Arial" w:eastAsia="Arial" w:hAnsi="Arial"/>
          <w:sz w:val="18"/>
          <w:szCs w:val="18"/>
          <w:color w:val="212121"/>
        </w:rPr>
        <w:t>Floor,</w:t>
      </w:r>
      <w:r>
        <w:rPr>
          <w:rFonts w:ascii="Arial" w:cs="Arial" w:eastAsia="Arial" w:hAnsi="Arial"/>
          <w:sz w:val="18"/>
          <w:szCs w:val="18"/>
          <w:color w:val="0E0E0E"/>
        </w:rPr>
        <w:t xml:space="preserve"> New York, NY </w:t>
      </w:r>
      <w:r>
        <w:rPr>
          <w:rFonts w:ascii="Arial" w:cs="Arial" w:eastAsia="Arial" w:hAnsi="Arial"/>
          <w:sz w:val="18"/>
          <w:szCs w:val="18"/>
          <w:color w:val="0C0C0C"/>
        </w:rPr>
        <w:t>10006, on or before the seventh calendar day after</w:t>
      </w:r>
      <w:r>
        <w:rPr>
          <w:rFonts w:ascii="Arial" w:cs="Arial" w:eastAsia="Arial" w:hAnsi="Arial"/>
          <w:sz w:val="18"/>
          <w:szCs w:val="18"/>
          <w:color w:val="0E0E0E"/>
        </w:rPr>
        <w:t xml:space="preserve"> </w:t>
      </w:r>
      <w:r>
        <w:rPr>
          <w:rFonts w:ascii="Arial" w:cs="Arial" w:eastAsia="Arial" w:hAnsi="Arial"/>
          <w:sz w:val="18"/>
          <w:szCs w:val="18"/>
          <w:color w:val="0C0C0C"/>
        </w:rPr>
        <w:t>you sign it. If you do not revoke this Retirement Agreement within seven calendar days after you sign i</w:t>
      </w:r>
      <w:r>
        <w:rPr>
          <w:rFonts w:ascii="Arial" w:cs="Arial" w:eastAsia="Arial" w:hAnsi="Arial"/>
          <w:sz w:val="18"/>
          <w:szCs w:val="18"/>
          <w:color w:val="313131"/>
        </w:rPr>
        <w:t>t</w:t>
      </w:r>
      <w:r>
        <w:rPr>
          <w:rFonts w:ascii="Arial" w:cs="Arial" w:eastAsia="Arial" w:hAnsi="Arial"/>
          <w:sz w:val="18"/>
          <w:szCs w:val="18"/>
          <w:color w:val="6E6E6E"/>
        </w:rPr>
        <w:t>,</w:t>
      </w:r>
      <w:r>
        <w:rPr>
          <w:rFonts w:ascii="Arial" w:cs="Arial" w:eastAsia="Arial" w:hAnsi="Arial"/>
          <w:sz w:val="18"/>
          <w:szCs w:val="18"/>
          <w:color w:val="0C0C0C"/>
        </w:rPr>
        <w:t xml:space="preserve"> it will be final, binding, and irrevocable (“Effective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C0C0C"/>
        </w:rPr>
        <w:t>Even if you revoke this Retirement Agreement, Section 1 hereof will remain in effect and is effective on the date of this Retirement Agreement.</w:t>
      </w:r>
    </w:p>
    <w:p>
      <w:pPr>
        <w:spacing w:after="0" w:line="203" w:lineRule="exact"/>
        <w:rPr>
          <w:sz w:val="20"/>
          <w:szCs w:val="20"/>
          <w:color w:val="auto"/>
        </w:rPr>
      </w:pPr>
    </w:p>
    <w:p>
      <w:pPr>
        <w:ind w:left="300" w:hanging="292"/>
        <w:spacing w:after="0"/>
        <w:tabs>
          <w:tab w:leader="none" w:pos="300" w:val="left"/>
        </w:tabs>
        <w:numPr>
          <w:ilvl w:val="0"/>
          <w:numId w:val="89"/>
        </w:numPr>
        <w:rPr>
          <w:rFonts w:ascii="Arial" w:cs="Arial" w:eastAsia="Arial" w:hAnsi="Arial"/>
          <w:sz w:val="18"/>
          <w:szCs w:val="18"/>
          <w:b w:val="1"/>
          <w:bCs w:val="1"/>
          <w:color w:val="0C0C0C"/>
        </w:rPr>
      </w:pPr>
      <w:r>
        <w:rPr>
          <w:rFonts w:ascii="Arial" w:cs="Arial" w:eastAsia="Arial" w:hAnsi="Arial"/>
          <w:sz w:val="18"/>
          <w:szCs w:val="18"/>
          <w:b w:val="1"/>
          <w:bCs w:val="1"/>
          <w:u w:val="single" w:color="auto"/>
          <w:color w:val="0C0C0C"/>
        </w:rPr>
        <w:t>RETURN OF PROPERTY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0C0C0C"/>
        </w:rPr>
        <w:t>You affirm that you have returned, or will return, to the Company all Company Property, as described more fully below,</w:t>
      </w:r>
    </w:p>
    <w:p>
      <w:pPr>
        <w:sectPr>
          <w:pgSz w:w="11900" w:h="16838" w:orient="portrait"/>
          <w:cols w:equalWidth="0" w:num="1">
            <w:col w:w="11420"/>
          </w:cols>
          <w:pgMar w:left="240" w:top="598" w:right="239" w:bottom="1440" w:gutter="0" w:footer="0" w:header="0"/>
        </w:sectPr>
      </w:pPr>
    </w:p>
    <w:bookmarkStart w:id="139" w:name="page140"/>
    <w:bookmarkEnd w:id="139"/>
    <w:p>
      <w:pPr>
        <w:jc w:val="both"/>
        <w:spacing w:after="0" w:line="252" w:lineRule="auto"/>
        <w:rPr>
          <w:sz w:val="20"/>
          <w:szCs w:val="20"/>
          <w:color w:val="auto"/>
        </w:rPr>
      </w:pPr>
      <w:r>
        <w:rPr>
          <w:rFonts w:ascii="Arial" w:cs="Arial" w:eastAsia="Arial" w:hAnsi="Arial"/>
          <w:sz w:val="18"/>
          <w:szCs w:val="18"/>
          <w:color w:val="0C0C0C"/>
        </w:rPr>
        <w:t xml:space="preserve">with the exception of documents relating to compensation or benefits to which you are entitled following the termination of your employment. Company Property includes company-owned motor vehicles, equipment, supplies and documents. Such documents may include but are not limited to customer lists, financial statements, cost data, price lists, invoices, forms, passwords, electronic files and media, mailing lists, contracts, reports, manuals, personnel files, correspondence, business cards, drawings, employee lists or </w:t>
      </w:r>
      <w:r>
        <w:rPr>
          <w:rFonts w:ascii="Arial" w:cs="Arial" w:eastAsia="Arial" w:hAnsi="Arial"/>
          <w:sz w:val="18"/>
          <w:szCs w:val="18"/>
          <w:color w:val="313131"/>
        </w:rPr>
        <w:t>di</w:t>
      </w:r>
      <w:r>
        <w:rPr>
          <w:rFonts w:ascii="Arial" w:cs="Arial" w:eastAsia="Arial" w:hAnsi="Arial"/>
          <w:sz w:val="18"/>
          <w:szCs w:val="18"/>
          <w:color w:val="0C0C0C"/>
        </w:rPr>
        <w:t xml:space="preserve">rectories, </w:t>
      </w:r>
      <w:r>
        <w:rPr>
          <w:rFonts w:ascii="Arial" w:cs="Arial" w:eastAsia="Arial" w:hAnsi="Arial"/>
          <w:sz w:val="18"/>
          <w:szCs w:val="18"/>
          <w:color w:val="313131"/>
        </w:rPr>
        <w:t>li</w:t>
      </w:r>
      <w:r>
        <w:rPr>
          <w:rFonts w:ascii="Arial" w:cs="Arial" w:eastAsia="Arial" w:hAnsi="Arial"/>
          <w:sz w:val="18"/>
          <w:szCs w:val="18"/>
          <w:color w:val="0C0C0C"/>
        </w:rPr>
        <w:t>sts of vendors, photographs, maps, surveys</w:t>
      </w:r>
      <w:r>
        <w:rPr>
          <w:rFonts w:ascii="Arial" w:cs="Arial" w:eastAsia="Arial" w:hAnsi="Arial"/>
          <w:sz w:val="18"/>
          <w:szCs w:val="18"/>
          <w:color w:val="313131"/>
        </w:rPr>
        <w:t>,</w:t>
      </w:r>
      <w:r>
        <w:rPr>
          <w:rFonts w:ascii="Arial" w:cs="Arial" w:eastAsia="Arial" w:hAnsi="Arial"/>
          <w:sz w:val="18"/>
          <w:szCs w:val="18"/>
          <w:color w:val="0C0C0C"/>
        </w:rPr>
        <w:t xml:space="preserve">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185" w:lineRule="exact"/>
        <w:rPr>
          <w:sz w:val="20"/>
          <w:szCs w:val="20"/>
          <w:color w:val="auto"/>
        </w:rPr>
      </w:pPr>
    </w:p>
    <w:p>
      <w:pPr>
        <w:ind w:left="300" w:hanging="292"/>
        <w:spacing w:after="0"/>
        <w:tabs>
          <w:tab w:leader="none" w:pos="300" w:val="left"/>
        </w:tabs>
        <w:numPr>
          <w:ilvl w:val="0"/>
          <w:numId w:val="90"/>
        </w:numPr>
        <w:rPr>
          <w:rFonts w:ascii="Arial" w:cs="Arial" w:eastAsia="Arial" w:hAnsi="Arial"/>
          <w:sz w:val="18"/>
          <w:szCs w:val="18"/>
          <w:b w:val="1"/>
          <w:bCs w:val="1"/>
          <w:color w:val="0C0C0C"/>
        </w:rPr>
      </w:pPr>
      <w:r>
        <w:rPr>
          <w:rFonts w:ascii="Arial" w:cs="Arial" w:eastAsia="Arial" w:hAnsi="Arial"/>
          <w:sz w:val="18"/>
          <w:szCs w:val="18"/>
          <w:b w:val="1"/>
          <w:bCs w:val="1"/>
          <w:u w:val="single" w:color="auto"/>
          <w:color w:val="0C0C0C"/>
        </w:rPr>
        <w:t>POSITIONS HELD AS ABM REPRESENTATIVE</w:t>
      </w:r>
    </w:p>
    <w:p>
      <w:pPr>
        <w:spacing w:after="0" w:line="2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0C0C0C"/>
        </w:rPr>
        <w:t>If during employment you held any membership or position as a representative of ABM for any outside organization (such as SOMA, IR EM, IFMA or BSCIA), or as a trustee for a union trust fund (such as a Taft-Hartley or similar fund), you agree that you resign from such membership or position, or trustee position effective on the date of this Retirement Agreement set forth above, and you agree to cooperate fully with ABM in any process whereby ABM designates a new representative to replace the position vacated by you.</w:t>
      </w:r>
    </w:p>
    <w:p>
      <w:pPr>
        <w:spacing w:after="0" w:line="182"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8"/>
          <w:szCs w:val="18"/>
          <w:b w:val="1"/>
          <w:bCs w:val="1"/>
          <w:color w:val="0C0C0C"/>
        </w:rPr>
      </w:pPr>
      <w:r>
        <w:rPr>
          <w:rFonts w:ascii="Arial" w:cs="Arial" w:eastAsia="Arial" w:hAnsi="Arial"/>
          <w:sz w:val="18"/>
          <w:szCs w:val="18"/>
          <w:b w:val="1"/>
          <w:bCs w:val="1"/>
          <w:u w:val="single" w:color="auto"/>
          <w:color w:val="0C0C0C"/>
        </w:rPr>
        <w:t>NATURE OF AGREEMENT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C0C0C"/>
        </w:rPr>
        <w:t>By signing this Retirement Agreement, you acknowledge that you are doing so freely, knowingly and voluntarily. You acknowledge that in signing this Retirement Agreement you have relied only on the promises written in this Retirement Agreement</w:t>
      </w:r>
      <w:r>
        <w:rPr>
          <w:rFonts w:ascii="Arial" w:cs="Arial" w:eastAsia="Arial" w:hAnsi="Arial"/>
          <w:sz w:val="18"/>
          <w:szCs w:val="18"/>
          <w:color w:val="313131"/>
        </w:rPr>
        <w:t>,</w:t>
      </w:r>
      <w:r>
        <w:rPr>
          <w:rFonts w:ascii="Arial" w:cs="Arial" w:eastAsia="Arial" w:hAnsi="Arial"/>
          <w:sz w:val="18"/>
          <w:szCs w:val="18"/>
          <w:color w:val="0C0C0C"/>
        </w:rPr>
        <w:t xml:space="preserve"> and not on any other promise made by the Company or ABM Companies. This Retirement Agreement is not, and will not be </w:t>
      </w:r>
      <w:r>
        <w:rPr>
          <w:rFonts w:ascii="Arial" w:cs="Arial" w:eastAsia="Arial" w:hAnsi="Arial"/>
          <w:sz w:val="18"/>
          <w:szCs w:val="18"/>
          <w:color w:val="212121"/>
        </w:rPr>
        <w:t>considered,</w:t>
      </w:r>
      <w:r>
        <w:rPr>
          <w:rFonts w:ascii="Arial" w:cs="Arial" w:eastAsia="Arial" w:hAnsi="Arial"/>
          <w:sz w:val="18"/>
          <w:szCs w:val="18"/>
          <w:color w:val="0C0C0C"/>
        </w:rPr>
        <w:t xml:space="preserve"> an adm</w:t>
      </w:r>
      <w:r>
        <w:rPr>
          <w:rFonts w:ascii="Arial" w:cs="Arial" w:eastAsia="Arial" w:hAnsi="Arial"/>
          <w:sz w:val="18"/>
          <w:szCs w:val="18"/>
          <w:color w:val="313131"/>
        </w:rPr>
        <w:t>is</w:t>
      </w:r>
      <w:r>
        <w:rPr>
          <w:rFonts w:ascii="Arial" w:cs="Arial" w:eastAsia="Arial" w:hAnsi="Arial"/>
          <w:sz w:val="18"/>
          <w:szCs w:val="18"/>
          <w:color w:val="0C0C0C"/>
        </w:rPr>
        <w:t xml:space="preserve">sion </w:t>
      </w:r>
      <w:r>
        <w:rPr>
          <w:rFonts w:ascii="Arial" w:cs="Arial" w:eastAsia="Arial" w:hAnsi="Arial"/>
          <w:sz w:val="18"/>
          <w:szCs w:val="18"/>
          <w:color w:val="212121"/>
        </w:rPr>
        <w:t>of</w:t>
      </w:r>
      <w:r>
        <w:rPr>
          <w:rFonts w:ascii="Arial" w:cs="Arial" w:eastAsia="Arial" w:hAnsi="Arial"/>
          <w:sz w:val="18"/>
          <w:szCs w:val="18"/>
          <w:color w:val="0C0C0C"/>
        </w:rPr>
        <w:t xml:space="preserve"> </w:t>
      </w:r>
      <w:r>
        <w:rPr>
          <w:rFonts w:ascii="Arial" w:cs="Arial" w:eastAsia="Arial" w:hAnsi="Arial"/>
          <w:sz w:val="18"/>
          <w:szCs w:val="18"/>
          <w:color w:val="313131"/>
        </w:rPr>
        <w:t>liability</w:t>
      </w:r>
      <w:r>
        <w:rPr>
          <w:rFonts w:ascii="Arial" w:cs="Arial" w:eastAsia="Arial" w:hAnsi="Arial"/>
          <w:sz w:val="18"/>
          <w:szCs w:val="18"/>
          <w:color w:val="0C0C0C"/>
        </w:rPr>
        <w:t xml:space="preserve"> </w:t>
      </w:r>
      <w:r>
        <w:rPr>
          <w:rFonts w:ascii="Arial" w:cs="Arial" w:eastAsia="Arial" w:hAnsi="Arial"/>
          <w:sz w:val="18"/>
          <w:szCs w:val="18"/>
          <w:color w:val="212121"/>
        </w:rPr>
        <w:t>or</w:t>
      </w:r>
      <w:r>
        <w:rPr>
          <w:rFonts w:ascii="Arial" w:cs="Arial" w:eastAsia="Arial" w:hAnsi="Arial"/>
          <w:sz w:val="18"/>
          <w:szCs w:val="18"/>
          <w:color w:val="0C0C0C"/>
        </w:rPr>
        <w:t xml:space="preserve"> of a </w:t>
      </w:r>
      <w:r>
        <w:rPr>
          <w:rFonts w:ascii="Arial" w:cs="Arial" w:eastAsia="Arial" w:hAnsi="Arial"/>
          <w:sz w:val="18"/>
          <w:szCs w:val="18"/>
          <w:color w:val="212121"/>
        </w:rPr>
        <w:t xml:space="preserve">violation </w:t>
      </w:r>
      <w:r>
        <w:rPr>
          <w:rFonts w:ascii="Arial" w:cs="Arial" w:eastAsia="Arial" w:hAnsi="Arial"/>
          <w:sz w:val="18"/>
          <w:szCs w:val="18"/>
          <w:color w:val="0C0C0C"/>
        </w:rPr>
        <w:t>of any applicable contract,</w:t>
      </w:r>
      <w:r>
        <w:rPr>
          <w:rFonts w:ascii="Arial" w:cs="Arial" w:eastAsia="Arial" w:hAnsi="Arial"/>
          <w:sz w:val="18"/>
          <w:szCs w:val="18"/>
          <w:color w:val="212121"/>
        </w:rPr>
        <w:t xml:space="preserve"> law, </w:t>
      </w:r>
      <w:r>
        <w:rPr>
          <w:rFonts w:ascii="Arial" w:cs="Arial" w:eastAsia="Arial" w:hAnsi="Arial"/>
          <w:sz w:val="18"/>
          <w:szCs w:val="18"/>
          <w:color w:val="0C0C0C"/>
        </w:rPr>
        <w:t>rule, regulation, or order of any kind. This Retirement Agreement contains the entire agreement</w:t>
      </w:r>
      <w:r>
        <w:rPr>
          <w:rFonts w:ascii="Arial" w:cs="Arial" w:eastAsia="Arial" w:hAnsi="Arial"/>
          <w:sz w:val="18"/>
          <w:szCs w:val="18"/>
          <w:color w:val="212121"/>
        </w:rPr>
        <w:t xml:space="preserve"> </w:t>
      </w:r>
      <w:r>
        <w:rPr>
          <w:rFonts w:ascii="Arial" w:cs="Arial" w:eastAsia="Arial" w:hAnsi="Arial"/>
          <w:sz w:val="18"/>
          <w:szCs w:val="18"/>
          <w:color w:val="0C0C0C"/>
        </w:rPr>
        <w:t>between the Company, other ABM Companies and you regarding your departure from the Company, except that all post-employment covenants contained in your Employment Agreement remain in full force and effect as modified by this Retirement Agreement. You agree and acknowledge that you are not entitled to any severance benefits under the Employment Agreement or any Company severance policy or any other Company plan, policy or agreement. This Retirement Agreement may not be altered, modified, waived or amended except by a written document signed by a duly authorized representative of the Company and you</w:t>
      </w:r>
      <w:r>
        <w:rPr>
          <w:rFonts w:ascii="Arial" w:cs="Arial" w:eastAsia="Arial" w:hAnsi="Arial"/>
          <w:sz w:val="18"/>
          <w:szCs w:val="18"/>
          <w:color w:val="313131"/>
        </w:rPr>
        <w:t>.</w:t>
      </w:r>
      <w:r>
        <w:rPr>
          <w:rFonts w:ascii="Arial" w:cs="Arial" w:eastAsia="Arial" w:hAnsi="Arial"/>
          <w:sz w:val="18"/>
          <w:szCs w:val="18"/>
          <w:color w:val="0C0C0C"/>
        </w:rPr>
        <w:t xml:space="preserve"> Except as otherwise provided, this Retirement Agreement will be interpreted and enforced in accordance wit</w:t>
      </w:r>
      <w:r>
        <w:rPr>
          <w:rFonts w:ascii="Arial" w:cs="Arial" w:eastAsia="Arial" w:hAnsi="Arial"/>
          <w:sz w:val="18"/>
          <w:szCs w:val="18"/>
          <w:color w:val="4D4D4D"/>
        </w:rPr>
        <w:t>h</w:t>
      </w:r>
      <w:r>
        <w:rPr>
          <w:rFonts w:ascii="Arial" w:cs="Arial" w:eastAsia="Arial" w:hAnsi="Arial"/>
          <w:sz w:val="18"/>
          <w:szCs w:val="18"/>
          <w:color w:val="0C0C0C"/>
        </w:rPr>
        <w:t xml:space="preserve"> the laws of </w:t>
      </w:r>
      <w:r>
        <w:rPr>
          <w:rFonts w:ascii="Arial" w:cs="Arial" w:eastAsia="Arial" w:hAnsi="Arial"/>
          <w:sz w:val="18"/>
          <w:szCs w:val="18"/>
          <w:color w:val="212121"/>
        </w:rPr>
        <w:t>Texas. The</w:t>
      </w:r>
      <w:r>
        <w:rPr>
          <w:rFonts w:ascii="Arial" w:cs="Arial" w:eastAsia="Arial" w:hAnsi="Arial"/>
          <w:sz w:val="18"/>
          <w:szCs w:val="18"/>
          <w:color w:val="0C0C0C"/>
        </w:rPr>
        <w:t xml:space="preserve"> headings </w:t>
      </w:r>
      <w:r>
        <w:rPr>
          <w:rFonts w:ascii="Arial" w:cs="Arial" w:eastAsia="Arial" w:hAnsi="Arial"/>
          <w:sz w:val="18"/>
          <w:szCs w:val="18"/>
          <w:color w:val="212121"/>
        </w:rPr>
        <w:t>in</w:t>
      </w:r>
      <w:r>
        <w:rPr>
          <w:rFonts w:ascii="Arial" w:cs="Arial" w:eastAsia="Arial" w:hAnsi="Arial"/>
          <w:sz w:val="18"/>
          <w:szCs w:val="18"/>
          <w:color w:val="0C0C0C"/>
        </w:rPr>
        <w:t xml:space="preserve"> this document are for reference only</w:t>
      </w:r>
      <w:r>
        <w:rPr>
          <w:rFonts w:ascii="Arial" w:cs="Arial" w:eastAsia="Arial" w:hAnsi="Arial"/>
          <w:sz w:val="18"/>
          <w:szCs w:val="18"/>
          <w:color w:val="313131"/>
        </w:rPr>
        <w:t>,</w:t>
      </w:r>
      <w:r>
        <w:rPr>
          <w:rFonts w:ascii="Arial" w:cs="Arial" w:eastAsia="Arial" w:hAnsi="Arial"/>
          <w:sz w:val="18"/>
          <w:szCs w:val="18"/>
          <w:color w:val="0C0C0C"/>
        </w:rPr>
        <w:t xml:space="preserve"> and </w:t>
      </w:r>
      <w:r>
        <w:rPr>
          <w:rFonts w:ascii="Arial" w:cs="Arial" w:eastAsia="Arial" w:hAnsi="Arial"/>
          <w:sz w:val="18"/>
          <w:szCs w:val="18"/>
          <w:color w:val="161616"/>
        </w:rPr>
        <w:t>shall not</w:t>
      </w:r>
      <w:r>
        <w:rPr>
          <w:rFonts w:ascii="Arial" w:cs="Arial" w:eastAsia="Arial" w:hAnsi="Arial"/>
          <w:sz w:val="18"/>
          <w:szCs w:val="18"/>
          <w:color w:val="0C0C0C"/>
        </w:rPr>
        <w:t xml:space="preserve"> </w:t>
      </w:r>
      <w:r>
        <w:rPr>
          <w:rFonts w:ascii="Arial" w:cs="Arial" w:eastAsia="Arial" w:hAnsi="Arial"/>
          <w:sz w:val="18"/>
          <w:szCs w:val="18"/>
          <w:color w:val="242424"/>
        </w:rPr>
        <w:t>in</w:t>
      </w:r>
      <w:r>
        <w:rPr>
          <w:rFonts w:ascii="Arial" w:cs="Arial" w:eastAsia="Arial" w:hAnsi="Arial"/>
          <w:sz w:val="18"/>
          <w:szCs w:val="18"/>
          <w:color w:val="0C0C0C"/>
        </w:rPr>
        <w:t xml:space="preserve"> </w:t>
      </w:r>
      <w:r>
        <w:rPr>
          <w:rFonts w:ascii="Arial" w:cs="Arial" w:eastAsia="Arial" w:hAnsi="Arial"/>
          <w:sz w:val="18"/>
          <w:szCs w:val="18"/>
          <w:color w:val="161616"/>
        </w:rPr>
        <w:t>any</w:t>
      </w:r>
      <w:r>
        <w:rPr>
          <w:rFonts w:ascii="Arial" w:cs="Arial" w:eastAsia="Arial" w:hAnsi="Arial"/>
          <w:sz w:val="18"/>
          <w:szCs w:val="18"/>
          <w:color w:val="0C0C0C"/>
        </w:rPr>
        <w:t xml:space="preserve"> </w:t>
      </w:r>
      <w:r>
        <w:rPr>
          <w:rFonts w:ascii="Arial" w:cs="Arial" w:eastAsia="Arial" w:hAnsi="Arial"/>
          <w:sz w:val="18"/>
          <w:szCs w:val="18"/>
          <w:color w:val="161616"/>
        </w:rPr>
        <w:t xml:space="preserve">way </w:t>
      </w:r>
      <w:r>
        <w:rPr>
          <w:rFonts w:ascii="Arial" w:cs="Arial" w:eastAsia="Arial" w:hAnsi="Arial"/>
          <w:sz w:val="18"/>
          <w:szCs w:val="18"/>
          <w:color w:val="242424"/>
        </w:rPr>
        <w:t>affect t</w:t>
      </w:r>
      <w:r>
        <w:rPr>
          <w:rFonts w:ascii="Arial" w:cs="Arial" w:eastAsia="Arial" w:hAnsi="Arial"/>
          <w:sz w:val="18"/>
          <w:szCs w:val="18"/>
          <w:color w:val="3F3F3F"/>
        </w:rPr>
        <w:t>h</w:t>
      </w:r>
      <w:r>
        <w:rPr>
          <w:rFonts w:ascii="Arial" w:cs="Arial" w:eastAsia="Arial" w:hAnsi="Arial"/>
          <w:sz w:val="18"/>
          <w:szCs w:val="18"/>
          <w:color w:val="161616"/>
        </w:rPr>
        <w:t xml:space="preserve">e </w:t>
      </w:r>
      <w:r>
        <w:rPr>
          <w:rFonts w:ascii="Arial" w:cs="Arial" w:eastAsia="Arial" w:hAnsi="Arial"/>
          <w:sz w:val="18"/>
          <w:szCs w:val="18"/>
          <w:color w:val="242424"/>
        </w:rPr>
        <w:t>meaning</w:t>
      </w:r>
      <w:r>
        <w:rPr>
          <w:rFonts w:ascii="Arial" w:cs="Arial" w:eastAsia="Arial" w:hAnsi="Arial"/>
          <w:sz w:val="18"/>
          <w:szCs w:val="18"/>
          <w:color w:val="161616"/>
        </w:rPr>
        <w:t xml:space="preserve"> or </w:t>
      </w:r>
      <w:r>
        <w:rPr>
          <w:rFonts w:ascii="Arial" w:cs="Arial" w:eastAsia="Arial" w:hAnsi="Arial"/>
          <w:sz w:val="18"/>
          <w:szCs w:val="18"/>
          <w:color w:val="242424"/>
        </w:rPr>
        <w:t>interpretation of this Retirement</w:t>
      </w:r>
      <w:r>
        <w:rPr>
          <w:rFonts w:ascii="Arial" w:cs="Arial" w:eastAsia="Arial" w:hAnsi="Arial"/>
          <w:sz w:val="18"/>
          <w:szCs w:val="18"/>
          <w:color w:val="161616"/>
        </w:rPr>
        <w:t xml:space="preserve"> Agreement. </w:t>
      </w:r>
      <w:r>
        <w:rPr>
          <w:rFonts w:ascii="Arial" w:cs="Arial" w:eastAsia="Arial" w:hAnsi="Arial"/>
          <w:sz w:val="18"/>
          <w:szCs w:val="18"/>
          <w:color w:val="242424"/>
        </w:rPr>
        <w:t>Nothing in th</w:t>
      </w:r>
      <w:r>
        <w:rPr>
          <w:rFonts w:ascii="Arial" w:cs="Arial" w:eastAsia="Arial" w:hAnsi="Arial"/>
          <w:sz w:val="18"/>
          <w:szCs w:val="18"/>
          <w:color w:val="3F3F3F"/>
        </w:rPr>
        <w:t>i</w:t>
      </w:r>
      <w:r>
        <w:rPr>
          <w:rFonts w:ascii="Arial" w:cs="Arial" w:eastAsia="Arial" w:hAnsi="Arial"/>
          <w:sz w:val="18"/>
          <w:szCs w:val="18"/>
          <w:color w:val="161616"/>
        </w:rPr>
        <w:t>s Ret</w:t>
      </w:r>
      <w:r>
        <w:rPr>
          <w:rFonts w:ascii="Arial" w:cs="Arial" w:eastAsia="Arial" w:hAnsi="Arial"/>
          <w:sz w:val="18"/>
          <w:szCs w:val="18"/>
          <w:color w:val="3F3F3F"/>
        </w:rPr>
        <w:t>i</w:t>
      </w:r>
      <w:r>
        <w:rPr>
          <w:rFonts w:ascii="Arial" w:cs="Arial" w:eastAsia="Arial" w:hAnsi="Arial"/>
          <w:sz w:val="18"/>
          <w:szCs w:val="18"/>
          <w:color w:val="242424"/>
        </w:rPr>
        <w:t>rement Agreement shall be bind</w:t>
      </w:r>
      <w:r>
        <w:rPr>
          <w:rFonts w:ascii="Arial" w:cs="Arial" w:eastAsia="Arial" w:hAnsi="Arial"/>
          <w:sz w:val="18"/>
          <w:szCs w:val="18"/>
          <w:color w:val="3F3F3F"/>
        </w:rPr>
        <w:t>i</w:t>
      </w:r>
      <w:r>
        <w:rPr>
          <w:rFonts w:ascii="Arial" w:cs="Arial" w:eastAsia="Arial" w:hAnsi="Arial"/>
          <w:sz w:val="18"/>
          <w:szCs w:val="18"/>
          <w:color w:val="242424"/>
        </w:rPr>
        <w:t>ng on the part</w:t>
      </w:r>
      <w:r>
        <w:rPr>
          <w:rFonts w:ascii="Arial" w:cs="Arial" w:eastAsia="Arial" w:hAnsi="Arial"/>
          <w:sz w:val="18"/>
          <w:szCs w:val="18"/>
          <w:color w:val="3F3F3F"/>
        </w:rPr>
        <w:t>i</w:t>
      </w:r>
      <w:r>
        <w:rPr>
          <w:rFonts w:ascii="Arial" w:cs="Arial" w:eastAsia="Arial" w:hAnsi="Arial"/>
          <w:sz w:val="18"/>
          <w:szCs w:val="18"/>
          <w:color w:val="242424"/>
        </w:rPr>
        <w:t>es</w:t>
      </w:r>
      <w:r>
        <w:rPr>
          <w:rFonts w:ascii="Arial" w:cs="Arial" w:eastAsia="Arial" w:hAnsi="Arial"/>
          <w:sz w:val="18"/>
          <w:szCs w:val="18"/>
          <w:color w:val="161616"/>
        </w:rPr>
        <w:t xml:space="preserve"> to </w:t>
      </w:r>
      <w:r>
        <w:rPr>
          <w:rFonts w:ascii="Arial" w:cs="Arial" w:eastAsia="Arial" w:hAnsi="Arial"/>
          <w:sz w:val="18"/>
          <w:szCs w:val="18"/>
          <w:color w:val="242424"/>
        </w:rPr>
        <w:t xml:space="preserve">the extent </w:t>
      </w:r>
      <w:r>
        <w:rPr>
          <w:rFonts w:ascii="Arial" w:cs="Arial" w:eastAsia="Arial" w:hAnsi="Arial"/>
          <w:sz w:val="18"/>
          <w:szCs w:val="18"/>
          <w:color w:val="3F3F3F"/>
        </w:rPr>
        <w:t>i</w:t>
      </w:r>
      <w:r>
        <w:rPr>
          <w:rFonts w:ascii="Arial" w:cs="Arial" w:eastAsia="Arial" w:hAnsi="Arial"/>
          <w:sz w:val="18"/>
          <w:szCs w:val="18"/>
          <w:color w:val="242424"/>
        </w:rPr>
        <w:t xml:space="preserve">t </w:t>
      </w:r>
      <w:r>
        <w:rPr>
          <w:rFonts w:ascii="Arial" w:cs="Arial" w:eastAsia="Arial" w:hAnsi="Arial"/>
          <w:sz w:val="18"/>
          <w:szCs w:val="18"/>
          <w:color w:val="3F3F3F"/>
        </w:rPr>
        <w:t>i</w:t>
      </w:r>
      <w:r>
        <w:rPr>
          <w:rFonts w:ascii="Arial" w:cs="Arial" w:eastAsia="Arial" w:hAnsi="Arial"/>
          <w:sz w:val="18"/>
          <w:szCs w:val="18"/>
          <w:color w:val="242424"/>
        </w:rPr>
        <w:t>s vo</w:t>
      </w:r>
      <w:r>
        <w:rPr>
          <w:rFonts w:ascii="Arial" w:cs="Arial" w:eastAsia="Arial" w:hAnsi="Arial"/>
          <w:sz w:val="18"/>
          <w:szCs w:val="18"/>
          <w:color w:val="3F3F3F"/>
        </w:rPr>
        <w:t>i</w:t>
      </w:r>
      <w:r>
        <w:rPr>
          <w:rFonts w:ascii="Arial" w:cs="Arial" w:eastAsia="Arial" w:hAnsi="Arial"/>
          <w:sz w:val="18"/>
          <w:szCs w:val="18"/>
          <w:color w:val="161616"/>
        </w:rPr>
        <w:t>d</w:t>
      </w:r>
      <w:r>
        <w:rPr>
          <w:rFonts w:ascii="Arial" w:cs="Arial" w:eastAsia="Arial" w:hAnsi="Arial"/>
          <w:sz w:val="18"/>
          <w:szCs w:val="18"/>
          <w:color w:val="242424"/>
        </w:rPr>
        <w:t xml:space="preserve"> or unenforceable</w:t>
      </w:r>
      <w:r>
        <w:rPr>
          <w:rFonts w:ascii="Arial" w:cs="Arial" w:eastAsia="Arial" w:hAnsi="Arial"/>
          <w:sz w:val="18"/>
          <w:szCs w:val="18"/>
          <w:color w:val="828282"/>
        </w:rPr>
        <w:t>.</w:t>
      </w:r>
      <w:r>
        <w:rPr>
          <w:rFonts w:ascii="Arial" w:cs="Arial" w:eastAsia="Arial" w:hAnsi="Arial"/>
          <w:sz w:val="18"/>
          <w:szCs w:val="18"/>
          <w:color w:val="242424"/>
        </w:rPr>
        <w:t xml:space="preserve"> The prov</w:t>
      </w:r>
      <w:r>
        <w:rPr>
          <w:rFonts w:ascii="Arial" w:cs="Arial" w:eastAsia="Arial" w:hAnsi="Arial"/>
          <w:sz w:val="18"/>
          <w:szCs w:val="18"/>
          <w:color w:val="3F3F3F"/>
        </w:rPr>
        <w:t>i</w:t>
      </w:r>
      <w:r>
        <w:rPr>
          <w:rFonts w:ascii="Arial" w:cs="Arial" w:eastAsia="Arial" w:hAnsi="Arial"/>
          <w:sz w:val="18"/>
          <w:szCs w:val="18"/>
          <w:color w:val="242424"/>
        </w:rPr>
        <w:t>s</w:t>
      </w:r>
      <w:r>
        <w:rPr>
          <w:rFonts w:ascii="Arial" w:cs="Arial" w:eastAsia="Arial" w:hAnsi="Arial"/>
          <w:sz w:val="18"/>
          <w:szCs w:val="18"/>
          <w:color w:val="3F3F3F"/>
        </w:rPr>
        <w:t>i</w:t>
      </w:r>
      <w:r>
        <w:rPr>
          <w:rFonts w:ascii="Arial" w:cs="Arial" w:eastAsia="Arial" w:hAnsi="Arial"/>
          <w:sz w:val="18"/>
          <w:szCs w:val="18"/>
          <w:color w:val="242424"/>
        </w:rPr>
        <w:t xml:space="preserve">ons of </w:t>
      </w:r>
      <w:r>
        <w:rPr>
          <w:rFonts w:ascii="Arial" w:cs="Arial" w:eastAsia="Arial" w:hAnsi="Arial"/>
          <w:sz w:val="18"/>
          <w:szCs w:val="18"/>
          <w:color w:val="3F3F3F"/>
        </w:rPr>
        <w:t>thi</w:t>
      </w:r>
      <w:r>
        <w:rPr>
          <w:rFonts w:ascii="Arial" w:cs="Arial" w:eastAsia="Arial" w:hAnsi="Arial"/>
          <w:sz w:val="18"/>
          <w:szCs w:val="18"/>
          <w:color w:val="242424"/>
        </w:rPr>
        <w:t>s Ret</w:t>
      </w:r>
      <w:r>
        <w:rPr>
          <w:rFonts w:ascii="Arial" w:cs="Arial" w:eastAsia="Arial" w:hAnsi="Arial"/>
          <w:sz w:val="18"/>
          <w:szCs w:val="18"/>
          <w:color w:val="3F3F3F"/>
        </w:rPr>
        <w:t>ir</w:t>
      </w:r>
      <w:r>
        <w:rPr>
          <w:rFonts w:ascii="Arial" w:cs="Arial" w:eastAsia="Arial" w:hAnsi="Arial"/>
          <w:sz w:val="18"/>
          <w:szCs w:val="18"/>
          <w:color w:val="242424"/>
        </w:rPr>
        <w:t>eme</w:t>
      </w:r>
      <w:r>
        <w:rPr>
          <w:rFonts w:ascii="Arial" w:cs="Arial" w:eastAsia="Arial" w:hAnsi="Arial"/>
          <w:sz w:val="18"/>
          <w:szCs w:val="18"/>
          <w:color w:val="3F3F3F"/>
        </w:rPr>
        <w:t>n</w:t>
      </w:r>
      <w:r>
        <w:rPr>
          <w:rFonts w:ascii="Arial" w:cs="Arial" w:eastAsia="Arial" w:hAnsi="Arial"/>
          <w:sz w:val="18"/>
          <w:szCs w:val="18"/>
          <w:color w:val="242424"/>
        </w:rPr>
        <w:t xml:space="preserve">t Agreement are </w:t>
      </w:r>
      <w:r>
        <w:rPr>
          <w:rFonts w:ascii="Arial" w:cs="Arial" w:eastAsia="Arial" w:hAnsi="Arial"/>
          <w:sz w:val="18"/>
          <w:szCs w:val="18"/>
          <w:color w:val="161616"/>
        </w:rPr>
        <w:t>severable</w:t>
      </w:r>
      <w:r>
        <w:rPr>
          <w:rFonts w:ascii="Arial" w:cs="Arial" w:eastAsia="Arial" w:hAnsi="Arial"/>
          <w:sz w:val="18"/>
          <w:szCs w:val="18"/>
          <w:color w:val="6B6B6B"/>
        </w:rPr>
        <w:t>.</w:t>
      </w:r>
      <w:r>
        <w:rPr>
          <w:rFonts w:ascii="Arial" w:cs="Arial" w:eastAsia="Arial" w:hAnsi="Arial"/>
          <w:sz w:val="18"/>
          <w:szCs w:val="18"/>
          <w:color w:val="242424"/>
        </w:rPr>
        <w:t xml:space="preserve"> If </w:t>
      </w:r>
      <w:r>
        <w:rPr>
          <w:rFonts w:ascii="Arial" w:cs="Arial" w:eastAsia="Arial" w:hAnsi="Arial"/>
          <w:sz w:val="18"/>
          <w:szCs w:val="18"/>
          <w:color w:val="161616"/>
        </w:rPr>
        <w:t>any</w:t>
      </w:r>
      <w:r>
        <w:rPr>
          <w:rFonts w:ascii="Arial" w:cs="Arial" w:eastAsia="Arial" w:hAnsi="Arial"/>
          <w:sz w:val="18"/>
          <w:szCs w:val="18"/>
          <w:color w:val="242424"/>
        </w:rPr>
        <w:t xml:space="preserve"> p</w:t>
      </w:r>
      <w:r>
        <w:rPr>
          <w:rFonts w:ascii="Arial" w:cs="Arial" w:eastAsia="Arial" w:hAnsi="Arial"/>
          <w:sz w:val="18"/>
          <w:szCs w:val="18"/>
          <w:color w:val="3F3F3F"/>
        </w:rPr>
        <w:t>r</w:t>
      </w:r>
      <w:r>
        <w:rPr>
          <w:rFonts w:ascii="Arial" w:cs="Arial" w:eastAsia="Arial" w:hAnsi="Arial"/>
          <w:sz w:val="18"/>
          <w:szCs w:val="18"/>
          <w:color w:val="242424"/>
        </w:rPr>
        <w:t xml:space="preserve">ovision </w:t>
      </w:r>
      <w:r>
        <w:rPr>
          <w:rFonts w:ascii="Arial" w:cs="Arial" w:eastAsia="Arial" w:hAnsi="Arial"/>
          <w:sz w:val="18"/>
          <w:szCs w:val="18"/>
          <w:color w:val="161616"/>
        </w:rPr>
        <w:t>of</w:t>
      </w:r>
      <w:r>
        <w:rPr>
          <w:rFonts w:ascii="Arial" w:cs="Arial" w:eastAsia="Arial" w:hAnsi="Arial"/>
          <w:sz w:val="18"/>
          <w:szCs w:val="18"/>
          <w:color w:val="242424"/>
        </w:rPr>
        <w:t xml:space="preserve"> this Retirement Agreement is ruled unen</w:t>
      </w:r>
      <w:r>
        <w:rPr>
          <w:rFonts w:ascii="Arial" w:cs="Arial" w:eastAsia="Arial" w:hAnsi="Arial"/>
          <w:sz w:val="18"/>
          <w:szCs w:val="18"/>
          <w:color w:val="3F3F3F"/>
        </w:rPr>
        <w:t>f</w:t>
      </w:r>
      <w:r>
        <w:rPr>
          <w:rFonts w:ascii="Arial" w:cs="Arial" w:eastAsia="Arial" w:hAnsi="Arial"/>
          <w:sz w:val="18"/>
          <w:szCs w:val="18"/>
          <w:color w:val="242424"/>
        </w:rPr>
        <w:t xml:space="preserve">orceable or </w:t>
      </w:r>
      <w:r>
        <w:rPr>
          <w:rFonts w:ascii="Arial" w:cs="Arial" w:eastAsia="Arial" w:hAnsi="Arial"/>
          <w:sz w:val="18"/>
          <w:szCs w:val="18"/>
          <w:color w:val="3F3F3F"/>
        </w:rPr>
        <w:t>i</w:t>
      </w:r>
      <w:r>
        <w:rPr>
          <w:rFonts w:ascii="Arial" w:cs="Arial" w:eastAsia="Arial" w:hAnsi="Arial"/>
          <w:sz w:val="18"/>
          <w:szCs w:val="18"/>
          <w:color w:val="242424"/>
        </w:rPr>
        <w:t>nval</w:t>
      </w:r>
      <w:r>
        <w:rPr>
          <w:rFonts w:ascii="Arial" w:cs="Arial" w:eastAsia="Arial" w:hAnsi="Arial"/>
          <w:sz w:val="18"/>
          <w:szCs w:val="18"/>
          <w:color w:val="3F3F3F"/>
        </w:rPr>
        <w:t>i</w:t>
      </w:r>
      <w:r>
        <w:rPr>
          <w:rFonts w:ascii="Arial" w:cs="Arial" w:eastAsia="Arial" w:hAnsi="Arial"/>
          <w:sz w:val="18"/>
          <w:szCs w:val="18"/>
          <w:color w:val="242424"/>
        </w:rPr>
        <w:t>d</w:t>
      </w:r>
      <w:r>
        <w:rPr>
          <w:rFonts w:ascii="Arial" w:cs="Arial" w:eastAsia="Arial" w:hAnsi="Arial"/>
          <w:sz w:val="18"/>
          <w:szCs w:val="18"/>
          <w:color w:val="3F3F3F"/>
        </w:rPr>
        <w:t>,</w:t>
      </w:r>
      <w:r>
        <w:rPr>
          <w:rFonts w:ascii="Arial" w:cs="Arial" w:eastAsia="Arial" w:hAnsi="Arial"/>
          <w:sz w:val="18"/>
          <w:szCs w:val="18"/>
          <w:color w:val="242424"/>
        </w:rPr>
        <w:t xml:space="preserve"> such ru</w:t>
      </w:r>
      <w:r>
        <w:rPr>
          <w:rFonts w:ascii="Arial" w:cs="Arial" w:eastAsia="Arial" w:hAnsi="Arial"/>
          <w:sz w:val="18"/>
          <w:szCs w:val="18"/>
          <w:color w:val="3F3F3F"/>
        </w:rPr>
        <w:t>li</w:t>
      </w:r>
      <w:r>
        <w:rPr>
          <w:rFonts w:ascii="Arial" w:cs="Arial" w:eastAsia="Arial" w:hAnsi="Arial"/>
          <w:sz w:val="18"/>
          <w:szCs w:val="18"/>
          <w:color w:val="242424"/>
        </w:rPr>
        <w:t xml:space="preserve">ng </w:t>
      </w:r>
      <w:r>
        <w:rPr>
          <w:rFonts w:ascii="Arial" w:cs="Arial" w:eastAsia="Arial" w:hAnsi="Arial"/>
          <w:sz w:val="18"/>
          <w:szCs w:val="18"/>
          <w:color w:val="161616"/>
        </w:rPr>
        <w:t>shall</w:t>
      </w:r>
      <w:r>
        <w:rPr>
          <w:rFonts w:ascii="Arial" w:cs="Arial" w:eastAsia="Arial" w:hAnsi="Arial"/>
          <w:sz w:val="18"/>
          <w:szCs w:val="18"/>
          <w:color w:val="242424"/>
        </w:rPr>
        <w:t xml:space="preserve"> not affect the enforceabi</w:t>
      </w:r>
      <w:r>
        <w:rPr>
          <w:rFonts w:ascii="Arial" w:cs="Arial" w:eastAsia="Arial" w:hAnsi="Arial"/>
          <w:sz w:val="18"/>
          <w:szCs w:val="18"/>
          <w:color w:val="3F3F3F"/>
        </w:rPr>
        <w:t>l</w:t>
      </w:r>
      <w:r>
        <w:rPr>
          <w:rFonts w:ascii="Arial" w:cs="Arial" w:eastAsia="Arial" w:hAnsi="Arial"/>
          <w:sz w:val="18"/>
          <w:szCs w:val="18"/>
          <w:color w:val="242424"/>
        </w:rPr>
        <w:t>ity or val</w:t>
      </w:r>
      <w:r>
        <w:rPr>
          <w:rFonts w:ascii="Arial" w:cs="Arial" w:eastAsia="Arial" w:hAnsi="Arial"/>
          <w:sz w:val="18"/>
          <w:szCs w:val="18"/>
          <w:color w:val="3F3F3F"/>
        </w:rPr>
        <w:t>i</w:t>
      </w:r>
      <w:r>
        <w:rPr>
          <w:rFonts w:ascii="Arial" w:cs="Arial" w:eastAsia="Arial" w:hAnsi="Arial"/>
          <w:sz w:val="18"/>
          <w:szCs w:val="18"/>
          <w:color w:val="242424"/>
        </w:rPr>
        <w:t>dity of other provis</w:t>
      </w:r>
      <w:r>
        <w:rPr>
          <w:rFonts w:ascii="Arial" w:cs="Arial" w:eastAsia="Arial" w:hAnsi="Arial"/>
          <w:sz w:val="18"/>
          <w:szCs w:val="18"/>
          <w:color w:val="3F3F3F"/>
        </w:rPr>
        <w:t>i</w:t>
      </w:r>
      <w:r>
        <w:rPr>
          <w:rFonts w:ascii="Arial" w:cs="Arial" w:eastAsia="Arial" w:hAnsi="Arial"/>
          <w:sz w:val="18"/>
          <w:szCs w:val="18"/>
          <w:color w:val="242424"/>
        </w:rPr>
        <w:t>ons of th</w:t>
      </w:r>
      <w:r>
        <w:rPr>
          <w:rFonts w:ascii="Arial" w:cs="Arial" w:eastAsia="Arial" w:hAnsi="Arial"/>
          <w:sz w:val="18"/>
          <w:szCs w:val="18"/>
          <w:color w:val="3F3F3F"/>
        </w:rPr>
        <w:t>i</w:t>
      </w:r>
      <w:r>
        <w:rPr>
          <w:rFonts w:ascii="Arial" w:cs="Arial" w:eastAsia="Arial" w:hAnsi="Arial"/>
          <w:sz w:val="18"/>
          <w:szCs w:val="18"/>
          <w:color w:val="242424"/>
        </w:rPr>
        <w:t>s Ret</w:t>
      </w:r>
      <w:r>
        <w:rPr>
          <w:rFonts w:ascii="Arial" w:cs="Arial" w:eastAsia="Arial" w:hAnsi="Arial"/>
          <w:sz w:val="18"/>
          <w:szCs w:val="18"/>
          <w:color w:val="3F3F3F"/>
        </w:rPr>
        <w:t>i</w:t>
      </w:r>
      <w:r>
        <w:rPr>
          <w:rFonts w:ascii="Arial" w:cs="Arial" w:eastAsia="Arial" w:hAnsi="Arial"/>
          <w:sz w:val="18"/>
          <w:szCs w:val="18"/>
          <w:color w:val="242424"/>
        </w:rPr>
        <w:t>rement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42424"/>
        </w:rPr>
        <w:t>S</w:t>
      </w:r>
      <w:r>
        <w:rPr>
          <w:rFonts w:ascii="Arial" w:cs="Arial" w:eastAsia="Arial" w:hAnsi="Arial"/>
          <w:sz w:val="18"/>
          <w:szCs w:val="18"/>
          <w:color w:val="3F3F3F"/>
        </w:rPr>
        <w:t>i</w:t>
      </w:r>
      <w:r>
        <w:rPr>
          <w:rFonts w:ascii="Arial" w:cs="Arial" w:eastAsia="Arial" w:hAnsi="Arial"/>
          <w:sz w:val="18"/>
          <w:szCs w:val="18"/>
          <w:color w:val="242424"/>
        </w:rPr>
        <w:t>ncerely</w:t>
      </w:r>
      <w:r>
        <w:rPr>
          <w:rFonts w:ascii="Arial" w:cs="Arial" w:eastAsia="Arial" w:hAnsi="Arial"/>
          <w:sz w:val="18"/>
          <w:szCs w:val="18"/>
          <w:color w:val="3F3F3F"/>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w w:val="99"/>
              </w:rPr>
              <w:t>/s/ David R. Goodes</w:t>
            </w:r>
          </w:p>
        </w:tc>
        <w:tc>
          <w:tcPr>
            <w:tcW w:w="940" w:type="dxa"/>
            <w:vAlign w:val="bottom"/>
          </w:tcPr>
          <w:p>
            <w:pPr>
              <w:spacing w:after="0"/>
              <w:rPr>
                <w:sz w:val="18"/>
                <w:szCs w:val="18"/>
                <w:color w:val="auto"/>
              </w:rPr>
            </w:pPr>
          </w:p>
        </w:tc>
        <w:tc>
          <w:tcPr>
            <w:tcW w:w="1980" w:type="dxa"/>
            <w:vAlign w:val="bottom"/>
            <w:gridSpan w:val="2"/>
          </w:tcPr>
          <w:p>
            <w:pPr>
              <w:ind w:left="460"/>
              <w:spacing w:after="0"/>
              <w:rPr>
                <w:sz w:val="20"/>
                <w:szCs w:val="20"/>
                <w:color w:val="auto"/>
              </w:rPr>
            </w:pPr>
            <w:r>
              <w:rPr>
                <w:rFonts w:ascii="Arial" w:cs="Arial" w:eastAsia="Arial" w:hAnsi="Arial"/>
                <w:sz w:val="18"/>
                <w:szCs w:val="18"/>
                <w:color w:val="auto"/>
                <w:w w:val="97"/>
              </w:rPr>
              <w:t>September 5, 2017</w:t>
            </w:r>
          </w:p>
        </w:tc>
      </w:tr>
      <w:tr>
        <w:trPr>
          <w:trHeight w:val="20"/>
        </w:trPr>
        <w:tc>
          <w:tcPr>
            <w:tcW w:w="1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37"/>
        </w:trPr>
        <w:tc>
          <w:tcPr>
            <w:tcW w:w="2560" w:type="dxa"/>
            <w:vAlign w:val="bottom"/>
            <w:gridSpan w:val="2"/>
          </w:tcPr>
          <w:p>
            <w:pPr>
              <w:spacing w:after="0"/>
              <w:rPr>
                <w:sz w:val="20"/>
                <w:szCs w:val="20"/>
                <w:color w:val="auto"/>
              </w:rPr>
            </w:pPr>
            <w:r>
              <w:rPr>
                <w:rFonts w:ascii="Arial" w:cs="Arial" w:eastAsia="Arial" w:hAnsi="Arial"/>
                <w:sz w:val="18"/>
                <w:szCs w:val="18"/>
                <w:color w:val="auto"/>
              </w:rPr>
              <w:t>On behalf of the Company</w:t>
            </w:r>
          </w:p>
        </w:tc>
        <w:tc>
          <w:tcPr>
            <w:tcW w:w="460" w:type="dxa"/>
            <w:vAlign w:val="bottom"/>
          </w:tcPr>
          <w:p>
            <w:pPr>
              <w:spacing w:after="0"/>
              <w:rPr>
                <w:sz w:val="20"/>
                <w:szCs w:val="20"/>
                <w:color w:val="auto"/>
              </w:rPr>
            </w:pPr>
          </w:p>
        </w:tc>
        <w:tc>
          <w:tcPr>
            <w:tcW w:w="1520" w:type="dxa"/>
            <w:vAlign w:val="bottom"/>
          </w:tcPr>
          <w:p>
            <w:pPr>
              <w:ind w:left="2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do hereby acknowledge and accept the terms of, and agree to, this Retirement and Release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w w:val="98"/>
              </w:rPr>
              <w:t>/s/ James P. McClure</w:t>
            </w:r>
          </w:p>
        </w:tc>
        <w:tc>
          <w:tcPr>
            <w:tcW w:w="580" w:type="dxa"/>
            <w:vAlign w:val="bottom"/>
          </w:tcPr>
          <w:p>
            <w:pPr>
              <w:spacing w:after="0"/>
              <w:rPr>
                <w:sz w:val="18"/>
                <w:szCs w:val="18"/>
                <w:color w:val="auto"/>
              </w:rPr>
            </w:pPr>
          </w:p>
        </w:tc>
        <w:tc>
          <w:tcPr>
            <w:tcW w:w="2340" w:type="dxa"/>
            <w:vAlign w:val="bottom"/>
            <w:gridSpan w:val="2"/>
          </w:tcPr>
          <w:p>
            <w:pPr>
              <w:ind w:left="820"/>
              <w:spacing w:after="0"/>
              <w:rPr>
                <w:sz w:val="20"/>
                <w:szCs w:val="20"/>
                <w:color w:val="auto"/>
              </w:rPr>
            </w:pPr>
            <w:r>
              <w:rPr>
                <w:rFonts w:ascii="Arial" w:cs="Arial" w:eastAsia="Arial" w:hAnsi="Arial"/>
                <w:sz w:val="18"/>
                <w:szCs w:val="18"/>
                <w:color w:val="auto"/>
                <w:w w:val="97"/>
              </w:rPr>
              <w:t>September 5, 2017</w:t>
            </w:r>
          </w:p>
        </w:tc>
      </w:tr>
      <w:tr>
        <w:trPr>
          <w:trHeight w:val="20"/>
        </w:trPr>
        <w:tc>
          <w:tcPr>
            <w:tcW w:w="1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James P. McClure</w:t>
            </w:r>
          </w:p>
        </w:tc>
        <w:tc>
          <w:tcPr>
            <w:tcW w:w="580" w:type="dxa"/>
            <w:vAlign w:val="bottom"/>
          </w:tcPr>
          <w:p>
            <w:pPr>
              <w:spacing w:after="0"/>
              <w:rPr>
                <w:sz w:val="20"/>
                <w:szCs w:val="20"/>
                <w:color w:val="auto"/>
              </w:rPr>
            </w:pPr>
          </w:p>
        </w:tc>
        <w:tc>
          <w:tcPr>
            <w:tcW w:w="2340" w:type="dxa"/>
            <w:vAlign w:val="bottom"/>
            <w:gridSpan w:val="2"/>
          </w:tcPr>
          <w:p>
            <w:pPr>
              <w:ind w:left="58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598"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0E0E0E"/>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E0E0E"/>
        </w:rPr>
        <w:t>Form of Final Release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0E0E0E"/>
        </w:rPr>
        <w:t xml:space="preserve">I have been provided with the opportunity to sign this Release (this </w:t>
      </w:r>
      <w:r>
        <w:rPr>
          <w:rFonts w:ascii="Arial" w:cs="Arial" w:eastAsia="Arial" w:hAnsi="Arial"/>
          <w:sz w:val="18"/>
          <w:szCs w:val="18"/>
          <w:color w:val="212121"/>
        </w:rPr>
        <w:t>“Release”)</w:t>
      </w:r>
      <w:r>
        <w:rPr>
          <w:rFonts w:ascii="Arial" w:cs="Arial" w:eastAsia="Arial" w:hAnsi="Arial"/>
          <w:sz w:val="18"/>
          <w:szCs w:val="18"/>
          <w:color w:val="0E0E0E"/>
        </w:rPr>
        <w:t xml:space="preserve"> by ABM Industries Incorporated (“Company” or </w:t>
      </w:r>
      <w:r>
        <w:rPr>
          <w:rFonts w:ascii="Arial" w:cs="Arial" w:eastAsia="Arial" w:hAnsi="Arial"/>
          <w:sz w:val="18"/>
          <w:szCs w:val="18"/>
          <w:color w:val="212121"/>
        </w:rPr>
        <w:t>“ABM”),</w:t>
      </w:r>
      <w:r>
        <w:rPr>
          <w:rFonts w:ascii="Arial" w:cs="Arial" w:eastAsia="Arial" w:hAnsi="Arial"/>
          <w:sz w:val="18"/>
          <w:szCs w:val="18"/>
          <w:color w:val="0E0E0E"/>
        </w:rPr>
        <w:t xml:space="preserve"> as a part</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E0E0E"/>
        </w:rPr>
        <w:t xml:space="preserve">of and pursuant to my Retirement and Release Agreement (the “Retirement Agreement”) dated , 2017 with ABM, </w:t>
      </w:r>
      <w:r>
        <w:rPr>
          <w:rFonts w:ascii="Arial" w:cs="Arial" w:eastAsia="Arial" w:hAnsi="Arial"/>
          <w:sz w:val="18"/>
          <w:szCs w:val="18"/>
          <w:color w:val="212121"/>
        </w:rPr>
        <w:t>in</w:t>
      </w:r>
      <w:r>
        <w:rPr>
          <w:rFonts w:ascii="Arial" w:cs="Arial" w:eastAsia="Arial" w:hAnsi="Arial"/>
          <w:sz w:val="18"/>
          <w:szCs w:val="18"/>
          <w:color w:val="0E0E0E"/>
        </w:rPr>
        <w:t xml:space="preserve"> order to receive the Separation Benefits (as defined </w:t>
      </w:r>
      <w:r>
        <w:rPr>
          <w:rFonts w:ascii="Arial" w:cs="Arial" w:eastAsia="Arial" w:hAnsi="Arial"/>
          <w:sz w:val="18"/>
          <w:szCs w:val="18"/>
          <w:color w:val="212121"/>
        </w:rPr>
        <w:t>in</w:t>
      </w:r>
      <w:r>
        <w:rPr>
          <w:rFonts w:ascii="Arial" w:cs="Arial" w:eastAsia="Arial" w:hAnsi="Arial"/>
          <w:sz w:val="18"/>
          <w:szCs w:val="18"/>
          <w:color w:val="0E0E0E"/>
        </w:rPr>
        <w:t xml:space="preserve"> the Retirement Agreement). Terms used but not defined herein shall have the meaning g</w:t>
      </w:r>
      <w:r>
        <w:rPr>
          <w:rFonts w:ascii="Arial" w:cs="Arial" w:eastAsia="Arial" w:hAnsi="Arial"/>
          <w:sz w:val="18"/>
          <w:szCs w:val="18"/>
          <w:color w:val="343434"/>
        </w:rPr>
        <w:t>i</w:t>
      </w:r>
      <w:r>
        <w:rPr>
          <w:rFonts w:ascii="Arial" w:cs="Arial" w:eastAsia="Arial" w:hAnsi="Arial"/>
          <w:sz w:val="18"/>
          <w:szCs w:val="18"/>
          <w:color w:val="0E0E0E"/>
        </w:rPr>
        <w:t xml:space="preserve">ven </w:t>
      </w:r>
      <w:r>
        <w:rPr>
          <w:rFonts w:ascii="Arial" w:cs="Arial" w:eastAsia="Arial" w:hAnsi="Arial"/>
          <w:sz w:val="18"/>
          <w:szCs w:val="18"/>
          <w:color w:val="212121"/>
        </w:rPr>
        <w:t>in</w:t>
      </w:r>
      <w:r>
        <w:rPr>
          <w:rFonts w:ascii="Arial" w:cs="Arial" w:eastAsia="Arial" w:hAnsi="Arial"/>
          <w:sz w:val="18"/>
          <w:szCs w:val="18"/>
          <w:color w:val="0E0E0E"/>
        </w:rPr>
        <w:t xml:space="preserve"> the Retirement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4959350</wp:posOffset>
            </wp:positionH>
            <wp:positionV relativeFrom="paragraph">
              <wp:posOffset>-307975</wp:posOffset>
            </wp:positionV>
            <wp:extent cx="2012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20129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E0E0E"/>
        </w:rPr>
        <w:t>I hereby agree as follows:</w:t>
      </w:r>
    </w:p>
    <w:p>
      <w:pPr>
        <w:spacing w:after="0" w:line="225"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0E0E0E"/>
        </w:rPr>
        <w:t>STATUS OF EMPLOYMENT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E0E0E"/>
        </w:rPr>
        <w:t xml:space="preserve">My employment with the Company ended November 1, 2017 (“Retirement Date”). I acknowledge (a) receipt of all compensation and benefits due through the date I sign this Release as a result of services performed for the Company (other than the Separation Benefits); and (b) I have reported to the Company any and all work-related </w:t>
      </w:r>
      <w:r>
        <w:rPr>
          <w:rFonts w:ascii="Arial" w:cs="Arial" w:eastAsia="Arial" w:hAnsi="Arial"/>
          <w:sz w:val="18"/>
          <w:szCs w:val="18"/>
          <w:color w:val="212121"/>
        </w:rPr>
        <w:t>injuries</w:t>
      </w:r>
      <w:r>
        <w:rPr>
          <w:rFonts w:ascii="Arial" w:cs="Arial" w:eastAsia="Arial" w:hAnsi="Arial"/>
          <w:sz w:val="18"/>
          <w:szCs w:val="18"/>
          <w:color w:val="0E0E0E"/>
        </w:rPr>
        <w:t xml:space="preserve"> incurred during employment.</w:t>
      </w:r>
    </w:p>
    <w:p>
      <w:pPr>
        <w:spacing w:after="0" w:line="202"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0E0E0E"/>
        </w:rPr>
        <w:t>WAIVER AND RELEASE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E0E0E"/>
        </w:rPr>
        <w:t>In exchange for the Separation Benefits, I release and forever discharge ABM Industries Incorporated, and its past</w:t>
      </w:r>
      <w:r>
        <w:rPr>
          <w:rFonts w:ascii="Arial" w:cs="Arial" w:eastAsia="Arial" w:hAnsi="Arial"/>
          <w:sz w:val="18"/>
          <w:szCs w:val="18"/>
          <w:color w:val="343434"/>
        </w:rPr>
        <w:t>,</w:t>
      </w:r>
      <w:r>
        <w:rPr>
          <w:rFonts w:ascii="Arial" w:cs="Arial" w:eastAsia="Arial" w:hAnsi="Arial"/>
          <w:sz w:val="18"/>
          <w:szCs w:val="18"/>
          <w:color w:val="0E0E0E"/>
        </w:rPr>
        <w:t xml:space="preserve"> present or future subsidiaries, affiliates, related persons or entities, </w:t>
      </w:r>
      <w:r>
        <w:rPr>
          <w:rFonts w:ascii="Arial" w:cs="Arial" w:eastAsia="Arial" w:hAnsi="Arial"/>
          <w:sz w:val="18"/>
          <w:szCs w:val="18"/>
          <w:color w:val="212121"/>
        </w:rPr>
        <w:t>including</w:t>
      </w:r>
      <w:r>
        <w:rPr>
          <w:rFonts w:ascii="Arial" w:cs="Arial" w:eastAsia="Arial" w:hAnsi="Arial"/>
          <w:sz w:val="18"/>
          <w:szCs w:val="18"/>
          <w:color w:val="0E0E0E"/>
        </w:rPr>
        <w:t xml:space="preserve"> but not limited to its officers, directors, managers, employees, shareholders, agents, attorneys</w:t>
      </w:r>
      <w:r>
        <w:rPr>
          <w:rFonts w:ascii="Arial" w:cs="Arial" w:eastAsia="Arial" w:hAnsi="Arial"/>
          <w:sz w:val="18"/>
          <w:szCs w:val="18"/>
          <w:color w:val="343434"/>
        </w:rPr>
        <w:t>,</w:t>
      </w:r>
      <w:r>
        <w:rPr>
          <w:rFonts w:ascii="Arial" w:cs="Arial" w:eastAsia="Arial" w:hAnsi="Arial"/>
          <w:sz w:val="18"/>
          <w:szCs w:val="18"/>
          <w:color w:val="0E0E0E"/>
        </w:rPr>
        <w:t xml:space="preserve"> successors and assigns (collectively the </w:t>
      </w:r>
      <w:r>
        <w:rPr>
          <w:rFonts w:ascii="Arial" w:cs="Arial" w:eastAsia="Arial" w:hAnsi="Arial"/>
          <w:sz w:val="18"/>
          <w:szCs w:val="18"/>
          <w:color w:val="343434"/>
        </w:rPr>
        <w:t>“</w:t>
      </w:r>
      <w:r>
        <w:rPr>
          <w:rFonts w:ascii="Arial" w:cs="Arial" w:eastAsia="Arial" w:hAnsi="Arial"/>
          <w:sz w:val="18"/>
          <w:szCs w:val="18"/>
          <w:color w:val="0E0E0E"/>
        </w:rPr>
        <w:t>Released Parties”), from any and all actions</w:t>
      </w:r>
      <w:r>
        <w:rPr>
          <w:rFonts w:ascii="Arial" w:cs="Arial" w:eastAsia="Arial" w:hAnsi="Arial"/>
          <w:sz w:val="18"/>
          <w:szCs w:val="18"/>
          <w:color w:val="343434"/>
        </w:rPr>
        <w:t>,</w:t>
      </w:r>
      <w:r>
        <w:rPr>
          <w:rFonts w:ascii="Arial" w:cs="Arial" w:eastAsia="Arial" w:hAnsi="Arial"/>
          <w:sz w:val="18"/>
          <w:szCs w:val="18"/>
          <w:color w:val="0E0E0E"/>
        </w:rPr>
        <w:t xml:space="preserve"> claims, demands and damages</w:t>
      </w:r>
      <w:r>
        <w:rPr>
          <w:rFonts w:ascii="Arial" w:cs="Arial" w:eastAsia="Arial" w:hAnsi="Arial"/>
          <w:sz w:val="18"/>
          <w:szCs w:val="18"/>
          <w:color w:val="343434"/>
        </w:rPr>
        <w:t>,</w:t>
      </w:r>
      <w:r>
        <w:rPr>
          <w:rFonts w:ascii="Arial" w:cs="Arial" w:eastAsia="Arial" w:hAnsi="Arial"/>
          <w:sz w:val="18"/>
          <w:szCs w:val="18"/>
          <w:color w:val="0E0E0E"/>
        </w:rPr>
        <w:t xml:space="preserve"> whether actual or potential, known or unknown, and specifically but not exclusively, which I may have or claim to have against the Company as of the date I sign this Release including, without limitation, any and all claims related or in any manner </w:t>
      </w:r>
      <w:r>
        <w:rPr>
          <w:rFonts w:ascii="Arial" w:cs="Arial" w:eastAsia="Arial" w:hAnsi="Arial"/>
          <w:sz w:val="18"/>
          <w:szCs w:val="18"/>
          <w:color w:val="212121"/>
        </w:rPr>
        <w:t>incidental</w:t>
      </w:r>
      <w:r>
        <w:rPr>
          <w:rFonts w:ascii="Arial" w:cs="Arial" w:eastAsia="Arial" w:hAnsi="Arial"/>
          <w:sz w:val="18"/>
          <w:szCs w:val="18"/>
          <w:color w:val="0E0E0E"/>
        </w:rPr>
        <w:t xml:space="preserve"> to my employment w</w:t>
      </w:r>
      <w:r>
        <w:rPr>
          <w:rFonts w:ascii="Arial" w:cs="Arial" w:eastAsia="Arial" w:hAnsi="Arial"/>
          <w:sz w:val="18"/>
          <w:szCs w:val="18"/>
          <w:color w:val="424242"/>
        </w:rPr>
        <w:t>i</w:t>
      </w:r>
      <w:r>
        <w:rPr>
          <w:rFonts w:ascii="Arial" w:cs="Arial" w:eastAsia="Arial" w:hAnsi="Arial"/>
          <w:sz w:val="18"/>
          <w:szCs w:val="18"/>
          <w:color w:val="0E0E0E"/>
        </w:rPr>
        <w:t>th the Company or termination of that employment relationship (“Claims”) which I or my heirs, successors</w:t>
      </w:r>
      <w:r>
        <w:rPr>
          <w:rFonts w:ascii="Arial" w:cs="Arial" w:eastAsia="Arial" w:hAnsi="Arial"/>
          <w:sz w:val="18"/>
          <w:szCs w:val="18"/>
          <w:color w:val="343434"/>
        </w:rPr>
        <w:t>,</w:t>
      </w:r>
      <w:r>
        <w:rPr>
          <w:rFonts w:ascii="Arial" w:cs="Arial" w:eastAsia="Arial" w:hAnsi="Arial"/>
          <w:sz w:val="18"/>
          <w:szCs w:val="18"/>
          <w:color w:val="0E0E0E"/>
        </w:rPr>
        <w:t xml:space="preserve"> executors, or other representatives may have. All such Claims are forever barred by this Release regardless of the forum </w:t>
      </w:r>
      <w:r>
        <w:rPr>
          <w:rFonts w:ascii="Arial" w:cs="Arial" w:eastAsia="Arial" w:hAnsi="Arial"/>
          <w:sz w:val="18"/>
          <w:szCs w:val="18"/>
          <w:color w:val="212121"/>
        </w:rPr>
        <w:t>in</w:t>
      </w:r>
      <w:r>
        <w:rPr>
          <w:rFonts w:ascii="Arial" w:cs="Arial" w:eastAsia="Arial" w:hAnsi="Arial"/>
          <w:sz w:val="18"/>
          <w:szCs w:val="18"/>
          <w:color w:val="0E0E0E"/>
        </w:rPr>
        <w:t xml:space="preserve"> which such Claims might be brought, </w:t>
      </w:r>
      <w:r>
        <w:rPr>
          <w:rFonts w:ascii="Arial" w:cs="Arial" w:eastAsia="Arial" w:hAnsi="Arial"/>
          <w:sz w:val="18"/>
          <w:szCs w:val="18"/>
          <w:color w:val="212121"/>
        </w:rPr>
        <w:t>including,</w:t>
      </w:r>
      <w:r>
        <w:rPr>
          <w:rFonts w:ascii="Arial" w:cs="Arial" w:eastAsia="Arial" w:hAnsi="Arial"/>
          <w:sz w:val="18"/>
          <w:szCs w:val="18"/>
          <w:color w:val="0E0E0E"/>
        </w:rPr>
        <w:t xml:space="preserve"> but not limited to, Claims (a) under any federal, state or local </w:t>
      </w:r>
      <w:r>
        <w:rPr>
          <w:rFonts w:ascii="Arial" w:cs="Arial" w:eastAsia="Arial" w:hAnsi="Arial"/>
          <w:sz w:val="18"/>
          <w:szCs w:val="18"/>
          <w:color w:val="212121"/>
        </w:rPr>
        <w:t>law</w:t>
      </w:r>
      <w:r>
        <w:rPr>
          <w:rFonts w:ascii="Arial" w:cs="Arial" w:eastAsia="Arial" w:hAnsi="Arial"/>
          <w:sz w:val="18"/>
          <w:szCs w:val="18"/>
          <w:color w:val="0E0E0E"/>
        </w:rPr>
        <w:t xml:space="preserve"> governing the employment relationship or </w:t>
      </w:r>
      <w:r>
        <w:rPr>
          <w:rFonts w:ascii="Arial" w:cs="Arial" w:eastAsia="Arial" w:hAnsi="Arial"/>
          <w:sz w:val="18"/>
          <w:szCs w:val="18"/>
          <w:color w:val="212121"/>
        </w:rPr>
        <w:t>its</w:t>
      </w:r>
      <w:r>
        <w:rPr>
          <w:rFonts w:ascii="Arial" w:cs="Arial" w:eastAsia="Arial" w:hAnsi="Arial"/>
          <w:sz w:val="18"/>
          <w:szCs w:val="18"/>
          <w:color w:val="0E0E0E"/>
        </w:rPr>
        <w:t xml:space="preserve"> termination (including, but not limited to</w:t>
      </w:r>
      <w:r>
        <w:rPr>
          <w:rFonts w:ascii="Arial" w:cs="Arial" w:eastAsia="Arial" w:hAnsi="Arial"/>
          <w:sz w:val="18"/>
          <w:szCs w:val="18"/>
          <w:color w:val="424242"/>
        </w:rPr>
        <w:t>,</w:t>
      </w:r>
      <w:r>
        <w:rPr>
          <w:rFonts w:ascii="Arial" w:cs="Arial" w:eastAsia="Arial" w:hAnsi="Arial"/>
          <w:sz w:val="18"/>
          <w:szCs w:val="18"/>
          <w:color w:val="0E0E0E"/>
        </w:rPr>
        <w:t xml:space="preserve"> Title VII of the Civil Rights Acts of 1964 and 1991; the Age Discrimination </w:t>
      </w:r>
      <w:r>
        <w:rPr>
          <w:rFonts w:ascii="Arial" w:cs="Arial" w:eastAsia="Arial" w:hAnsi="Arial"/>
          <w:sz w:val="18"/>
          <w:szCs w:val="18"/>
          <w:color w:val="212121"/>
        </w:rPr>
        <w:t>in</w:t>
      </w:r>
      <w:r>
        <w:rPr>
          <w:rFonts w:ascii="Arial" w:cs="Arial" w:eastAsia="Arial" w:hAnsi="Arial"/>
          <w:sz w:val="18"/>
          <w:szCs w:val="18"/>
          <w:color w:val="0E0E0E"/>
        </w:rPr>
        <w:t xml:space="preserve"> Employment Act of 1967 (“ADEA”); the Americans with Disabilities Act; the Family Medical </w:t>
      </w:r>
      <w:r>
        <w:rPr>
          <w:rFonts w:ascii="Arial" w:cs="Arial" w:eastAsia="Arial" w:hAnsi="Arial"/>
          <w:sz w:val="18"/>
          <w:szCs w:val="18"/>
          <w:color w:val="212121"/>
        </w:rPr>
        <w:t>Leave</w:t>
      </w:r>
      <w:r>
        <w:rPr>
          <w:rFonts w:ascii="Arial" w:cs="Arial" w:eastAsia="Arial" w:hAnsi="Arial"/>
          <w:sz w:val="18"/>
          <w:szCs w:val="18"/>
          <w:color w:val="0E0E0E"/>
        </w:rPr>
        <w:t xml:space="preserve"> Act; the </w:t>
      </w:r>
      <w:r>
        <w:rPr>
          <w:rFonts w:ascii="Arial" w:cs="Arial" w:eastAsia="Arial" w:hAnsi="Arial"/>
          <w:sz w:val="18"/>
          <w:szCs w:val="18"/>
          <w:color w:val="212121"/>
        </w:rPr>
        <w:t>Employee</w:t>
      </w:r>
      <w:r>
        <w:rPr>
          <w:rFonts w:ascii="Arial" w:cs="Arial" w:eastAsia="Arial" w:hAnsi="Arial"/>
          <w:sz w:val="18"/>
          <w:szCs w:val="18"/>
          <w:color w:val="0E0E0E"/>
        </w:rPr>
        <w:t xml:space="preserve"> Retirement Income Security Act of </w:t>
      </w:r>
      <w:r>
        <w:rPr>
          <w:rFonts w:ascii="Arial" w:cs="Arial" w:eastAsia="Arial" w:hAnsi="Arial"/>
          <w:sz w:val="18"/>
          <w:szCs w:val="18"/>
          <w:color w:val="212121"/>
        </w:rPr>
        <w:t>1974</w:t>
      </w:r>
      <w:r>
        <w:rPr>
          <w:rFonts w:ascii="Arial" w:cs="Arial" w:eastAsia="Arial" w:hAnsi="Arial"/>
          <w:sz w:val="18"/>
          <w:szCs w:val="18"/>
          <w:color w:val="6B6B6B"/>
        </w:rPr>
        <w:t>,</w:t>
      </w:r>
      <w:r>
        <w:rPr>
          <w:rFonts w:ascii="Arial" w:cs="Arial" w:eastAsia="Arial" w:hAnsi="Arial"/>
          <w:sz w:val="18"/>
          <w:szCs w:val="18"/>
          <w:color w:val="0E0E0E"/>
        </w:rPr>
        <w:t xml:space="preserve"> </w:t>
      </w:r>
      <w:r>
        <w:rPr>
          <w:rFonts w:ascii="Arial" w:cs="Arial" w:eastAsia="Arial" w:hAnsi="Arial"/>
          <w:sz w:val="18"/>
          <w:szCs w:val="18"/>
          <w:color w:val="212121"/>
        </w:rPr>
        <w:t>the</w:t>
      </w:r>
      <w:r>
        <w:rPr>
          <w:rFonts w:ascii="Arial" w:cs="Arial" w:eastAsia="Arial" w:hAnsi="Arial"/>
          <w:sz w:val="18"/>
          <w:szCs w:val="18"/>
          <w:color w:val="0E0E0E"/>
        </w:rPr>
        <w:t xml:space="preserve"> Rehabilitation Act</w:t>
      </w:r>
      <w:r>
        <w:rPr>
          <w:rFonts w:ascii="Arial" w:cs="Arial" w:eastAsia="Arial" w:hAnsi="Arial"/>
          <w:sz w:val="18"/>
          <w:szCs w:val="18"/>
          <w:color w:val="8E8E8E"/>
        </w:rPr>
        <w:t>,</w:t>
      </w:r>
      <w:r>
        <w:rPr>
          <w:rFonts w:ascii="Arial" w:cs="Arial" w:eastAsia="Arial" w:hAnsi="Arial"/>
          <w:sz w:val="18"/>
          <w:szCs w:val="18"/>
          <w:color w:val="0E0E0E"/>
        </w:rPr>
        <w:t xml:space="preserve"> the </w:t>
      </w:r>
      <w:r>
        <w:rPr>
          <w:rFonts w:ascii="Arial" w:cs="Arial" w:eastAsia="Arial" w:hAnsi="Arial"/>
          <w:sz w:val="18"/>
          <w:szCs w:val="18"/>
          <w:color w:val="212121"/>
        </w:rPr>
        <w:t>Worker Adjustment and</w:t>
      </w:r>
      <w:r>
        <w:rPr>
          <w:rFonts w:ascii="Arial" w:cs="Arial" w:eastAsia="Arial" w:hAnsi="Arial"/>
          <w:sz w:val="18"/>
          <w:szCs w:val="18"/>
          <w:color w:val="0E0E0E"/>
        </w:rPr>
        <w:t xml:space="preserve"> Retraining Notification Act</w:t>
      </w:r>
      <w:r>
        <w:rPr>
          <w:rFonts w:ascii="Arial" w:cs="Arial" w:eastAsia="Arial" w:hAnsi="Arial"/>
          <w:sz w:val="18"/>
          <w:szCs w:val="18"/>
          <w:color w:val="6B6B6B"/>
        </w:rPr>
        <w:t>,</w:t>
      </w:r>
      <w:r>
        <w:rPr>
          <w:rFonts w:ascii="Arial" w:cs="Arial" w:eastAsia="Arial" w:hAnsi="Arial"/>
          <w:sz w:val="18"/>
          <w:szCs w:val="18"/>
          <w:color w:val="0E0E0E"/>
        </w:rPr>
        <w:t xml:space="preserve"> </w:t>
      </w:r>
      <w:r>
        <w:rPr>
          <w:rFonts w:ascii="Arial" w:cs="Arial" w:eastAsia="Arial" w:hAnsi="Arial"/>
          <w:sz w:val="18"/>
          <w:szCs w:val="18"/>
          <w:color w:val="212121"/>
        </w:rPr>
        <w:t>any</w:t>
      </w:r>
      <w:r>
        <w:rPr>
          <w:rFonts w:ascii="Arial" w:cs="Arial" w:eastAsia="Arial" w:hAnsi="Arial"/>
          <w:sz w:val="18"/>
          <w:szCs w:val="18"/>
          <w:color w:val="0E0E0E"/>
        </w:rPr>
        <w:t xml:space="preserve"> state</w:t>
      </w:r>
      <w:r>
        <w:rPr>
          <w:rFonts w:ascii="Arial" w:cs="Arial" w:eastAsia="Arial" w:hAnsi="Arial"/>
          <w:sz w:val="18"/>
          <w:szCs w:val="18"/>
          <w:color w:val="5B5B5B"/>
        </w:rPr>
        <w:t>,</w:t>
      </w:r>
      <w:r>
        <w:rPr>
          <w:rFonts w:ascii="Arial" w:cs="Arial" w:eastAsia="Arial" w:hAnsi="Arial"/>
          <w:sz w:val="18"/>
          <w:szCs w:val="18"/>
          <w:color w:val="0E0E0E"/>
        </w:rPr>
        <w:t xml:space="preserve"> </w:t>
      </w:r>
      <w:r>
        <w:rPr>
          <w:rFonts w:ascii="Arial" w:cs="Arial" w:eastAsia="Arial" w:hAnsi="Arial"/>
          <w:sz w:val="18"/>
          <w:szCs w:val="18"/>
          <w:color w:val="212121"/>
        </w:rPr>
        <w:t>local</w:t>
      </w:r>
      <w:r>
        <w:rPr>
          <w:rFonts w:ascii="Arial" w:cs="Arial" w:eastAsia="Arial" w:hAnsi="Arial"/>
          <w:sz w:val="18"/>
          <w:szCs w:val="18"/>
          <w:color w:val="5B5B5B"/>
        </w:rPr>
        <w:t>,</w:t>
      </w:r>
      <w:r>
        <w:rPr>
          <w:rFonts w:ascii="Arial" w:cs="Arial" w:eastAsia="Arial" w:hAnsi="Arial"/>
          <w:sz w:val="18"/>
          <w:szCs w:val="18"/>
          <w:color w:val="0E0E0E"/>
        </w:rPr>
        <w:t xml:space="preserve"> and other federal employment laws</w:t>
      </w:r>
      <w:r>
        <w:rPr>
          <w:rFonts w:ascii="Arial" w:cs="Arial" w:eastAsia="Arial" w:hAnsi="Arial"/>
          <w:sz w:val="18"/>
          <w:szCs w:val="18"/>
          <w:color w:val="343434"/>
        </w:rPr>
        <w:t>,</w:t>
      </w:r>
      <w:r>
        <w:rPr>
          <w:rFonts w:ascii="Arial" w:cs="Arial" w:eastAsia="Arial" w:hAnsi="Arial"/>
          <w:sz w:val="18"/>
          <w:szCs w:val="18"/>
          <w:color w:val="0E0E0E"/>
        </w:rPr>
        <w:t xml:space="preserve"> and any amendments to any of the foregoing and/or (b) under the common law for breach of contract, wrongful discharge, personal </w:t>
      </w:r>
      <w:r>
        <w:rPr>
          <w:rFonts w:ascii="Arial" w:cs="Arial" w:eastAsia="Arial" w:hAnsi="Arial"/>
          <w:sz w:val="18"/>
          <w:szCs w:val="18"/>
          <w:color w:val="212121"/>
        </w:rPr>
        <w:t>injuries</w:t>
      </w:r>
      <w:r>
        <w:rPr>
          <w:rFonts w:ascii="Arial" w:cs="Arial" w:eastAsia="Arial" w:hAnsi="Arial"/>
          <w:sz w:val="18"/>
          <w:szCs w:val="18"/>
          <w:color w:val="0E0E0E"/>
        </w:rPr>
        <w:t xml:space="preserve"> and/or torts. I understand that this is a general waiver and release of all claims, know</w:t>
      </w:r>
      <w:r>
        <w:rPr>
          <w:rFonts w:ascii="Arial" w:cs="Arial" w:eastAsia="Arial" w:hAnsi="Arial"/>
          <w:sz w:val="18"/>
          <w:szCs w:val="18"/>
          <w:color w:val="424242"/>
        </w:rPr>
        <w:t>n</w:t>
      </w:r>
      <w:r>
        <w:rPr>
          <w:rFonts w:ascii="Arial" w:cs="Arial" w:eastAsia="Arial" w:hAnsi="Arial"/>
          <w:sz w:val="18"/>
          <w:szCs w:val="18"/>
          <w:color w:val="0E0E0E"/>
        </w:rPr>
        <w:t xml:space="preserve"> or unknown that </w:t>
      </w:r>
      <w:r>
        <w:rPr>
          <w:rFonts w:ascii="Arial" w:cs="Arial" w:eastAsia="Arial" w:hAnsi="Arial"/>
          <w:sz w:val="18"/>
          <w:szCs w:val="18"/>
          <w:color w:val="424242"/>
        </w:rPr>
        <w:t>I</w:t>
      </w:r>
      <w:r>
        <w:rPr>
          <w:rFonts w:ascii="Arial" w:cs="Arial" w:eastAsia="Arial" w:hAnsi="Arial"/>
          <w:sz w:val="18"/>
          <w:szCs w:val="18"/>
          <w:color w:val="0E0E0E"/>
        </w:rPr>
        <w:t xml:space="preserve"> may have against the Released Parties based on any act, omission, matter, cause or thing that occurred through the date of my execution of this Release</w:t>
      </w:r>
      <w:r>
        <w:rPr>
          <w:rFonts w:ascii="Arial" w:cs="Arial" w:eastAsia="Arial" w:hAnsi="Arial"/>
          <w:sz w:val="18"/>
          <w:szCs w:val="18"/>
          <w:color w:val="343434"/>
        </w:rPr>
        <w:t>.</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E0E0E"/>
        </w:rPr>
        <w:t>Cal</w:t>
      </w:r>
      <w:r>
        <w:rPr>
          <w:rFonts w:ascii="Arial" w:cs="Arial" w:eastAsia="Arial" w:hAnsi="Arial"/>
          <w:sz w:val="18"/>
          <w:szCs w:val="18"/>
          <w:color w:val="343434"/>
        </w:rPr>
        <w:t>i</w:t>
      </w:r>
      <w:r>
        <w:rPr>
          <w:rFonts w:ascii="Arial" w:cs="Arial" w:eastAsia="Arial" w:hAnsi="Arial"/>
          <w:sz w:val="18"/>
          <w:szCs w:val="18"/>
          <w:color w:val="0E0E0E"/>
        </w:rPr>
        <w:t xml:space="preserve">fornia Waiver of California Civil </w:t>
      </w:r>
      <w:r>
        <w:rPr>
          <w:rFonts w:ascii="Arial" w:cs="Arial" w:eastAsia="Arial" w:hAnsi="Arial"/>
          <w:sz w:val="18"/>
          <w:szCs w:val="18"/>
          <w:color w:val="424242"/>
        </w:rPr>
        <w:t>Code</w:t>
      </w:r>
      <w:r>
        <w:rPr>
          <w:rFonts w:ascii="Arial" w:cs="Arial" w:eastAsia="Arial" w:hAnsi="Arial"/>
          <w:sz w:val="18"/>
          <w:szCs w:val="18"/>
          <w:color w:val="0E0E0E"/>
        </w:rPr>
        <w:t xml:space="preserve"> § 1542. To effect a full and complete </w:t>
      </w:r>
      <w:r>
        <w:rPr>
          <w:rFonts w:ascii="Arial" w:cs="Arial" w:eastAsia="Arial" w:hAnsi="Arial"/>
          <w:sz w:val="18"/>
          <w:szCs w:val="18"/>
          <w:color w:val="212121"/>
        </w:rPr>
        <w:t>release</w:t>
      </w:r>
      <w:r>
        <w:rPr>
          <w:rFonts w:ascii="Arial" w:cs="Arial" w:eastAsia="Arial" w:hAnsi="Arial"/>
          <w:sz w:val="18"/>
          <w:szCs w:val="18"/>
          <w:color w:val="0E0E0E"/>
        </w:rPr>
        <w:t xml:space="preserve"> as described above</w:t>
      </w:r>
      <w:r>
        <w:rPr>
          <w:rFonts w:ascii="Arial" w:cs="Arial" w:eastAsia="Arial" w:hAnsi="Arial"/>
          <w:sz w:val="18"/>
          <w:szCs w:val="18"/>
          <w:color w:val="343434"/>
        </w:rPr>
        <w:t>,</w:t>
      </w:r>
      <w:r>
        <w:rPr>
          <w:rFonts w:ascii="Arial" w:cs="Arial" w:eastAsia="Arial" w:hAnsi="Arial"/>
          <w:sz w:val="18"/>
          <w:szCs w:val="18"/>
          <w:color w:val="0E0E0E"/>
        </w:rPr>
        <w:t xml:space="preserve"> you expressly waive and </w:t>
      </w:r>
      <w:r>
        <w:rPr>
          <w:rFonts w:ascii="Arial" w:cs="Arial" w:eastAsia="Arial" w:hAnsi="Arial"/>
          <w:sz w:val="18"/>
          <w:szCs w:val="18"/>
          <w:color w:val="212121"/>
        </w:rPr>
        <w:t>relinquish</w:t>
      </w:r>
      <w:r>
        <w:rPr>
          <w:rFonts w:ascii="Arial" w:cs="Arial" w:eastAsia="Arial" w:hAnsi="Arial"/>
          <w:sz w:val="18"/>
          <w:szCs w:val="18"/>
          <w:color w:val="0E0E0E"/>
        </w:rPr>
        <w:t xml:space="preserve"> all rights and benefits of §</w:t>
      </w:r>
      <w:r>
        <w:rPr>
          <w:rFonts w:ascii="Arial" w:cs="Arial" w:eastAsia="Arial" w:hAnsi="Arial"/>
          <w:sz w:val="18"/>
          <w:szCs w:val="18"/>
          <w:color w:val="212121"/>
        </w:rPr>
        <w:t>1542</w:t>
      </w:r>
      <w:r>
        <w:rPr>
          <w:rFonts w:ascii="Arial" w:cs="Arial" w:eastAsia="Arial" w:hAnsi="Arial"/>
          <w:sz w:val="18"/>
          <w:szCs w:val="18"/>
          <w:color w:val="0E0E0E"/>
        </w:rPr>
        <w:t xml:space="preserve"> of the Civil Code of the State of California, and do so understanding and acknowledging the significance and consequence of specifically waiving §1542, which states</w:t>
      </w:r>
      <w:r>
        <w:rPr>
          <w:rFonts w:ascii="Arial" w:cs="Arial" w:eastAsia="Arial" w:hAnsi="Arial"/>
          <w:sz w:val="18"/>
          <w:szCs w:val="18"/>
          <w:color w:val="6B6B6B"/>
        </w:rPr>
        <w:t>:</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0E0E0E"/>
        </w:rPr>
        <w:t xml:space="preserve">GENERAL RELEASE DOES </w:t>
      </w:r>
      <w:r>
        <w:rPr>
          <w:rFonts w:ascii="Arial" w:cs="Arial" w:eastAsia="Arial" w:hAnsi="Arial"/>
          <w:sz w:val="18"/>
          <w:szCs w:val="18"/>
          <w:color w:val="212121"/>
        </w:rPr>
        <w:t>NOT</w:t>
      </w:r>
      <w:r>
        <w:rPr>
          <w:rFonts w:ascii="Arial" w:cs="Arial" w:eastAsia="Arial" w:hAnsi="Arial"/>
          <w:sz w:val="18"/>
          <w:szCs w:val="18"/>
          <w:color w:val="0E0E0E"/>
        </w:rPr>
        <w:t xml:space="preserve"> EXTEND TO CLAIMS WHICH THE CREDITOR DOES NOT KNOW OR SUSPECT TO EXIST </w:t>
      </w:r>
      <w:r>
        <w:rPr>
          <w:rFonts w:ascii="Arial" w:cs="Arial" w:eastAsia="Arial" w:hAnsi="Arial"/>
          <w:sz w:val="18"/>
          <w:szCs w:val="18"/>
          <w:color w:val="212121"/>
        </w:rPr>
        <w:t>IN</w:t>
      </w:r>
      <w:r>
        <w:rPr>
          <w:rFonts w:ascii="Arial" w:cs="Arial" w:eastAsia="Arial" w:hAnsi="Arial"/>
          <w:sz w:val="18"/>
          <w:szCs w:val="18"/>
          <w:color w:val="0E0E0E"/>
        </w:rPr>
        <w:t xml:space="preserve"> HIS OR HER FAVOR AT THE TIME OF EXECUTING THE RELEASE, WHICH IF KNOWN BY HIM OR HER MUST HAVE MATERIALLY AFFECT</w:t>
      </w:r>
      <w:r>
        <w:rPr>
          <w:rFonts w:ascii="Arial" w:cs="Arial" w:eastAsia="Arial" w:hAnsi="Arial"/>
          <w:sz w:val="18"/>
          <w:szCs w:val="18"/>
          <w:color w:val="424242"/>
        </w:rPr>
        <w:t>ED</w:t>
      </w:r>
      <w:r>
        <w:rPr>
          <w:rFonts w:ascii="Arial" w:cs="Arial" w:eastAsia="Arial" w:hAnsi="Arial"/>
          <w:sz w:val="18"/>
          <w:szCs w:val="18"/>
          <w:color w:val="0E0E0E"/>
        </w:rPr>
        <w:t xml:space="preserve"> HIS OR HER SETTLEMENT WITH THE DEBTOR.</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C0C0C"/>
        </w:rPr>
        <w:t xml:space="preserve">In addition, by signing this Release I acknowledge and agree that I am not aware of any </w:t>
      </w:r>
      <w:r>
        <w:rPr>
          <w:rFonts w:ascii="Arial" w:cs="Arial" w:eastAsia="Arial" w:hAnsi="Arial"/>
          <w:sz w:val="18"/>
          <w:szCs w:val="18"/>
          <w:color w:val="313131"/>
        </w:rPr>
        <w:t>act</w:t>
      </w:r>
      <w:r>
        <w:rPr>
          <w:rFonts w:ascii="Arial" w:cs="Arial" w:eastAsia="Arial" w:hAnsi="Arial"/>
          <w:sz w:val="18"/>
          <w:szCs w:val="18"/>
          <w:color w:val="0C0C0C"/>
        </w:rPr>
        <w:t>ions or inactions by the Company or any of the Released Parties that I believe may constitute bank fraud</w:t>
      </w:r>
      <w:r>
        <w:rPr>
          <w:rFonts w:ascii="Arial" w:cs="Arial" w:eastAsia="Arial" w:hAnsi="Arial"/>
          <w:sz w:val="18"/>
          <w:szCs w:val="18"/>
          <w:color w:val="313131"/>
        </w:rPr>
        <w:t>,</w:t>
      </w:r>
      <w:r>
        <w:rPr>
          <w:rFonts w:ascii="Arial" w:cs="Arial" w:eastAsia="Arial" w:hAnsi="Arial"/>
          <w:sz w:val="18"/>
          <w:szCs w:val="18"/>
          <w:color w:val="0C0C0C"/>
        </w:rPr>
        <w:t xml:space="preserve"> wire fraud, mail fraud</w:t>
      </w:r>
      <w:r>
        <w:rPr>
          <w:rFonts w:ascii="Arial" w:cs="Arial" w:eastAsia="Arial" w:hAnsi="Arial"/>
          <w:sz w:val="18"/>
          <w:szCs w:val="18"/>
          <w:color w:val="313131"/>
        </w:rPr>
        <w:t>,</w:t>
      </w:r>
      <w:r>
        <w:rPr>
          <w:rFonts w:ascii="Arial" w:cs="Arial" w:eastAsia="Arial" w:hAnsi="Arial"/>
          <w:sz w:val="18"/>
          <w:szCs w:val="18"/>
          <w:color w:val="0C0C0C"/>
        </w:rPr>
        <w:t xml:space="preserve"> securities fraud, any violation of a rule or regulation of the Securities and Exchange Commission, any violation of federal law, or any violation of the Company’s Code of Business Conduct.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C0C0C"/>
        </w:rPr>
        <w:t xml:space="preserve">This Release does not waive claims (i) for vested rights under ERISA-covered employee benefit plans as applicable on the date </w:t>
      </w:r>
      <w:r>
        <w:rPr>
          <w:rFonts w:ascii="Arial" w:cs="Arial" w:eastAsia="Arial" w:hAnsi="Arial"/>
          <w:sz w:val="18"/>
          <w:szCs w:val="18"/>
          <w:color w:val="1F1F1F"/>
        </w:rPr>
        <w:t>I</w:t>
      </w:r>
      <w:r>
        <w:rPr>
          <w:rFonts w:ascii="Arial" w:cs="Arial" w:eastAsia="Arial" w:hAnsi="Arial"/>
          <w:sz w:val="18"/>
          <w:szCs w:val="18"/>
          <w:color w:val="0C0C0C"/>
        </w:rPr>
        <w:t xml:space="preserve"> sign this Release, (ii) that may arise after I sign this Release, (iii) which cannot be released by private agreement or (iv) to the Separation Benefits pursuant to the terms of the Retirement Agreement. In addition, the Company agrees that this Release does not extend to, release or modify any rights to indemnification or advancement of expenses to which I am entitled from the Company or its insurers under the Company's Certificate of Incorporation, Bylaws</w:t>
      </w:r>
      <w:r>
        <w:rPr>
          <w:rFonts w:ascii="Arial" w:cs="Arial" w:eastAsia="Arial" w:hAnsi="Arial"/>
          <w:sz w:val="18"/>
          <w:szCs w:val="18"/>
          <w:color w:val="313131"/>
        </w:rPr>
        <w:t>,</w:t>
      </w:r>
      <w:r>
        <w:rPr>
          <w:rFonts w:ascii="Arial" w:cs="Arial" w:eastAsia="Arial" w:hAnsi="Arial"/>
          <w:sz w:val="18"/>
          <w:szCs w:val="18"/>
          <w:color w:val="0C0C0C"/>
        </w:rPr>
        <w:t xml:space="preserve"> and the General Corporation Law of the State of Delaware or otherwise</w:t>
      </w:r>
      <w:r>
        <w:rPr>
          <w:rFonts w:ascii="Arial" w:cs="Arial" w:eastAsia="Arial" w:hAnsi="Arial"/>
          <w:sz w:val="18"/>
          <w:szCs w:val="18"/>
          <w:color w:val="4D4D4D"/>
        </w:rPr>
        <w:t>.</w:t>
      </w:r>
    </w:p>
    <w:p>
      <w:pPr>
        <w:sectPr>
          <w:pgSz w:w="11900" w:h="16838" w:orient="portrait"/>
          <w:cols w:equalWidth="0" w:num="1">
            <w:col w:w="11420"/>
          </w:cols>
          <w:pgMar w:left="240" w:top="657" w:right="239" w:bottom="1440" w:gutter="0" w:footer="0" w:header="0"/>
        </w:sectPr>
      </w:pPr>
    </w:p>
    <w:bookmarkStart w:id="141" w:name="page142"/>
    <w:bookmarkEnd w:id="141"/>
    <w:p>
      <w:pPr>
        <w:jc w:val="both"/>
        <w:spacing w:after="0" w:line="256" w:lineRule="auto"/>
        <w:rPr>
          <w:sz w:val="20"/>
          <w:szCs w:val="20"/>
          <w:color w:val="auto"/>
        </w:rPr>
      </w:pPr>
      <w:r>
        <w:rPr>
          <w:rFonts w:ascii="Arial" w:cs="Arial" w:eastAsia="Arial" w:hAnsi="Arial"/>
          <w:sz w:val="18"/>
          <w:szCs w:val="18"/>
          <w:color w:val="0C0C0C"/>
        </w:rPr>
        <w:t>To implement a full and complete release of all claims, I expressly ack</w:t>
      </w:r>
      <w:r>
        <w:rPr>
          <w:rFonts w:ascii="Arial" w:cs="Arial" w:eastAsia="Arial" w:hAnsi="Arial"/>
          <w:sz w:val="18"/>
          <w:szCs w:val="18"/>
          <w:color w:val="313131"/>
        </w:rPr>
        <w:t>n</w:t>
      </w:r>
      <w:r>
        <w:rPr>
          <w:rFonts w:ascii="Arial" w:cs="Arial" w:eastAsia="Arial" w:hAnsi="Arial"/>
          <w:sz w:val="18"/>
          <w:szCs w:val="18"/>
          <w:color w:val="0C0C0C"/>
        </w:rPr>
        <w:t xml:space="preserve">owledge this Release </w:t>
      </w:r>
      <w:r>
        <w:rPr>
          <w:rFonts w:ascii="Arial" w:cs="Arial" w:eastAsia="Arial" w:hAnsi="Arial"/>
          <w:sz w:val="18"/>
          <w:szCs w:val="18"/>
          <w:color w:val="1F1F1F"/>
        </w:rPr>
        <w:t>is</w:t>
      </w:r>
      <w:r>
        <w:rPr>
          <w:rFonts w:ascii="Arial" w:cs="Arial" w:eastAsia="Arial" w:hAnsi="Arial"/>
          <w:sz w:val="18"/>
          <w:szCs w:val="18"/>
          <w:color w:val="0C0C0C"/>
        </w:rPr>
        <w:t xml:space="preserve"> intended to </w:t>
      </w:r>
      <w:r>
        <w:rPr>
          <w:rFonts w:ascii="Arial" w:cs="Arial" w:eastAsia="Arial" w:hAnsi="Arial"/>
          <w:sz w:val="18"/>
          <w:szCs w:val="18"/>
          <w:color w:val="1F1F1F"/>
        </w:rPr>
        <w:t>include</w:t>
      </w:r>
      <w:r>
        <w:rPr>
          <w:rFonts w:ascii="Arial" w:cs="Arial" w:eastAsia="Arial" w:hAnsi="Arial"/>
          <w:sz w:val="18"/>
          <w:szCs w:val="18"/>
          <w:color w:val="0C0C0C"/>
        </w:rPr>
        <w:t xml:space="preserve"> in its effect, without limitation, all causes of action or claims I do not know or suspect to exist in my favor at the time of signing this Release, and that this Release contemplates the extinguishment of any such causes of action or claims.</w:t>
      </w:r>
    </w:p>
    <w:p>
      <w:pPr>
        <w:spacing w:after="0" w:line="202"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0C0C0C"/>
        </w:rPr>
        <w:t>COVENANT NOT TO SUE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C0C0C"/>
        </w:rPr>
        <w:t>I understand that following the Release Effective Date (as defined below), this Release will be final and binding. I promise that I will not pursue any claim that I have settled by this Release</w:t>
      </w:r>
      <w:r>
        <w:rPr>
          <w:rFonts w:ascii="Arial" w:cs="Arial" w:eastAsia="Arial" w:hAnsi="Arial"/>
          <w:sz w:val="18"/>
          <w:szCs w:val="18"/>
          <w:color w:val="313131"/>
        </w:rPr>
        <w:t>.</w:t>
      </w:r>
      <w:r>
        <w:rPr>
          <w:rFonts w:ascii="Arial" w:cs="Arial" w:eastAsia="Arial" w:hAnsi="Arial"/>
          <w:sz w:val="18"/>
          <w:szCs w:val="18"/>
          <w:color w:val="0C0C0C"/>
        </w:rPr>
        <w:t xml:space="preserve"> If I break this promise, I agree to pay all of the Company’s costs and expenses (including reasonable attorneys’ fees) related to the defense of any claims except this promise not to sue stated in this paragraph does not apply to claims that I may have under the OWBPA and the ADEA</w:t>
      </w:r>
      <w:r>
        <w:rPr>
          <w:rFonts w:ascii="Arial" w:cs="Arial" w:eastAsia="Arial" w:hAnsi="Arial"/>
          <w:sz w:val="18"/>
          <w:szCs w:val="18"/>
          <w:color w:val="4D4D4D"/>
        </w:rPr>
        <w:t>.</w:t>
      </w:r>
      <w:r>
        <w:rPr>
          <w:rFonts w:ascii="Arial" w:cs="Arial" w:eastAsia="Arial" w:hAnsi="Arial"/>
          <w:sz w:val="18"/>
          <w:szCs w:val="18"/>
          <w:color w:val="0C0C0C"/>
        </w:rPr>
        <w:t xml:space="preserve"> I further understand that nothing in this Release generally prevents me from filing a charge or complaint with or from participating </w:t>
      </w:r>
      <w:r>
        <w:rPr>
          <w:rFonts w:ascii="Arial" w:cs="Arial" w:eastAsia="Arial" w:hAnsi="Arial"/>
          <w:sz w:val="18"/>
          <w:szCs w:val="18"/>
          <w:color w:val="1F1F1F"/>
        </w:rPr>
        <w:t>in</w:t>
      </w:r>
      <w:r>
        <w:rPr>
          <w:rFonts w:ascii="Arial" w:cs="Arial" w:eastAsia="Arial" w:hAnsi="Arial"/>
          <w:sz w:val="18"/>
          <w:szCs w:val="18"/>
          <w:color w:val="0C0C0C"/>
        </w:rPr>
        <w:t xml:space="preserve"> an investigation or proceeding conducted by the EEOC, NLRB, or any other federal, state or local agency charged with the enforcement of any employment laws, although by signing this Release I am waiving my right to </w:t>
      </w:r>
      <w:r>
        <w:rPr>
          <w:rFonts w:ascii="Arial" w:cs="Arial" w:eastAsia="Arial" w:hAnsi="Arial"/>
          <w:sz w:val="18"/>
          <w:szCs w:val="18"/>
          <w:color w:val="1F1F1F"/>
        </w:rPr>
        <w:t>individual</w:t>
      </w:r>
      <w:r>
        <w:rPr>
          <w:rFonts w:ascii="Arial" w:cs="Arial" w:eastAsia="Arial" w:hAnsi="Arial"/>
          <w:sz w:val="18"/>
          <w:szCs w:val="18"/>
          <w:color w:val="0C0C0C"/>
        </w:rPr>
        <w:t xml:space="preserve"> relief based on claims asserted in such a charge or complaint. I have the right under Federal law to certain protections for cooperating with or repo</w:t>
      </w:r>
      <w:r>
        <w:rPr>
          <w:rFonts w:ascii="Arial" w:cs="Arial" w:eastAsia="Arial" w:hAnsi="Arial"/>
          <w:sz w:val="18"/>
          <w:szCs w:val="18"/>
          <w:color w:val="313131"/>
        </w:rPr>
        <w:t>rtin</w:t>
      </w:r>
      <w:r>
        <w:rPr>
          <w:rFonts w:ascii="Arial" w:cs="Arial" w:eastAsia="Arial" w:hAnsi="Arial"/>
          <w:sz w:val="18"/>
          <w:szCs w:val="18"/>
          <w:color w:val="0C0C0C"/>
        </w:rPr>
        <w:t xml:space="preserve">g legal violations to the Securities and Exchange Commission (the </w:t>
      </w:r>
      <w:r>
        <w:rPr>
          <w:rFonts w:ascii="Arial" w:cs="Arial" w:eastAsia="Arial" w:hAnsi="Arial"/>
          <w:sz w:val="18"/>
          <w:szCs w:val="18"/>
          <w:color w:val="1F1F1F"/>
        </w:rPr>
        <w:t>“SEC”)</w:t>
      </w:r>
      <w:r>
        <w:rPr>
          <w:rFonts w:ascii="Arial" w:cs="Arial" w:eastAsia="Arial" w:hAnsi="Arial"/>
          <w:sz w:val="18"/>
          <w:szCs w:val="18"/>
          <w:color w:val="0C0C0C"/>
        </w:rPr>
        <w:t xml:space="preserve"> and/or its Office of the Whistleblower, as well as certain other governmental entities and self-regulatory organizations</w:t>
      </w:r>
      <w:r>
        <w:rPr>
          <w:rFonts w:ascii="Arial" w:cs="Arial" w:eastAsia="Arial" w:hAnsi="Arial"/>
          <w:sz w:val="18"/>
          <w:szCs w:val="18"/>
          <w:color w:val="313131"/>
        </w:rPr>
        <w:t>.</w:t>
      </w:r>
      <w:r>
        <w:rPr>
          <w:rFonts w:ascii="Arial" w:cs="Arial" w:eastAsia="Arial" w:hAnsi="Arial"/>
          <w:sz w:val="18"/>
          <w:szCs w:val="18"/>
          <w:color w:val="0C0C0C"/>
        </w:rPr>
        <w:t xml:space="preserve"> As such</w:t>
      </w:r>
      <w:r>
        <w:rPr>
          <w:rFonts w:ascii="Arial" w:cs="Arial" w:eastAsia="Arial" w:hAnsi="Arial"/>
          <w:sz w:val="18"/>
          <w:szCs w:val="18"/>
          <w:color w:val="313131"/>
        </w:rPr>
        <w:t>,</w:t>
      </w:r>
      <w:r>
        <w:rPr>
          <w:rFonts w:ascii="Arial" w:cs="Arial" w:eastAsia="Arial" w:hAnsi="Arial"/>
          <w:sz w:val="18"/>
          <w:szCs w:val="18"/>
          <w:color w:val="0C0C0C"/>
        </w:rPr>
        <w:t xml:space="preserve"> nothing in this Release or otherwise is </w:t>
      </w:r>
      <w:r>
        <w:rPr>
          <w:rFonts w:ascii="Arial" w:cs="Arial" w:eastAsia="Arial" w:hAnsi="Arial"/>
          <w:sz w:val="18"/>
          <w:szCs w:val="18"/>
          <w:color w:val="1F1F1F"/>
        </w:rPr>
        <w:t>intended</w:t>
      </w:r>
      <w:r>
        <w:rPr>
          <w:rFonts w:ascii="Arial" w:cs="Arial" w:eastAsia="Arial" w:hAnsi="Arial"/>
          <w:sz w:val="18"/>
          <w:szCs w:val="18"/>
          <w:color w:val="0C0C0C"/>
        </w:rPr>
        <w:t xml:space="preserve"> to prohibit me from disclosing this Release or the Retirement Agreement to</w:t>
      </w:r>
      <w:r>
        <w:rPr>
          <w:rFonts w:ascii="Arial" w:cs="Arial" w:eastAsia="Arial" w:hAnsi="Arial"/>
          <w:sz w:val="18"/>
          <w:szCs w:val="18"/>
          <w:color w:val="313131"/>
        </w:rPr>
        <w:t>,</w:t>
      </w:r>
      <w:r>
        <w:rPr>
          <w:rFonts w:ascii="Arial" w:cs="Arial" w:eastAsia="Arial" w:hAnsi="Arial"/>
          <w:sz w:val="18"/>
          <w:szCs w:val="18"/>
          <w:color w:val="0C0C0C"/>
        </w:rPr>
        <w:t xml:space="preserve"> or from cooperating with or reporting violations to, the SEC or any other such governmental entity or self</w:t>
      </w:r>
      <w:r>
        <w:rPr>
          <w:rFonts w:ascii="Arial" w:cs="Arial" w:eastAsia="Arial" w:hAnsi="Arial"/>
          <w:sz w:val="18"/>
          <w:szCs w:val="18"/>
          <w:color w:val="313131"/>
        </w:rPr>
        <w:t>-</w:t>
      </w:r>
      <w:r>
        <w:rPr>
          <w:rFonts w:ascii="Arial" w:cs="Arial" w:eastAsia="Arial" w:hAnsi="Arial"/>
          <w:sz w:val="18"/>
          <w:szCs w:val="18"/>
          <w:color w:val="0C0C0C"/>
        </w:rPr>
        <w:t>regulatory organization</w:t>
      </w:r>
      <w:r>
        <w:rPr>
          <w:rFonts w:ascii="Arial" w:cs="Arial" w:eastAsia="Arial" w:hAnsi="Arial"/>
          <w:sz w:val="18"/>
          <w:szCs w:val="18"/>
          <w:color w:val="313131"/>
        </w:rPr>
        <w:t>,</w:t>
      </w:r>
      <w:r>
        <w:rPr>
          <w:rFonts w:ascii="Arial" w:cs="Arial" w:eastAsia="Arial" w:hAnsi="Arial"/>
          <w:sz w:val="18"/>
          <w:szCs w:val="18"/>
          <w:color w:val="0C0C0C"/>
        </w:rPr>
        <w:t xml:space="preserve"> and I may do so without notifying the Company.</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MATERIAL BREACH</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C0C0C"/>
        </w:rPr>
        <w:t>I agree that in the event of any breach or threatened breach of any provision of Paragraph 4 of the Retirement Agreement or of Section 5 of the Employment Agreement</w:t>
      </w:r>
      <w:r>
        <w:rPr>
          <w:rFonts w:ascii="Arial" w:cs="Arial" w:eastAsia="Arial" w:hAnsi="Arial"/>
          <w:sz w:val="18"/>
          <w:szCs w:val="18"/>
          <w:color w:val="313131"/>
        </w:rPr>
        <w:t>,</w:t>
      </w:r>
      <w:r>
        <w:rPr>
          <w:rFonts w:ascii="Arial" w:cs="Arial" w:eastAsia="Arial" w:hAnsi="Arial"/>
          <w:sz w:val="18"/>
          <w:szCs w:val="18"/>
          <w:color w:val="0C0C0C"/>
        </w:rPr>
        <w:t xml:space="preserve"> the Company will have no further obligation to pay or provide any unpaid Separation Benefits and will be entitled to equitable and/or </w:t>
      </w:r>
      <w:r>
        <w:rPr>
          <w:rFonts w:ascii="Arial" w:cs="Arial" w:eastAsia="Arial" w:hAnsi="Arial"/>
          <w:sz w:val="18"/>
          <w:szCs w:val="18"/>
          <w:color w:val="1F1F1F"/>
        </w:rPr>
        <w:t>injunctive</w:t>
      </w:r>
      <w:r>
        <w:rPr>
          <w:rFonts w:ascii="Arial" w:cs="Arial" w:eastAsia="Arial" w:hAnsi="Arial"/>
          <w:sz w:val="18"/>
          <w:szCs w:val="18"/>
          <w:color w:val="0C0C0C"/>
        </w:rPr>
        <w:t xml:space="preserve"> relief and, because the damages for such a breach or threatened breach will be impossible or impractical to determine and will not therefore provide a </w:t>
      </w:r>
      <w:r>
        <w:rPr>
          <w:rFonts w:ascii="Arial" w:cs="Arial" w:eastAsia="Arial" w:hAnsi="Arial"/>
          <w:sz w:val="18"/>
          <w:szCs w:val="18"/>
          <w:color w:val="1F1F1F"/>
        </w:rPr>
        <w:t>full</w:t>
      </w:r>
      <w:r>
        <w:rPr>
          <w:rFonts w:ascii="Arial" w:cs="Arial" w:eastAsia="Arial" w:hAnsi="Arial"/>
          <w:sz w:val="18"/>
          <w:szCs w:val="18"/>
          <w:color w:val="0C0C0C"/>
        </w:rPr>
        <w:t xml:space="preserve"> and adequate remedy</w:t>
      </w:r>
      <w:r>
        <w:rPr>
          <w:rFonts w:ascii="Arial" w:cs="Arial" w:eastAsia="Arial" w:hAnsi="Arial"/>
          <w:sz w:val="18"/>
          <w:szCs w:val="18"/>
          <w:color w:val="313131"/>
        </w:rPr>
        <w:t>,</w:t>
      </w:r>
      <w:r>
        <w:rPr>
          <w:rFonts w:ascii="Arial" w:cs="Arial" w:eastAsia="Arial" w:hAnsi="Arial"/>
          <w:sz w:val="18"/>
          <w:szCs w:val="18"/>
          <w:color w:val="0C0C0C"/>
        </w:rPr>
        <w:t xml:space="preserve"> the Company or ABM-affiliated companies will also be entitled to specific performance by me</w:t>
      </w:r>
      <w:r>
        <w:rPr>
          <w:rFonts w:ascii="Arial" w:cs="Arial" w:eastAsia="Arial" w:hAnsi="Arial"/>
          <w:sz w:val="18"/>
          <w:szCs w:val="18"/>
          <w:color w:val="313131"/>
        </w:rPr>
        <w:t>.</w:t>
      </w:r>
      <w:r>
        <w:rPr>
          <w:rFonts w:ascii="Arial" w:cs="Arial" w:eastAsia="Arial" w:hAnsi="Arial"/>
          <w:sz w:val="18"/>
          <w:szCs w:val="18"/>
          <w:color w:val="0C0C0C"/>
        </w:rPr>
        <w:t xml:space="preserve"> Nothing </w:t>
      </w:r>
      <w:r>
        <w:rPr>
          <w:rFonts w:ascii="Arial" w:cs="Arial" w:eastAsia="Arial" w:hAnsi="Arial"/>
          <w:sz w:val="18"/>
          <w:szCs w:val="18"/>
          <w:color w:val="1F1F1F"/>
        </w:rPr>
        <w:t>in</w:t>
      </w:r>
      <w:r>
        <w:rPr>
          <w:rFonts w:ascii="Arial" w:cs="Arial" w:eastAsia="Arial" w:hAnsi="Arial"/>
          <w:sz w:val="18"/>
          <w:szCs w:val="18"/>
          <w:color w:val="0C0C0C"/>
        </w:rPr>
        <w:t xml:space="preserve"> this </w:t>
      </w:r>
      <w:r>
        <w:rPr>
          <w:rFonts w:ascii="Arial" w:cs="Arial" w:eastAsia="Arial" w:hAnsi="Arial"/>
          <w:sz w:val="18"/>
          <w:szCs w:val="18"/>
          <w:color w:val="1F1F1F"/>
        </w:rPr>
        <w:t>Release</w:t>
      </w:r>
      <w:r>
        <w:rPr>
          <w:rFonts w:ascii="Arial" w:cs="Arial" w:eastAsia="Arial" w:hAnsi="Arial"/>
          <w:sz w:val="18"/>
          <w:szCs w:val="18"/>
          <w:color w:val="0C0C0C"/>
        </w:rPr>
        <w:t xml:space="preserve"> shall </w:t>
      </w:r>
      <w:r>
        <w:rPr>
          <w:rFonts w:ascii="Arial" w:cs="Arial" w:eastAsia="Arial" w:hAnsi="Arial"/>
          <w:sz w:val="18"/>
          <w:szCs w:val="18"/>
          <w:color w:val="1F1F1F"/>
        </w:rPr>
        <w:t>limit</w:t>
      </w:r>
      <w:r>
        <w:rPr>
          <w:rFonts w:ascii="Arial" w:cs="Arial" w:eastAsia="Arial" w:hAnsi="Arial"/>
          <w:sz w:val="18"/>
          <w:szCs w:val="18"/>
          <w:color w:val="0C0C0C"/>
        </w:rPr>
        <w:t xml:space="preserve"> or prevent the Company </w:t>
      </w:r>
      <w:r>
        <w:rPr>
          <w:rFonts w:ascii="Arial" w:cs="Arial" w:eastAsia="Arial" w:hAnsi="Arial"/>
          <w:sz w:val="18"/>
          <w:szCs w:val="18"/>
          <w:color w:val="1F1F1F"/>
        </w:rPr>
        <w:t>fro</w:t>
      </w:r>
      <w:r>
        <w:rPr>
          <w:rFonts w:ascii="Arial" w:cs="Arial" w:eastAsia="Arial" w:hAnsi="Arial"/>
          <w:sz w:val="18"/>
          <w:szCs w:val="18"/>
          <w:color w:val="4D4D4D"/>
        </w:rPr>
        <w:t>m</w:t>
      </w:r>
      <w:r>
        <w:rPr>
          <w:rFonts w:ascii="Arial" w:cs="Arial" w:eastAsia="Arial" w:hAnsi="Arial"/>
          <w:sz w:val="18"/>
          <w:szCs w:val="18"/>
          <w:color w:val="0C0C0C"/>
        </w:rPr>
        <w:t xml:space="preserve"> also pursuing any other or additional </w:t>
      </w:r>
      <w:r>
        <w:rPr>
          <w:rFonts w:ascii="Arial" w:cs="Arial" w:eastAsia="Arial" w:hAnsi="Arial"/>
          <w:sz w:val="18"/>
          <w:szCs w:val="18"/>
          <w:color w:val="1F1F1F"/>
        </w:rPr>
        <w:t>remedies it</w:t>
      </w:r>
      <w:r>
        <w:rPr>
          <w:rFonts w:ascii="Arial" w:cs="Arial" w:eastAsia="Arial" w:hAnsi="Arial"/>
          <w:sz w:val="18"/>
          <w:szCs w:val="18"/>
          <w:color w:val="0C0C0C"/>
        </w:rPr>
        <w:t xml:space="preserve"> may </w:t>
      </w:r>
      <w:r>
        <w:rPr>
          <w:rFonts w:ascii="Arial" w:cs="Arial" w:eastAsia="Arial" w:hAnsi="Arial"/>
          <w:sz w:val="18"/>
          <w:szCs w:val="18"/>
          <w:color w:val="4D4D4D"/>
        </w:rPr>
        <w:t>h</w:t>
      </w:r>
      <w:r>
        <w:rPr>
          <w:rFonts w:ascii="Arial" w:cs="Arial" w:eastAsia="Arial" w:hAnsi="Arial"/>
          <w:sz w:val="18"/>
          <w:szCs w:val="18"/>
          <w:color w:val="0C0C0C"/>
        </w:rPr>
        <w:t xml:space="preserve">ave for breach of any other agreement </w:t>
      </w:r>
      <w:r>
        <w:rPr>
          <w:rFonts w:ascii="Arial" w:cs="Arial" w:eastAsia="Arial" w:hAnsi="Arial"/>
          <w:sz w:val="18"/>
          <w:szCs w:val="18"/>
          <w:color w:val="1F1F1F"/>
        </w:rPr>
        <w:t>I</w:t>
      </w:r>
      <w:r>
        <w:rPr>
          <w:rFonts w:ascii="Arial" w:cs="Arial" w:eastAsia="Arial" w:hAnsi="Arial"/>
          <w:sz w:val="18"/>
          <w:szCs w:val="18"/>
          <w:color w:val="0C0C0C"/>
        </w:rPr>
        <w:t xml:space="preserve"> may have signed</w:t>
      </w:r>
      <w:r>
        <w:rPr>
          <w:rFonts w:ascii="Arial" w:cs="Arial" w:eastAsia="Arial" w:hAnsi="Arial"/>
          <w:sz w:val="18"/>
          <w:szCs w:val="18"/>
          <w:color w:val="313131"/>
        </w:rPr>
        <w:t>.</w:t>
      </w:r>
      <w:r>
        <w:rPr>
          <w:rFonts w:ascii="Arial" w:cs="Arial" w:eastAsia="Arial" w:hAnsi="Arial"/>
          <w:sz w:val="18"/>
          <w:szCs w:val="18"/>
          <w:color w:val="0C0C0C"/>
        </w:rPr>
        <w:t xml:space="preserve"> Despite any breaches</w:t>
      </w:r>
      <w:r>
        <w:rPr>
          <w:rFonts w:ascii="Arial" w:cs="Arial" w:eastAsia="Arial" w:hAnsi="Arial"/>
          <w:sz w:val="18"/>
          <w:szCs w:val="18"/>
          <w:color w:val="313131"/>
        </w:rPr>
        <w:t>,</w:t>
      </w:r>
      <w:r>
        <w:rPr>
          <w:rFonts w:ascii="Arial" w:cs="Arial" w:eastAsia="Arial" w:hAnsi="Arial"/>
          <w:sz w:val="18"/>
          <w:szCs w:val="18"/>
          <w:color w:val="0C0C0C"/>
        </w:rPr>
        <w:t xml:space="preserve"> my other obligations under th</w:t>
      </w:r>
      <w:r>
        <w:rPr>
          <w:rFonts w:ascii="Arial" w:cs="Arial" w:eastAsia="Arial" w:hAnsi="Arial"/>
          <w:sz w:val="18"/>
          <w:szCs w:val="18"/>
          <w:color w:val="313131"/>
        </w:rPr>
        <w:t>i</w:t>
      </w:r>
      <w:r>
        <w:rPr>
          <w:rFonts w:ascii="Arial" w:cs="Arial" w:eastAsia="Arial" w:hAnsi="Arial"/>
          <w:sz w:val="18"/>
          <w:szCs w:val="18"/>
          <w:color w:val="0C0C0C"/>
        </w:rPr>
        <w:t xml:space="preserve">s Release and the Retirement Agreement </w:t>
      </w:r>
      <w:r>
        <w:rPr>
          <w:rFonts w:ascii="Arial" w:cs="Arial" w:eastAsia="Arial" w:hAnsi="Arial"/>
          <w:sz w:val="18"/>
          <w:szCs w:val="18"/>
          <w:color w:val="1F1F1F"/>
        </w:rPr>
        <w:t>will remain in</w:t>
      </w:r>
      <w:r>
        <w:rPr>
          <w:rFonts w:ascii="Arial" w:cs="Arial" w:eastAsia="Arial" w:hAnsi="Arial"/>
          <w:sz w:val="18"/>
          <w:szCs w:val="18"/>
          <w:color w:val="0C0C0C"/>
        </w:rPr>
        <w:t xml:space="preserve"> full force and effect.</w:t>
      </w:r>
    </w:p>
    <w:p>
      <w:pPr>
        <w:spacing w:after="0" w:line="207"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0C0C0C"/>
        </w:rPr>
      </w:pPr>
      <w:r>
        <w:rPr>
          <w:rFonts w:ascii="Arial" w:cs="Arial" w:eastAsia="Arial" w:hAnsi="Arial"/>
          <w:sz w:val="18"/>
          <w:szCs w:val="18"/>
          <w:color w:val="0F0F0F"/>
        </w:rPr>
        <w:t>NOTICE AND REVOCATION PERIODS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F0F0F"/>
        </w:rPr>
        <w:t xml:space="preserve">This Release is important. I have been advised to review it carefully and consult an attorney before signing it, as well as any other professional whose advice I value, such as an accountant or financial advisor. </w:t>
      </w:r>
      <w:r>
        <w:rPr>
          <w:rFonts w:ascii="Arial" w:cs="Arial" w:eastAsia="Arial" w:hAnsi="Arial"/>
          <w:sz w:val="18"/>
          <w:szCs w:val="18"/>
          <w:color w:val="3B3B3B"/>
        </w:rPr>
        <w:t>I</w:t>
      </w:r>
      <w:r>
        <w:rPr>
          <w:rFonts w:ascii="Arial" w:cs="Arial" w:eastAsia="Arial" w:hAnsi="Arial"/>
          <w:sz w:val="18"/>
          <w:szCs w:val="18"/>
          <w:color w:val="0F0F0F"/>
        </w:rPr>
        <w:t xml:space="preserve"> understand that the Separation Benefits are contingent on my signing and not revoking this Release. </w:t>
      </w:r>
      <w:r>
        <w:rPr>
          <w:rFonts w:ascii="Arial" w:cs="Arial" w:eastAsia="Arial" w:hAnsi="Arial"/>
          <w:sz w:val="18"/>
          <w:szCs w:val="18"/>
          <w:color w:val="242424"/>
        </w:rPr>
        <w:t>I</w:t>
      </w:r>
      <w:r>
        <w:rPr>
          <w:rFonts w:ascii="Arial" w:cs="Arial" w:eastAsia="Arial" w:hAnsi="Arial"/>
          <w:sz w:val="18"/>
          <w:szCs w:val="18"/>
          <w:color w:val="0F0F0F"/>
        </w:rPr>
        <w:t xml:space="preserve"> understand that I have 21 calendar days from the Retirement Date to consider this Release. If I choose to sign this Release before the end of that 21-day period, I certify that I did so voluntarily for my own benefit and waived the right to consider this Release for the entire 21-day period. I agree that changes to this Release, whether material or immaterial, do not restart the running of the 21-day period for me to consider this Release. After I have signed this Release, I may revoke my consent to it by delivering written notice signed by me to David Geodes, ABM </w:t>
      </w:r>
      <w:r>
        <w:rPr>
          <w:rFonts w:ascii="Arial" w:cs="Arial" w:eastAsia="Arial" w:hAnsi="Arial"/>
          <w:sz w:val="18"/>
          <w:szCs w:val="18"/>
          <w:color w:val="242424"/>
        </w:rPr>
        <w:t>Industries</w:t>
      </w:r>
      <w:r>
        <w:rPr>
          <w:rFonts w:ascii="Arial" w:cs="Arial" w:eastAsia="Arial" w:hAnsi="Arial"/>
          <w:sz w:val="18"/>
          <w:szCs w:val="18"/>
          <w:color w:val="0F0F0F"/>
        </w:rPr>
        <w:t xml:space="preserve"> </w:t>
      </w:r>
      <w:r>
        <w:rPr>
          <w:rFonts w:ascii="Arial" w:cs="Arial" w:eastAsia="Arial" w:hAnsi="Arial"/>
          <w:sz w:val="18"/>
          <w:szCs w:val="18"/>
          <w:color w:val="4F4F4F"/>
        </w:rPr>
        <w:t>I</w:t>
      </w:r>
      <w:r>
        <w:rPr>
          <w:rFonts w:ascii="Arial" w:cs="Arial" w:eastAsia="Arial" w:hAnsi="Arial"/>
          <w:sz w:val="18"/>
          <w:szCs w:val="18"/>
          <w:color w:val="0F0F0F"/>
        </w:rPr>
        <w:t>ncorporated, One Liberty Plaza, 7th Floor, New York, NY 10006, on or before the seventh calendar day after I sign it. If I do not revoke this Release within seven calendar days after I sign it, it will be final, binding, and irrevocable (“Release Effective Date”).</w:t>
      </w:r>
    </w:p>
    <w:p>
      <w:pPr>
        <w:spacing w:after="0" w:line="213"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0F0F0F"/>
        </w:rPr>
        <w:t>RETURN OF PROPERTY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F0F0F"/>
        </w:rPr>
        <w:t xml:space="preserve">I affirm that I have returned to the Company all Company Property, as described more fully below, with the exception of documents relating to compensation or benefits to which I am entitled following the termination of my employment. Company Property includes company-owned motor vehicles, equipment, supplies and documents. Such documents may include but are not limited to customer </w:t>
      </w:r>
      <w:r>
        <w:rPr>
          <w:rFonts w:ascii="Arial" w:cs="Arial" w:eastAsia="Arial" w:hAnsi="Arial"/>
          <w:sz w:val="18"/>
          <w:szCs w:val="18"/>
          <w:color w:val="242424"/>
        </w:rPr>
        <w:t>lists,</w:t>
      </w:r>
      <w:r>
        <w:rPr>
          <w:rFonts w:ascii="Arial" w:cs="Arial" w:eastAsia="Arial" w:hAnsi="Arial"/>
          <w:sz w:val="18"/>
          <w:szCs w:val="18"/>
          <w:color w:val="0F0F0F"/>
        </w:rPr>
        <w:t xml:space="preserve"> financial statements, cost data, price lists, </w:t>
      </w:r>
      <w:r>
        <w:rPr>
          <w:rFonts w:ascii="Arial" w:cs="Arial" w:eastAsia="Arial" w:hAnsi="Arial"/>
          <w:sz w:val="18"/>
          <w:szCs w:val="18"/>
          <w:color w:val="242424"/>
        </w:rPr>
        <w:t>invoices,</w:t>
      </w:r>
      <w:r>
        <w:rPr>
          <w:rFonts w:ascii="Arial" w:cs="Arial" w:eastAsia="Arial" w:hAnsi="Arial"/>
          <w:sz w:val="18"/>
          <w:szCs w:val="18"/>
          <w:color w:val="0F0F0F"/>
        </w:rPr>
        <w:t xml:space="preserve"> forms, passwords, electronic files and media</w:t>
      </w:r>
      <w:r>
        <w:rPr>
          <w:rFonts w:ascii="Arial" w:cs="Arial" w:eastAsia="Arial" w:hAnsi="Arial"/>
          <w:sz w:val="18"/>
          <w:szCs w:val="18"/>
          <w:color w:val="3B3B3B"/>
        </w:rPr>
        <w:t>,</w:t>
      </w:r>
      <w:r>
        <w:rPr>
          <w:rFonts w:ascii="Arial" w:cs="Arial" w:eastAsia="Arial" w:hAnsi="Arial"/>
          <w:sz w:val="18"/>
          <w:szCs w:val="18"/>
          <w:color w:val="0F0F0F"/>
        </w:rPr>
        <w:t xml:space="preserve"> mailing lists, contracts</w:t>
      </w:r>
      <w:r>
        <w:rPr>
          <w:rFonts w:ascii="Arial" w:cs="Arial" w:eastAsia="Arial" w:hAnsi="Arial"/>
          <w:sz w:val="18"/>
          <w:szCs w:val="18"/>
          <w:color w:val="4F4F4F"/>
        </w:rPr>
        <w:t>,</w:t>
      </w:r>
      <w:r>
        <w:rPr>
          <w:rFonts w:ascii="Arial" w:cs="Arial" w:eastAsia="Arial" w:hAnsi="Arial"/>
          <w:sz w:val="18"/>
          <w:szCs w:val="18"/>
          <w:color w:val="0F0F0F"/>
        </w:rPr>
        <w:t xml:space="preserve"> reports, manuals, personnel files</w:t>
      </w:r>
      <w:r>
        <w:rPr>
          <w:rFonts w:ascii="Arial" w:cs="Arial" w:eastAsia="Arial" w:hAnsi="Arial"/>
          <w:sz w:val="18"/>
          <w:szCs w:val="18"/>
          <w:color w:val="3B3B3B"/>
        </w:rPr>
        <w:t>,</w:t>
      </w:r>
      <w:r>
        <w:rPr>
          <w:rFonts w:ascii="Arial" w:cs="Arial" w:eastAsia="Arial" w:hAnsi="Arial"/>
          <w:sz w:val="18"/>
          <w:szCs w:val="18"/>
          <w:color w:val="0F0F0F"/>
        </w:rPr>
        <w:t xml:space="preserve"> correspondence</w:t>
      </w:r>
      <w:r>
        <w:rPr>
          <w:rFonts w:ascii="Arial" w:cs="Arial" w:eastAsia="Arial" w:hAnsi="Arial"/>
          <w:sz w:val="18"/>
          <w:szCs w:val="18"/>
          <w:color w:val="3B3B3B"/>
        </w:rPr>
        <w:t>,</w:t>
      </w:r>
      <w:r>
        <w:rPr>
          <w:rFonts w:ascii="Arial" w:cs="Arial" w:eastAsia="Arial" w:hAnsi="Arial"/>
          <w:sz w:val="18"/>
          <w:szCs w:val="18"/>
          <w:color w:val="0F0F0F"/>
        </w:rPr>
        <w:t xml:space="preserve"> business cards, drawings, employee lists or directories, lists of vendors, photographs, maps</w:t>
      </w:r>
      <w:r>
        <w:rPr>
          <w:rFonts w:ascii="Arial" w:cs="Arial" w:eastAsia="Arial" w:hAnsi="Arial"/>
          <w:sz w:val="18"/>
          <w:szCs w:val="18"/>
          <w:color w:val="3B3B3B"/>
        </w:rPr>
        <w:t>,</w:t>
      </w:r>
      <w:r>
        <w:rPr>
          <w:rFonts w:ascii="Arial" w:cs="Arial" w:eastAsia="Arial" w:hAnsi="Arial"/>
          <w:sz w:val="18"/>
          <w:szCs w:val="18"/>
          <w:color w:val="0F0F0F"/>
        </w:rPr>
        <w:t xml:space="preserve"> surveys, and the like, </w:t>
      </w:r>
      <w:r>
        <w:rPr>
          <w:rFonts w:ascii="Arial" w:cs="Arial" w:eastAsia="Arial" w:hAnsi="Arial"/>
          <w:sz w:val="18"/>
          <w:szCs w:val="18"/>
          <w:color w:val="242424"/>
        </w:rPr>
        <w:t>including</w:t>
      </w:r>
      <w:r>
        <w:rPr>
          <w:rFonts w:ascii="Arial" w:cs="Arial" w:eastAsia="Arial" w:hAnsi="Arial"/>
          <w:sz w:val="18"/>
          <w:szCs w:val="18"/>
          <w:color w:val="0F0F0F"/>
        </w:rPr>
        <w:t xml:space="preserve"> copies, notes or compilations made there from, whether </w:t>
      </w:r>
      <w:r>
        <w:rPr>
          <w:rFonts w:ascii="Arial" w:cs="Arial" w:eastAsia="Arial" w:hAnsi="Arial"/>
          <w:sz w:val="18"/>
          <w:szCs w:val="18"/>
          <w:color w:val="3B3B3B"/>
        </w:rPr>
        <w:t>such</w:t>
      </w:r>
      <w:r>
        <w:rPr>
          <w:rFonts w:ascii="Arial" w:cs="Arial" w:eastAsia="Arial" w:hAnsi="Arial"/>
          <w:sz w:val="18"/>
          <w:szCs w:val="18"/>
          <w:color w:val="0F0F0F"/>
        </w:rPr>
        <w:t xml:space="preserve"> documents are embodied on </w:t>
      </w:r>
      <w:r>
        <w:rPr>
          <w:rFonts w:ascii="Arial" w:cs="Arial" w:eastAsia="Arial" w:hAnsi="Arial"/>
          <w:sz w:val="18"/>
          <w:szCs w:val="18"/>
          <w:color w:val="242424"/>
        </w:rPr>
        <w:t>"hard</w:t>
      </w:r>
      <w:r>
        <w:rPr>
          <w:rFonts w:ascii="Arial" w:cs="Arial" w:eastAsia="Arial" w:hAnsi="Arial"/>
          <w:sz w:val="18"/>
          <w:szCs w:val="18"/>
          <w:color w:val="0F0F0F"/>
        </w:rPr>
        <w:t xml:space="preserve"> copies" or contained on computer disk or any other medium I further agree that I will not retain any copies or duplicates of any such Company Property.</w:t>
      </w:r>
    </w:p>
    <w:p>
      <w:pPr>
        <w:sectPr>
          <w:pgSz w:w="11900" w:h="16838" w:orient="portrait"/>
          <w:cols w:equalWidth="0" w:num="1">
            <w:col w:w="11420"/>
          </w:cols>
          <w:pgMar w:left="240" w:top="598" w:right="239" w:bottom="1440" w:gutter="0" w:footer="0" w:header="0"/>
        </w:sectPr>
      </w:pPr>
    </w:p>
    <w:bookmarkStart w:id="142" w:name="page143"/>
    <w:bookmarkEnd w:id="142"/>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0F0F0F"/>
        </w:rPr>
        <w:t>NATURE OF RELEASE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0F0F0F"/>
        </w:rPr>
        <w:t>By signing this Release, I acknowledge that I am doing so freely, knowingly and voluntarily. I acknowledge that in signing this Release I have relied only on the promises written in this Release and the Retirement Agreement, and not on any other promise made by the Company or ABM Companies. This Release is not, and will not be considered</w:t>
      </w:r>
      <w:r>
        <w:rPr>
          <w:rFonts w:ascii="Arial" w:cs="Arial" w:eastAsia="Arial" w:hAnsi="Arial"/>
          <w:sz w:val="18"/>
          <w:szCs w:val="18"/>
          <w:color w:val="3B3B3B"/>
        </w:rPr>
        <w:t>,</w:t>
      </w:r>
      <w:r>
        <w:rPr>
          <w:rFonts w:ascii="Arial" w:cs="Arial" w:eastAsia="Arial" w:hAnsi="Arial"/>
          <w:sz w:val="18"/>
          <w:szCs w:val="18"/>
          <w:color w:val="0F0F0F"/>
        </w:rPr>
        <w:t xml:space="preserve"> an admission of liability or of a violation of any applicable contract</w:t>
      </w:r>
      <w:r>
        <w:rPr>
          <w:rFonts w:ascii="Arial" w:cs="Arial" w:eastAsia="Arial" w:hAnsi="Arial"/>
          <w:sz w:val="18"/>
          <w:szCs w:val="18"/>
          <w:color w:val="3B3B3B"/>
        </w:rPr>
        <w:t>,</w:t>
      </w:r>
      <w:r>
        <w:rPr>
          <w:rFonts w:ascii="Arial" w:cs="Arial" w:eastAsia="Arial" w:hAnsi="Arial"/>
          <w:sz w:val="18"/>
          <w:szCs w:val="18"/>
          <w:color w:val="0F0F0F"/>
        </w:rPr>
        <w:t xml:space="preserve"> law, rule</w:t>
      </w:r>
      <w:r>
        <w:rPr>
          <w:rFonts w:ascii="Arial" w:cs="Arial" w:eastAsia="Arial" w:hAnsi="Arial"/>
          <w:sz w:val="18"/>
          <w:szCs w:val="18"/>
          <w:color w:val="4F4F4F"/>
        </w:rPr>
        <w:t>,</w:t>
      </w:r>
      <w:r>
        <w:rPr>
          <w:rFonts w:ascii="Arial" w:cs="Arial" w:eastAsia="Arial" w:hAnsi="Arial"/>
          <w:sz w:val="18"/>
          <w:szCs w:val="18"/>
          <w:color w:val="0F0F0F"/>
        </w:rPr>
        <w:t xml:space="preserve"> regulation</w:t>
      </w:r>
      <w:r>
        <w:rPr>
          <w:rFonts w:ascii="Arial" w:cs="Arial" w:eastAsia="Arial" w:hAnsi="Arial"/>
          <w:sz w:val="18"/>
          <w:szCs w:val="18"/>
          <w:color w:val="4F4F4F"/>
        </w:rPr>
        <w:t>,</w:t>
      </w:r>
      <w:r>
        <w:rPr>
          <w:rFonts w:ascii="Arial" w:cs="Arial" w:eastAsia="Arial" w:hAnsi="Arial"/>
          <w:sz w:val="18"/>
          <w:szCs w:val="18"/>
          <w:color w:val="0F0F0F"/>
        </w:rPr>
        <w:t xml:space="preserve"> or order of any kind. This Release and the Retirement Agreement contains the entire agreement between the Company, other ABM Companies and me regarding my departure from the Company, except that all post-employment covenants contained </w:t>
      </w:r>
      <w:r>
        <w:rPr>
          <w:rFonts w:ascii="Arial" w:cs="Arial" w:eastAsia="Arial" w:hAnsi="Arial"/>
          <w:sz w:val="18"/>
          <w:szCs w:val="18"/>
          <w:color w:val="4F4F4F"/>
        </w:rPr>
        <w:t>i</w:t>
      </w:r>
      <w:r>
        <w:rPr>
          <w:rFonts w:ascii="Arial" w:cs="Arial" w:eastAsia="Arial" w:hAnsi="Arial"/>
          <w:sz w:val="18"/>
          <w:szCs w:val="18"/>
          <w:color w:val="0F0F0F"/>
        </w:rPr>
        <w:t>n my Employment Agreement remain in full force and effect. You agree and acknowledge that you are not entitled to any severance benefits under the Employment Agreement or any other Company plan, policy or agreement. This Release may not be altered, modified, waived or amended except by a w</w:t>
      </w:r>
      <w:r>
        <w:rPr>
          <w:rFonts w:ascii="Arial" w:cs="Arial" w:eastAsia="Arial" w:hAnsi="Arial"/>
          <w:sz w:val="18"/>
          <w:szCs w:val="18"/>
          <w:color w:val="3B3B3B"/>
        </w:rPr>
        <w:t>r</w:t>
      </w:r>
      <w:r>
        <w:rPr>
          <w:rFonts w:ascii="Arial" w:cs="Arial" w:eastAsia="Arial" w:hAnsi="Arial"/>
          <w:sz w:val="18"/>
          <w:szCs w:val="18"/>
          <w:color w:val="606060"/>
        </w:rPr>
        <w:t>i</w:t>
      </w:r>
      <w:r>
        <w:rPr>
          <w:rFonts w:ascii="Arial" w:cs="Arial" w:eastAsia="Arial" w:hAnsi="Arial"/>
          <w:sz w:val="18"/>
          <w:szCs w:val="18"/>
          <w:color w:val="3B3B3B"/>
        </w:rPr>
        <w:t>tten</w:t>
      </w:r>
      <w:r>
        <w:rPr>
          <w:rFonts w:ascii="Arial" w:cs="Arial" w:eastAsia="Arial" w:hAnsi="Arial"/>
          <w:sz w:val="18"/>
          <w:szCs w:val="18"/>
          <w:color w:val="0F0F0F"/>
        </w:rPr>
        <w:t xml:space="preserve"> document signed by a duly authorized representative of the Company and me</w:t>
      </w:r>
      <w:r>
        <w:rPr>
          <w:rFonts w:ascii="Arial" w:cs="Arial" w:eastAsia="Arial" w:hAnsi="Arial"/>
          <w:sz w:val="18"/>
          <w:szCs w:val="18"/>
          <w:color w:val="3B3B3B"/>
        </w:rPr>
        <w:t>.</w:t>
      </w:r>
      <w:r>
        <w:rPr>
          <w:rFonts w:ascii="Arial" w:cs="Arial" w:eastAsia="Arial" w:hAnsi="Arial"/>
          <w:sz w:val="18"/>
          <w:szCs w:val="18"/>
          <w:color w:val="0F0F0F"/>
        </w:rPr>
        <w:t xml:space="preserve"> Except as otherwise provided, this Release will be </w:t>
      </w:r>
      <w:r>
        <w:rPr>
          <w:rFonts w:ascii="Arial" w:cs="Arial" w:eastAsia="Arial" w:hAnsi="Arial"/>
          <w:sz w:val="18"/>
          <w:szCs w:val="18"/>
          <w:color w:val="242424"/>
        </w:rPr>
        <w:t>interpreted</w:t>
      </w:r>
      <w:r>
        <w:rPr>
          <w:rFonts w:ascii="Arial" w:cs="Arial" w:eastAsia="Arial" w:hAnsi="Arial"/>
          <w:sz w:val="18"/>
          <w:szCs w:val="18"/>
          <w:color w:val="0F0F0F"/>
        </w:rPr>
        <w:t xml:space="preserve"> and enforced </w:t>
      </w:r>
      <w:r>
        <w:rPr>
          <w:rFonts w:ascii="Arial" w:cs="Arial" w:eastAsia="Arial" w:hAnsi="Arial"/>
          <w:sz w:val="18"/>
          <w:szCs w:val="18"/>
          <w:color w:val="242424"/>
        </w:rPr>
        <w:t>in</w:t>
      </w:r>
      <w:r>
        <w:rPr>
          <w:rFonts w:ascii="Arial" w:cs="Arial" w:eastAsia="Arial" w:hAnsi="Arial"/>
          <w:sz w:val="18"/>
          <w:szCs w:val="18"/>
          <w:color w:val="0F0F0F"/>
        </w:rPr>
        <w:t xml:space="preserve"> accordance with the laws of the state </w:t>
      </w:r>
      <w:r>
        <w:rPr>
          <w:rFonts w:ascii="Arial" w:cs="Arial" w:eastAsia="Arial" w:hAnsi="Arial"/>
          <w:sz w:val="18"/>
          <w:szCs w:val="18"/>
          <w:color w:val="242424"/>
        </w:rPr>
        <w:t>in</w:t>
      </w:r>
      <w:r>
        <w:rPr>
          <w:rFonts w:ascii="Arial" w:cs="Arial" w:eastAsia="Arial" w:hAnsi="Arial"/>
          <w:sz w:val="18"/>
          <w:szCs w:val="18"/>
          <w:color w:val="0F0F0F"/>
        </w:rPr>
        <w:t xml:space="preserve"> which </w:t>
      </w:r>
      <w:r>
        <w:rPr>
          <w:rFonts w:ascii="Arial" w:cs="Arial" w:eastAsia="Arial" w:hAnsi="Arial"/>
          <w:sz w:val="18"/>
          <w:szCs w:val="18"/>
          <w:color w:val="242424"/>
        </w:rPr>
        <w:t>I</w:t>
      </w:r>
      <w:r>
        <w:rPr>
          <w:rFonts w:ascii="Arial" w:cs="Arial" w:eastAsia="Arial" w:hAnsi="Arial"/>
          <w:sz w:val="18"/>
          <w:szCs w:val="18"/>
          <w:color w:val="0F0F0F"/>
        </w:rPr>
        <w:t xml:space="preserve"> work</w:t>
      </w:r>
      <w:r>
        <w:rPr>
          <w:rFonts w:ascii="Arial" w:cs="Arial" w:eastAsia="Arial" w:hAnsi="Arial"/>
          <w:sz w:val="18"/>
          <w:szCs w:val="18"/>
          <w:color w:val="4F4F4F"/>
        </w:rPr>
        <w:t>.</w:t>
      </w:r>
      <w:r>
        <w:rPr>
          <w:rFonts w:ascii="Arial" w:cs="Arial" w:eastAsia="Arial" w:hAnsi="Arial"/>
          <w:sz w:val="18"/>
          <w:szCs w:val="18"/>
          <w:color w:val="0F0F0F"/>
        </w:rPr>
        <w:t xml:space="preserve"> The headings in this document are for reference only, and shall not </w:t>
      </w:r>
      <w:r>
        <w:rPr>
          <w:rFonts w:ascii="Arial" w:cs="Arial" w:eastAsia="Arial" w:hAnsi="Arial"/>
          <w:sz w:val="18"/>
          <w:szCs w:val="18"/>
          <w:color w:val="242424"/>
        </w:rPr>
        <w:t>in</w:t>
      </w:r>
      <w:r>
        <w:rPr>
          <w:rFonts w:ascii="Arial" w:cs="Arial" w:eastAsia="Arial" w:hAnsi="Arial"/>
          <w:sz w:val="18"/>
          <w:szCs w:val="18"/>
          <w:color w:val="0F0F0F"/>
        </w:rPr>
        <w:t xml:space="preserve"> any way affect the meaning or </w:t>
      </w:r>
      <w:r>
        <w:rPr>
          <w:rFonts w:ascii="Arial" w:cs="Arial" w:eastAsia="Arial" w:hAnsi="Arial"/>
          <w:sz w:val="18"/>
          <w:szCs w:val="18"/>
          <w:color w:val="242424"/>
        </w:rPr>
        <w:t>interpretation</w:t>
      </w:r>
      <w:r>
        <w:rPr>
          <w:rFonts w:ascii="Arial" w:cs="Arial" w:eastAsia="Arial" w:hAnsi="Arial"/>
          <w:sz w:val="18"/>
          <w:szCs w:val="18"/>
          <w:color w:val="0F0F0F"/>
        </w:rPr>
        <w:t xml:space="preserve"> of this Release. Nothing </w:t>
      </w:r>
      <w:r>
        <w:rPr>
          <w:rFonts w:ascii="Arial" w:cs="Arial" w:eastAsia="Arial" w:hAnsi="Arial"/>
          <w:sz w:val="18"/>
          <w:szCs w:val="18"/>
          <w:color w:val="242424"/>
        </w:rPr>
        <w:t>in</w:t>
      </w:r>
      <w:r>
        <w:rPr>
          <w:rFonts w:ascii="Arial" w:cs="Arial" w:eastAsia="Arial" w:hAnsi="Arial"/>
          <w:sz w:val="18"/>
          <w:szCs w:val="18"/>
          <w:color w:val="0F0F0F"/>
        </w:rPr>
        <w:t xml:space="preserve"> this Release shall be binding on the part</w:t>
      </w:r>
      <w:r>
        <w:rPr>
          <w:rFonts w:ascii="Arial" w:cs="Arial" w:eastAsia="Arial" w:hAnsi="Arial"/>
          <w:sz w:val="18"/>
          <w:szCs w:val="18"/>
          <w:color w:val="3B3B3B"/>
        </w:rPr>
        <w:t>i</w:t>
      </w:r>
      <w:r>
        <w:rPr>
          <w:rFonts w:ascii="Arial" w:cs="Arial" w:eastAsia="Arial" w:hAnsi="Arial"/>
          <w:sz w:val="18"/>
          <w:szCs w:val="18"/>
          <w:color w:val="0F0F0F"/>
        </w:rPr>
        <w:t>es to the extent it is vo</w:t>
      </w:r>
      <w:r>
        <w:rPr>
          <w:rFonts w:ascii="Arial" w:cs="Arial" w:eastAsia="Arial" w:hAnsi="Arial"/>
          <w:sz w:val="18"/>
          <w:szCs w:val="18"/>
          <w:color w:val="3B3B3B"/>
        </w:rPr>
        <w:t>i</w:t>
      </w:r>
      <w:r>
        <w:rPr>
          <w:rFonts w:ascii="Arial" w:cs="Arial" w:eastAsia="Arial" w:hAnsi="Arial"/>
          <w:sz w:val="18"/>
          <w:szCs w:val="18"/>
          <w:color w:val="0F0F0F"/>
        </w:rPr>
        <w:t>d or unenforceable</w:t>
      </w:r>
      <w:r>
        <w:rPr>
          <w:rFonts w:ascii="Arial" w:cs="Arial" w:eastAsia="Arial" w:hAnsi="Arial"/>
          <w:sz w:val="18"/>
          <w:szCs w:val="18"/>
          <w:color w:val="4F4F4F"/>
        </w:rPr>
        <w:t>.</w:t>
      </w:r>
      <w:r>
        <w:rPr>
          <w:rFonts w:ascii="Arial" w:cs="Arial" w:eastAsia="Arial" w:hAnsi="Arial"/>
          <w:sz w:val="18"/>
          <w:szCs w:val="18"/>
          <w:color w:val="0F0F0F"/>
        </w:rPr>
        <w:t xml:space="preserve"> The provisions of this Release and the Retirement Agreement are severable. If any provision of this Release or the Retirement Agreement </w:t>
      </w:r>
      <w:r>
        <w:rPr>
          <w:rFonts w:ascii="Arial" w:cs="Arial" w:eastAsia="Arial" w:hAnsi="Arial"/>
          <w:sz w:val="18"/>
          <w:szCs w:val="18"/>
          <w:color w:val="242424"/>
        </w:rPr>
        <w:t>is</w:t>
      </w:r>
      <w:r>
        <w:rPr>
          <w:rFonts w:ascii="Arial" w:cs="Arial" w:eastAsia="Arial" w:hAnsi="Arial"/>
          <w:sz w:val="18"/>
          <w:szCs w:val="18"/>
          <w:color w:val="0F0F0F"/>
        </w:rPr>
        <w:t xml:space="preserve"> ruled unenforceable or </w:t>
      </w:r>
      <w:r>
        <w:rPr>
          <w:rFonts w:ascii="Arial" w:cs="Arial" w:eastAsia="Arial" w:hAnsi="Arial"/>
          <w:sz w:val="18"/>
          <w:szCs w:val="18"/>
          <w:color w:val="3B3B3B"/>
        </w:rPr>
        <w:t>i</w:t>
      </w:r>
      <w:r>
        <w:rPr>
          <w:rFonts w:ascii="Arial" w:cs="Arial" w:eastAsia="Arial" w:hAnsi="Arial"/>
          <w:sz w:val="18"/>
          <w:szCs w:val="18"/>
          <w:color w:val="0F0F0F"/>
        </w:rPr>
        <w:t>nvalid, s</w:t>
      </w:r>
      <w:r>
        <w:rPr>
          <w:rFonts w:ascii="Arial" w:cs="Arial" w:eastAsia="Arial" w:hAnsi="Arial"/>
          <w:sz w:val="18"/>
          <w:szCs w:val="18"/>
          <w:color w:val="4F4F4F"/>
        </w:rPr>
        <w:t>u</w:t>
      </w:r>
      <w:r>
        <w:rPr>
          <w:rFonts w:ascii="Arial" w:cs="Arial" w:eastAsia="Arial" w:hAnsi="Arial"/>
          <w:sz w:val="18"/>
          <w:szCs w:val="18"/>
          <w:color w:val="0F0F0F"/>
        </w:rPr>
        <w:t>ch ruling shall not affect the enforceability or validity of other provisions of this Release and the Retirement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P. MCCLURE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255270</wp:posOffset>
            </wp:positionV>
            <wp:extent cx="5080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-19050</wp:posOffset>
            </wp:positionV>
            <wp:extent cx="412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412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40"/>
        <w:spacing w:after="0"/>
        <w:rPr>
          <w:sz w:val="20"/>
          <w:szCs w:val="20"/>
          <w:color w:val="auto"/>
        </w:rPr>
      </w:pPr>
      <w:r>
        <w:rPr>
          <w:rFonts w:ascii="Arial" w:cs="Arial" w:eastAsia="Arial" w:hAnsi="Arial"/>
          <w:sz w:val="18"/>
          <w:szCs w:val="18"/>
          <w:color w:val="1C1C1C"/>
        </w:rPr>
        <w:t>Acknow</w:t>
      </w:r>
      <w:r>
        <w:rPr>
          <w:rFonts w:ascii="Arial" w:cs="Arial" w:eastAsia="Arial" w:hAnsi="Arial"/>
          <w:sz w:val="18"/>
          <w:szCs w:val="18"/>
          <w:color w:val="3A3A3A"/>
        </w:rPr>
        <w:t>l</w:t>
      </w:r>
      <w:r>
        <w:rPr>
          <w:rFonts w:ascii="Arial" w:cs="Arial" w:eastAsia="Arial" w:hAnsi="Arial"/>
          <w:sz w:val="18"/>
          <w:szCs w:val="18"/>
          <w:color w:val="1C1C1C"/>
        </w:rPr>
        <w:t>edged and agreed</w:t>
      </w:r>
      <w:r>
        <w:rPr>
          <w:rFonts w:ascii="Arial" w:cs="Arial" w:eastAsia="Arial" w:hAnsi="Arial"/>
          <w:sz w:val="18"/>
          <w:szCs w:val="18"/>
          <w:color w:val="3A3A3A"/>
        </w:rPr>
        <w: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1C1C1C"/>
        </w:rPr>
        <w:t xml:space="preserve">ABM </w:t>
      </w:r>
      <w:r>
        <w:rPr>
          <w:rFonts w:ascii="Arial" w:cs="Arial" w:eastAsia="Arial" w:hAnsi="Arial"/>
          <w:sz w:val="18"/>
          <w:szCs w:val="18"/>
          <w:color w:val="3A3A3A"/>
        </w:rPr>
        <w:t>I</w:t>
      </w:r>
      <w:r>
        <w:rPr>
          <w:rFonts w:ascii="Arial" w:cs="Arial" w:eastAsia="Arial" w:hAnsi="Arial"/>
          <w:sz w:val="18"/>
          <w:szCs w:val="18"/>
          <w:color w:val="1C1C1C"/>
        </w:rPr>
        <w:t>NDUSTRIES INCORPORATED</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-19050</wp:posOffset>
            </wp:positionV>
            <wp:extent cx="6350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1C1C1C"/>
        </w:rPr>
        <w:t>Name</w:t>
      </w:r>
      <w:r>
        <w:rPr>
          <w:rFonts w:ascii="Arial" w:cs="Arial" w:eastAsia="Arial" w:hAnsi="Arial"/>
          <w:sz w:val="18"/>
          <w:szCs w:val="18"/>
          <w:color w:val="3A3A3A"/>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1C1C1C"/>
        </w:rPr>
        <w:t>Title</w:t>
      </w:r>
      <w:r>
        <w:rPr>
          <w:rFonts w:ascii="Arial" w:cs="Arial" w:eastAsia="Arial" w:hAnsi="Arial"/>
          <w:sz w:val="18"/>
          <w:szCs w:val="18"/>
          <w:color w:val="3A3A3A"/>
        </w:rPr>
        <w:t>:</w:t>
      </w:r>
    </w:p>
    <w:p>
      <w:pPr>
        <w:sectPr>
          <w:pgSz w:w="11900" w:h="16838" w:orient="portrait"/>
          <w:cols w:equalWidth="0" w:num="1">
            <w:col w:w="11420"/>
          </w:cols>
          <w:pgMar w:left="240" w:top="81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THIS AMENDED AND RESTATED EXECUTIVE EMPLOYMENT AGREEMENT </w:t>
      </w:r>
      <w:r>
        <w:rPr>
          <w:rFonts w:ascii="Arial" w:cs="Arial" w:eastAsia="Arial" w:hAnsi="Arial"/>
          <w:sz w:val="22"/>
          <w:szCs w:val="22"/>
          <w:color w:val="auto"/>
        </w:rPr>
        <w:t>(“Agreement”) is effective November 1,</w:t>
      </w:r>
      <w:r>
        <w:rPr>
          <w:rFonts w:ascii="Arial" w:cs="Arial" w:eastAsia="Arial" w:hAnsi="Arial"/>
          <w:sz w:val="22"/>
          <w:szCs w:val="22"/>
          <w:b w:val="1"/>
          <w:bCs w:val="1"/>
          <w:color w:val="auto"/>
        </w:rPr>
        <w:t xml:space="preserve"> </w:t>
      </w:r>
      <w:r>
        <w:rPr>
          <w:rFonts w:ascii="Arial" w:cs="Arial" w:eastAsia="Arial" w:hAnsi="Arial"/>
          <w:sz w:val="22"/>
          <w:szCs w:val="22"/>
          <w:color w:val="auto"/>
        </w:rPr>
        <w:t>2017 (“Effective Date”) between D. Anthony Scaglione (“Executive”) and ABM Industries Incorporated, a Delaware corporation (“Company” or “ABM”). As of the Effective Date, this Agreement supersedes in its entirety the Executive Employment Agreement dated April 6, 2015.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consideration of the terms and commitments contained in this Agreement, the parties agree to and acknowledge the following: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p>
    <w:p>
      <w:pPr>
        <w:spacing w:after="0" w:line="225" w:lineRule="exact"/>
        <w:rPr>
          <w:rFonts w:ascii="Arial" w:cs="Arial" w:eastAsia="Arial" w:hAnsi="Arial"/>
          <w:sz w:val="22"/>
          <w:szCs w:val="22"/>
          <w:b w:val="1"/>
          <w:bCs w:val="1"/>
          <w:color w:val="auto"/>
        </w:rPr>
      </w:pPr>
    </w:p>
    <w:p>
      <w:pPr>
        <w:ind w:left="66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The Company agrees to employ Executive, and Executive hereby accepts such employment, on the terms and conditions set forth in this Agreement.</w:t>
      </w:r>
    </w:p>
    <w:p>
      <w:pPr>
        <w:spacing w:after="0" w:line="168" w:lineRule="exact"/>
        <w:rPr>
          <w:rFonts w:ascii="Arial" w:cs="Arial" w:eastAsia="Arial" w:hAnsi="Arial"/>
          <w:sz w:val="22"/>
          <w:szCs w:val="22"/>
          <w:b w:val="1"/>
          <w:bCs w:val="1"/>
          <w:color w:val="auto"/>
        </w:rPr>
      </w:pPr>
    </w:p>
    <w:p>
      <w:pPr>
        <w:ind w:left="660" w:hanging="652"/>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DUTIES, RESPONSIBILITIES AND TITLE.</w:t>
      </w:r>
    </w:p>
    <w:p>
      <w:pPr>
        <w:spacing w:after="0" w:line="225" w:lineRule="exact"/>
        <w:rPr>
          <w:rFonts w:ascii="Arial" w:cs="Arial" w:eastAsia="Arial" w:hAnsi="Arial"/>
          <w:sz w:val="22"/>
          <w:szCs w:val="22"/>
          <w:b w:val="1"/>
          <w:bCs w:val="1"/>
          <w:color w:val="auto"/>
        </w:rPr>
      </w:pPr>
    </w:p>
    <w:p>
      <w:pPr>
        <w:jc w:val="both"/>
        <w:ind w:left="660"/>
        <w:spacing w:after="0" w:line="263" w:lineRule="auto"/>
        <w:rPr>
          <w:rFonts w:ascii="Arial" w:cs="Arial" w:eastAsia="Arial" w:hAnsi="Arial"/>
          <w:sz w:val="22"/>
          <w:szCs w:val="22"/>
          <w:b w:val="1"/>
          <w:bCs w:val="1"/>
          <w:color w:val="auto"/>
        </w:rPr>
      </w:pPr>
      <w:r>
        <w:rPr>
          <w:rFonts w:ascii="Arial" w:cs="Arial" w:eastAsia="Arial" w:hAnsi="Arial"/>
          <w:sz w:val="21"/>
          <w:szCs w:val="21"/>
          <w:color w:val="auto"/>
        </w:rPr>
        <w:t>Executive’s title shall be Executive Vice President and Chief Financial Officer of the Company and such other titles as may be assigned from time to time by the Company. Executive shall have and perform such duties, functions and responsibilities relating to Executive's employment with Company as may be assigned from time to time by the Company, consistent with such position. Executive shall report directly to the Chief Executive Officer of the Company and shall provide the services hereunder at the Company’s office located in New York City.</w:t>
      </w:r>
    </w:p>
    <w:p>
      <w:pPr>
        <w:spacing w:after="0" w:line="169" w:lineRule="exact"/>
        <w:rPr>
          <w:rFonts w:ascii="Arial" w:cs="Arial" w:eastAsia="Arial" w:hAnsi="Arial"/>
          <w:sz w:val="22"/>
          <w:szCs w:val="22"/>
          <w:b w:val="1"/>
          <w:bCs w:val="1"/>
          <w:color w:val="auto"/>
        </w:rPr>
      </w:pPr>
    </w:p>
    <w:p>
      <w:pPr>
        <w:ind w:left="660" w:hanging="652"/>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25" w:lineRule="exact"/>
        <w:rPr>
          <w:rFonts w:ascii="Arial" w:cs="Arial" w:eastAsia="Arial" w:hAnsi="Arial"/>
          <w:sz w:val="22"/>
          <w:szCs w:val="22"/>
          <w:b w:val="1"/>
          <w:bCs w:val="1"/>
          <w:color w:val="auto"/>
        </w:rPr>
      </w:pPr>
    </w:p>
    <w:p>
      <w:pPr>
        <w:ind w:left="66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During Executive’s employment hereunder, Company agrees to compensate Executive, and Executive agrees to accept as compensation in full, as follows:</w:t>
      </w:r>
    </w:p>
    <w:p>
      <w:pPr>
        <w:spacing w:after="0" w:line="174" w:lineRule="exact"/>
        <w:rPr>
          <w:rFonts w:ascii="Arial" w:cs="Arial" w:eastAsia="Arial" w:hAnsi="Arial"/>
          <w:sz w:val="22"/>
          <w:szCs w:val="22"/>
          <w:b w:val="1"/>
          <w:bCs w:val="1"/>
          <w:color w:val="auto"/>
        </w:rPr>
      </w:pPr>
    </w:p>
    <w:p>
      <w:pPr>
        <w:ind w:left="1300" w:hanging="648"/>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3.1 BASE SALARY. The Company shall pay to Executive an annual base salary (the “Base Salary”) in an amount to be determined by the Board of Directors or its applicable committee (as applicable, the “Committee”) in its sole discretion The Base Salary shall be subject to applicable state and federal withholdings and shall be paid according to the Company’s standard payroll practices.</w:t>
      </w:r>
    </w:p>
    <w:p>
      <w:pPr>
        <w:spacing w:after="0" w:line="188" w:lineRule="exact"/>
        <w:rPr>
          <w:rFonts w:ascii="Arial" w:cs="Arial" w:eastAsia="Arial" w:hAnsi="Arial"/>
          <w:sz w:val="22"/>
          <w:szCs w:val="22"/>
          <w:b w:val="1"/>
          <w:bCs w:val="1"/>
          <w:color w:val="auto"/>
        </w:rPr>
      </w:pPr>
    </w:p>
    <w:p>
      <w:pPr>
        <w:ind w:left="1300" w:hanging="648"/>
        <w:spacing w:after="0" w:line="263" w:lineRule="auto"/>
        <w:rPr>
          <w:rFonts w:ascii="Arial" w:cs="Arial" w:eastAsia="Arial" w:hAnsi="Arial"/>
          <w:sz w:val="22"/>
          <w:szCs w:val="22"/>
          <w:b w:val="1"/>
          <w:bCs w:val="1"/>
          <w:color w:val="auto"/>
        </w:rPr>
      </w:pPr>
      <w:r>
        <w:rPr>
          <w:rFonts w:ascii="Arial" w:cs="Arial" w:eastAsia="Arial" w:hAnsi="Arial"/>
          <w:sz w:val="21"/>
          <w:szCs w:val="21"/>
          <w:color w:val="auto"/>
        </w:rPr>
        <w:t>3.2 BONUS. Executive will be eligible for annual incentive awards pursuant to the terms of the Cash Incentive Program or any applicable successor program (“Cash Bonus”). The target amount for Executive’s Cash Bonus shall be seventy percent (70%) of Base Salary (“Target Cash Bonus”). Executive’s actual Cash Bonus may range from 0% to an amount greater than Target Cash Bonus. The Cash Bonus, if any, earned for a fiscal year will be paid no later than the March 15 following the completion of the performance year.</w:t>
      </w:r>
    </w:p>
    <w:p>
      <w:pPr>
        <w:spacing w:after="0" w:line="17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EQUITY. Executive will be eligible to receive annual awards under the 2006 Equity Incentive Plan, as amended and restated, or any applicable successor plan</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(“Equity Plan”), subject to the terms and conditions of the applicable plan and as determined by the Committee in its discretion.</w:t>
      </w:r>
    </w:p>
    <w:p>
      <w:pPr>
        <w:sectPr>
          <w:pgSz w:w="11900" w:h="16838" w:orient="portrait"/>
          <w:cols w:equalWidth="0" w:num="1">
            <w:col w:w="11420"/>
          </w:cols>
          <w:pgMar w:left="240" w:top="787"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87" w:right="239" w:bottom="1440" w:gutter="0" w:footer="0" w:header="0"/>
          <w:type w:val="continuous"/>
        </w:sectPr>
      </w:pPr>
    </w:p>
    <w:bookmarkStart w:id="144" w:name="page145"/>
    <w:bookmarkEnd w:id="144"/>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REIMBURSEMENTS. The Company shall reimburse Executive for all reasonable and necessary out-of-pocket expenses incurred by Executive in connection with the performance of Executive’s duties hereunder, in accordance with the Company’s expense reimbursement policies and procedures.</w:t>
      </w:r>
    </w:p>
    <w:p>
      <w:pPr>
        <w:spacing w:after="0" w:line="18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BENEFITS. Executive will be eligible to participate in the Company’s health, welfare and retirement benefit plans generally available for executive officers from time to time.</w:t>
      </w:r>
    </w:p>
    <w:p>
      <w:pPr>
        <w:spacing w:after="0" w:line="169" w:lineRule="exact"/>
        <w:rPr>
          <w:sz w:val="20"/>
          <w:szCs w:val="20"/>
          <w:color w:val="auto"/>
        </w:rPr>
      </w:pPr>
    </w:p>
    <w:p>
      <w:pPr>
        <w:jc w:val="both"/>
        <w:ind w:left="660" w:hanging="652"/>
        <w:spacing w:after="0" w:line="290" w:lineRule="auto"/>
        <w:tabs>
          <w:tab w:leader="none" w:pos="660"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LAWS AND POLICIES; EMPLOYEE PROTECTIONS. </w:t>
      </w:r>
      <w:r>
        <w:rPr>
          <w:rFonts w:ascii="Arial" w:cs="Arial" w:eastAsia="Arial" w:hAnsi="Arial"/>
          <w:sz w:val="19"/>
          <w:szCs w:val="19"/>
          <w:color w:val="auto"/>
        </w:rPr>
        <w:t>Executive shall dedicate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full business time and attention to the performance of duties hereunder, perform Executive’s duties in good faith and to a professional standard, and fully comply with all laws and regulations pertaining to the performance of Executive’s responsibilities, all ethical rules, ABM’s Code of Business Conduct and Ethics, ABM’s Recoupment Policy as well as any and all of policies, procedures and instructions of ABM, in each case as in effect from time to time; provided, it shall not be a violation of the foregoing for Executive to manage Executive’s personal, financial and legal affairs to the extent that they do not interfere with Executive’s ability to perform Executive’s duties to the Company. Prior to joining or agreeing to serve on corporate, civil or charitable boards or committees, Executive shall obtain approval of the Chief Executive Officer or otherwise as required by ABM’s Corporate Governance Guidelines as in effect from time to time.</w:t>
      </w:r>
    </w:p>
    <w:p>
      <w:pPr>
        <w:spacing w:after="0" w:line="155" w:lineRule="exact"/>
        <w:rPr>
          <w:rFonts w:ascii="Arial" w:cs="Arial" w:eastAsia="Arial" w:hAnsi="Arial"/>
          <w:sz w:val="19"/>
          <w:szCs w:val="19"/>
          <w:b w:val="1"/>
          <w:bCs w:val="1"/>
          <w:color w:val="auto"/>
        </w:rPr>
      </w:pPr>
    </w:p>
    <w:p>
      <w:pPr>
        <w:jc w:val="both"/>
        <w:ind w:left="660"/>
        <w:spacing w:after="0" w:line="294" w:lineRule="auto"/>
        <w:rPr>
          <w:rFonts w:ascii="Arial" w:cs="Arial" w:eastAsia="Arial" w:hAnsi="Arial"/>
          <w:sz w:val="19"/>
          <w:szCs w:val="19"/>
          <w:b w:val="1"/>
          <w:bCs w:val="1"/>
          <w:color w:val="auto"/>
        </w:rPr>
      </w:pPr>
      <w:r>
        <w:rPr>
          <w:rFonts w:ascii="Arial" w:cs="Arial" w:eastAsia="Arial" w:hAnsi="Arial"/>
          <w:sz w:val="19"/>
          <w:szCs w:val="19"/>
          <w:color w:val="auto"/>
        </w:rPr>
        <w:t>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w:t>
      </w:r>
    </w:p>
    <w:p>
      <w:pPr>
        <w:spacing w:after="0" w:line="149" w:lineRule="exact"/>
        <w:rPr>
          <w:rFonts w:ascii="Arial" w:cs="Arial" w:eastAsia="Arial" w:hAnsi="Arial"/>
          <w:sz w:val="19"/>
          <w:szCs w:val="19"/>
          <w:b w:val="1"/>
          <w:bCs w:val="1"/>
          <w:color w:val="auto"/>
        </w:rPr>
      </w:pPr>
    </w:p>
    <w:p>
      <w:pPr>
        <w:jc w:val="both"/>
        <w:ind w:left="660"/>
        <w:spacing w:after="0" w:line="258" w:lineRule="auto"/>
        <w:rPr>
          <w:rFonts w:ascii="Arial" w:cs="Arial" w:eastAsia="Arial" w:hAnsi="Arial"/>
          <w:sz w:val="19"/>
          <w:szCs w:val="19"/>
          <w:b w:val="1"/>
          <w:bCs w:val="1"/>
          <w:color w:val="auto"/>
        </w:rPr>
      </w:pPr>
      <w:r>
        <w:rPr>
          <w:rFonts w:ascii="Arial" w:cs="Arial" w:eastAsia="Arial" w:hAnsi="Arial"/>
          <w:sz w:val="21"/>
          <w:szCs w:val="21"/>
          <w:color w:val="auto"/>
        </w:rPr>
        <w:t>Pursuant to Section 7 of the Defend Trade Secrets Act of 2016 (which added 18 U.S.C. § 1833(b)), the Company and Executive acknowledge and agree that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 Nothing in this Agreement or otherwise is intended to conflict with 18 U.S.C. § 1833(b) or create liability for disclosures of trade secrets that are expressly allowed by such Section.</w:t>
      </w:r>
    </w:p>
    <w:p>
      <w:pPr>
        <w:spacing w:after="0" w:line="177" w:lineRule="exact"/>
        <w:rPr>
          <w:rFonts w:ascii="Arial" w:cs="Arial" w:eastAsia="Arial" w:hAnsi="Arial"/>
          <w:sz w:val="19"/>
          <w:szCs w:val="19"/>
          <w:b w:val="1"/>
          <w:bCs w:val="1"/>
          <w:color w:val="auto"/>
        </w:rPr>
      </w:pPr>
    </w:p>
    <w:p>
      <w:pPr>
        <w:ind w:left="660" w:hanging="652"/>
        <w:spacing w:after="0"/>
        <w:tabs>
          <w:tab w:leader="none" w:pos="6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25" w:lineRule="exact"/>
        <w:rPr>
          <w:rFonts w:ascii="Arial" w:cs="Arial" w:eastAsia="Arial" w:hAnsi="Arial"/>
          <w:sz w:val="22"/>
          <w:szCs w:val="22"/>
          <w:b w:val="1"/>
          <w:bCs w:val="1"/>
          <w:color w:val="auto"/>
        </w:rPr>
      </w:pPr>
    </w:p>
    <w:p>
      <w:pPr>
        <w:jc w:val="both"/>
        <w:ind w:left="660"/>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In consideration of the compensation, contract term, potential Severance Benefits, continued 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 except that if Executive’s employment is terminated under circumstances qualifying Executive for payments under the Change-in-Control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3" w:right="239" w:bottom="1440" w:gutter="0" w:footer="0" w:header="0"/>
        </w:sectPr>
      </w:pPr>
    </w:p>
    <w:bookmarkStart w:id="145" w:name="page146"/>
    <w:bookmarkEnd w:id="145"/>
    <w:p>
      <w:pPr>
        <w:jc w:val="both"/>
        <w:ind w:right="20"/>
        <w:spacing w:after="0" w:line="263" w:lineRule="auto"/>
        <w:rPr>
          <w:sz w:val="20"/>
          <w:szCs w:val="20"/>
          <w:color w:val="auto"/>
        </w:rPr>
      </w:pPr>
      <w:r>
        <w:rPr>
          <w:rFonts w:ascii="Arial" w:cs="Arial" w:eastAsia="Arial" w:hAnsi="Arial"/>
          <w:sz w:val="22"/>
          <w:szCs w:val="22"/>
          <w:color w:val="auto"/>
        </w:rPr>
        <w:t>Agreement (as defined below), the applicable restrictive covenants set forth in such Change-in-Control Agreement shall supersede Sections 5.3, 5.4, 5.5 and 5.6 below:</w:t>
      </w:r>
    </w:p>
    <w:p>
      <w:pPr>
        <w:spacing w:after="0" w:line="175"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the Company and its subsidiaries in the operation of its business, pricing plans and strategies, as well as information about the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the Company and its subsidiaries; customer leads or referrals; customer preferences, needs, and requirements (including customer likes and dislikes, as well as supply and staffing requirements) and the manner in which they have been met by the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the Company’s LCMS database, JDE , LMS or similar systems; (vi) any and all information related to past, current or future acquisitions between the Company or Company-affiliated entities including information used or relied upon for said acquisition (“Confidential Information”). Notwithstanding the generality of the foregoing, Confidential Information shall not include: (x) information known to Executive prior to Executive’s discussions with the Company regarding Executive’s employment with the Company; (y) contact information contained on Executive’s rolodex (other than for officers, directors, employees, and/or independent contractors of the Company and Company-affiliated entities); or (z) information that is or becomes generally known in the industry or part of the public domain.</w:t>
      </w:r>
    </w:p>
    <w:p>
      <w:pPr>
        <w:spacing w:after="0" w:line="166"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NON-DISCLOSURE. The Company and Executive acknowledge and agree that the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the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w:t>
      </w:r>
    </w:p>
    <w:p>
      <w:pPr>
        <w:spacing w:after="0" w:line="33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793" w:right="239" w:bottom="1440" w:gutter="0" w:footer="0" w:header="0"/>
        </w:sectPr>
      </w:pPr>
    </w:p>
    <w:bookmarkStart w:id="146" w:name="page147"/>
    <w:bookmarkEnd w:id="146"/>
    <w:p>
      <w:pPr>
        <w:jc w:val="both"/>
        <w:ind w:left="100"/>
        <w:spacing w:after="0" w:line="260" w:lineRule="auto"/>
        <w:rPr>
          <w:sz w:val="20"/>
          <w:szCs w:val="20"/>
          <w:color w:val="auto"/>
        </w:rPr>
      </w:pPr>
      <w:r>
        <w:rPr>
          <w:rFonts w:ascii="Arial" w:cs="Arial" w:eastAsia="Arial" w:hAnsi="Arial"/>
          <w:sz w:val="21"/>
          <w:szCs w:val="21"/>
          <w:color w:val="auto"/>
        </w:rPr>
        <w:t>Executive unless the Company was assured that all such Confidential Information will be held in trust and confidence in accordance with this Agreement and applicable law. Executive hereby acknowledges and agrees to use this Confidential Information solely for the benefit of the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181" w:lineRule="exact"/>
        <w:rPr>
          <w:sz w:val="20"/>
          <w:szCs w:val="20"/>
          <w:color w:val="auto"/>
        </w:rPr>
      </w:pPr>
    </w:p>
    <w:p>
      <w:pPr>
        <w:jc w:val="both"/>
        <w:ind w:left="100" w:hanging="647"/>
        <w:spacing w:after="0" w:line="284" w:lineRule="auto"/>
        <w:tabs>
          <w:tab w:leader="none" w:pos="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NON-SOLICITATION OF EMPLOYEES. Executive acknowledges and agrees that the Company has developed its work force as the result of its investment of substantial time, effort, and expense. During the course and solely as a result of Executive’s employment with the Company, Executive will come into contact with officers, directors, employees, and/or independent contractors of the Company and Company-affiliated 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the Company and for a period of twelve (12)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the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the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 provided, nothing in this Section 5.3 shall prevent Executive from serving as a reference in response to a bona fide inquiry regarding an employee or former employee of the Company.</w:t>
      </w:r>
    </w:p>
    <w:p>
      <w:pPr>
        <w:spacing w:after="0" w:line="200" w:lineRule="exact"/>
        <w:rPr>
          <w:sz w:val="20"/>
          <w:szCs w:val="20"/>
          <w:color w:val="auto"/>
        </w:rPr>
      </w:pPr>
    </w:p>
    <w:p>
      <w:pPr>
        <w:spacing w:after="0" w:line="232" w:lineRule="exact"/>
        <w:rPr>
          <w:sz w:val="20"/>
          <w:szCs w:val="20"/>
          <w:color w:val="auto"/>
        </w:rPr>
      </w:pPr>
    </w:p>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NON-SOLICITATION OF CUSTOMERS. Executive acknowledges and agrees that the Company and its subsidiaries have identified, solicited, and developed their customers and developed customer relationships as the result of their investment of significant time, effort, and expense and that the Company has a legitimate business interest in protecting these relationships. Executive further acknowledges that Executive would not have been privy to these relationships were it not for Executive’s employment by the Company. Executive further acknowledges and agrees that the loss of such customers and clients would damage the Company and potentially cause the Company great and irreparable harm. Consequently, Executive covenants and agrees that during and for twelve (12) months following the termination of Executive’s employment with the Company (whether such termination is voluntary or involuntary), Executive shall not, directly or indirectly, for the benefit of any person or entity other than the Company, attempt to seek, seek, attempt to solicit, solicit, or</w:t>
      </w: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793" w:right="239" w:bottom="1440" w:gutter="0" w:footer="0" w:header="0"/>
        </w:sectPr>
      </w:pPr>
    </w:p>
    <w:bookmarkStart w:id="147" w:name="page148"/>
    <w:bookmarkEnd w:id="147"/>
    <w:p>
      <w:pPr>
        <w:jc w:val="both"/>
        <w:ind w:left="100"/>
        <w:spacing w:after="0" w:line="288" w:lineRule="auto"/>
        <w:rPr>
          <w:sz w:val="20"/>
          <w:szCs w:val="20"/>
          <w:color w:val="auto"/>
        </w:rPr>
      </w:pPr>
      <w:r>
        <w:rPr>
          <w:rFonts w:ascii="Arial" w:cs="Arial" w:eastAsia="Arial" w:hAnsi="Arial"/>
          <w:sz w:val="19"/>
          <w:szCs w:val="19"/>
          <w:color w:val="auto"/>
        </w:rPr>
        <w:t>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w:t>
      </w:r>
    </w:p>
    <w:p>
      <w:pPr>
        <w:spacing w:after="0" w:line="1" w:lineRule="exact"/>
        <w:rPr>
          <w:sz w:val="20"/>
          <w:szCs w:val="20"/>
          <w:color w:val="auto"/>
        </w:rPr>
      </w:pPr>
    </w:p>
    <w:p>
      <w:pPr>
        <w:jc w:val="both"/>
        <w:ind w:left="100" w:right="20" w:firstLine="5"/>
        <w:spacing w:after="0" w:line="244" w:lineRule="auto"/>
        <w:tabs>
          <w:tab w:leader="none" w:pos="41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Executive performed work, services, or engaged in business activity on behalf of the Company within the twelve (12) month period preceding the effective date of Executive’s termination of employment; and/or (b) where the Company has business operations and Executive was provided Confidential Information regarding the Company’s business activities in those territories within the twelve (12) month period preceding the effective date of Executive’s termination of employment.</w:t>
      </w:r>
    </w:p>
    <w:p>
      <w:pPr>
        <w:spacing w:after="0" w:line="195" w:lineRule="exact"/>
        <w:rPr>
          <w:sz w:val="20"/>
          <w:szCs w:val="20"/>
          <w:color w:val="auto"/>
        </w:rPr>
      </w:pPr>
    </w:p>
    <w:p>
      <w:pPr>
        <w:jc w:val="both"/>
        <w:ind w:left="100" w:hanging="647"/>
        <w:spacing w:after="0" w:line="283" w:lineRule="auto"/>
        <w:tabs>
          <w:tab w:leader="none" w:pos="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POST EMPLOYMENT COMPETITION. Executive agrees that, while employed by the Company and for a period of twelve (12)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Company-affiliated entity of which Executive had Confidential Information, in the twelve (12)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 (12) month period preceding the effective date of Executive’s termination of employment; and/or</w:t>
      </w:r>
    </w:p>
    <w:p>
      <w:pPr>
        <w:spacing w:after="0" w:line="6" w:lineRule="exact"/>
        <w:rPr>
          <w:sz w:val="20"/>
          <w:szCs w:val="20"/>
          <w:color w:val="auto"/>
        </w:rPr>
      </w:pPr>
    </w:p>
    <w:p>
      <w:pPr>
        <w:jc w:val="both"/>
        <w:ind w:left="100" w:firstLine="5"/>
        <w:spacing w:after="0" w:line="244" w:lineRule="auto"/>
        <w:tabs>
          <w:tab w:leader="none" w:pos="42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where the Company has business operations and Executive was provided Confidential Information regarding the Company’s business activities in those territories within the twelve (12) month period preceding the effective date of Executive’s termination of employment. The restrictions in Section 5.5 shall only apply if, within the twelve (12)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w:t>
      </w:r>
    </w:p>
    <w:p>
      <w:pPr>
        <w:spacing w:after="0" w:line="194" w:lineRule="exact"/>
        <w:rPr>
          <w:sz w:val="20"/>
          <w:szCs w:val="20"/>
          <w:color w:val="auto"/>
        </w:rPr>
      </w:pPr>
    </w:p>
    <w:p>
      <w:pPr>
        <w:jc w:val="both"/>
        <w:ind w:left="100" w:hanging="647"/>
        <w:spacing w:after="0" w:line="297" w:lineRule="auto"/>
        <w:tabs>
          <w:tab w:leader="none" w:pos="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NON-DISPARAGEMENT. Following the termination of Executive’s employment for any reason, Executive agrees not to make any statement or take any action which disparages, defames, or places in a negative light the Company, Company-affiliated entities, or its or their reputation, goodwill, commercial interests or past and present officers, directors, employees, consultants, and/or agents, and the Company shall instruct its directors and executive officers to not make any statement or take any action which disparages, defames, or places in a negative light Executive.</w:t>
      </w:r>
    </w:p>
    <w:p>
      <w:pPr>
        <w:spacing w:after="0" w:line="147"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CREATIONS. The terms and conditions set forth in Appendix A attached hereto are hereby incorporated by reference as though fully set forth herein.</w:t>
      </w:r>
    </w:p>
    <w:p>
      <w:pPr>
        <w:spacing w:after="0" w:line="169" w:lineRule="exact"/>
        <w:rPr>
          <w:sz w:val="20"/>
          <w:szCs w:val="20"/>
          <w:color w:val="auto"/>
        </w:rPr>
      </w:pPr>
    </w:p>
    <w:p>
      <w:pPr>
        <w:jc w:val="both"/>
        <w:ind w:left="100" w:hanging="647"/>
        <w:spacing w:after="0" w:line="252" w:lineRule="auto"/>
        <w:tabs>
          <w:tab w:leader="none" w:pos="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color w:val="auto"/>
        </w:rPr>
        <w:t>CONFIDENTIAL INFORMATION OF OTHERS; NO CONFLICTS</w:t>
      </w:r>
      <w:r>
        <w:rPr>
          <w:rFonts w:ascii="Arial" w:cs="Arial" w:eastAsia="Arial" w:hAnsi="Arial"/>
          <w:sz w:val="22"/>
          <w:szCs w:val="22"/>
          <w:b w:val="1"/>
          <w:bCs w:val="1"/>
          <w:color w:val="auto"/>
        </w:rPr>
        <w:t>.</w:t>
      </w:r>
      <w:r>
        <w:rPr>
          <w:rFonts w:ascii="Arial" w:cs="Arial" w:eastAsia="Arial" w:hAnsi="Arial"/>
          <w:sz w:val="22"/>
          <w:szCs w:val="22"/>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w:t>
      </w:r>
    </w:p>
    <w:p>
      <w:pPr>
        <w:spacing w:after="0" w:line="36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793" w:right="239" w:bottom="1440" w:gutter="0" w:footer="0" w:header="0"/>
        </w:sectPr>
      </w:pPr>
    </w:p>
    <w:bookmarkStart w:id="148" w:name="page149"/>
    <w:bookmarkEnd w:id="148"/>
    <w:p>
      <w:pPr>
        <w:jc w:val="both"/>
        <w:ind w:left="100"/>
        <w:spacing w:after="0" w:line="290" w:lineRule="auto"/>
        <w:rPr>
          <w:sz w:val="20"/>
          <w:szCs w:val="20"/>
          <w:color w:val="auto"/>
        </w:rPr>
      </w:pPr>
      <w:r>
        <w:rPr>
          <w:rFonts w:ascii="Arial" w:cs="Arial" w:eastAsia="Arial" w:hAnsi="Arial"/>
          <w:sz w:val="19"/>
          <w:szCs w:val="19"/>
          <w:color w:val="auto"/>
        </w:rPr>
        <w:t>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Chief Human Resources Officer. Executive has not entered into, and Executive agrees Executive will not enter into, any oral or written agreement in conflict with this Agreement.</w:t>
      </w:r>
    </w:p>
    <w:p>
      <w:pPr>
        <w:spacing w:after="0" w:line="157" w:lineRule="exact"/>
        <w:rPr>
          <w:sz w:val="20"/>
          <w:szCs w:val="20"/>
          <w:color w:val="auto"/>
        </w:rPr>
      </w:pPr>
    </w:p>
    <w:p>
      <w:pPr>
        <w:jc w:val="both"/>
        <w:ind w:left="100" w:hanging="647"/>
        <w:spacing w:after="0" w:line="285" w:lineRule="auto"/>
        <w:tabs>
          <w:tab w:leader="none" w:pos="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COOPERATION WITH LEGAL MATTERS. During Executive’s employment with Company and thereafter, Executive shall reasonably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claims,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Executive shall be compensated for Executive’s time at an hourly rate of $250 per hour. However, during any period in which Executive is an employee of the Company, Executive shall not be so compensated.</w:t>
      </w:r>
    </w:p>
    <w:p>
      <w:pPr>
        <w:spacing w:after="0" w:line="200" w:lineRule="exact"/>
        <w:rPr>
          <w:sz w:val="20"/>
          <w:szCs w:val="20"/>
          <w:color w:val="auto"/>
        </w:rPr>
      </w:pPr>
    </w:p>
    <w:p>
      <w:pPr>
        <w:spacing w:after="0" w:line="218" w:lineRule="exact"/>
        <w:rPr>
          <w:sz w:val="20"/>
          <w:szCs w:val="20"/>
          <w:color w:val="auto"/>
        </w:rPr>
      </w:pPr>
    </w:p>
    <w:p>
      <w:pPr>
        <w:jc w:val="both"/>
        <w:ind w:left="100" w:hanging="647"/>
        <w:spacing w:after="0" w:line="289" w:lineRule="auto"/>
        <w:tabs>
          <w:tab w:leader="none" w:pos="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color w:val="auto"/>
        </w:rPr>
        <w:t>REMEDIES AND DAMAGES. The parties agree that compliance with Sections 5.1 - 5.7 of the Agreement and Appendix A is necessary to protect the business, reputation and goodwill of the Company and, in the case of Section 5.5 of the Agreement, the reputation and goodwill of Executive, that the restrictions contained herein are reasonable, and that any breach of Section 5 may result in irreparable and continuing harm to the Company or to Executive, for which monetary damages will not provide adequate relief. Accordingly, in the event of any actual or threatened breach of any covenant or promise made by either party in Section 5, Company and Executive agree that both parties shall be entitled to all appropriate remedies, including temporary restraining orders and injunctions enjoining or restraining such actual or threatened breach. Each of the Company and Executive hereby consents to the issuance thereof forthwith by any court of competent jurisdiction.</w:t>
      </w:r>
    </w:p>
    <w:p>
      <w:pPr>
        <w:spacing w:after="0" w:line="158"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5.11</w:t>
        <w:tab/>
        <w:t>LIMITATIONS. Nothing in this Agreement shall be binding upon the parties to the extent it is void or unenforceable for any reason in the State of New York, including, without limitation,</w:t>
      </w:r>
    </w:p>
    <w:p>
      <w:pPr>
        <w:spacing w:after="0" w:line="3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793" w:right="239" w:bottom="1440" w:gutter="0" w:footer="0" w:header="0"/>
        </w:sectPr>
      </w:pPr>
    </w:p>
    <w:bookmarkStart w:id="149" w:name="page150"/>
    <w:bookmarkEnd w:id="149"/>
    <w:p>
      <w:pPr>
        <w:jc w:val="both"/>
        <w:ind w:left="1300" w:right="20"/>
        <w:spacing w:after="0" w:line="271" w:lineRule="auto"/>
        <w:rPr>
          <w:sz w:val="20"/>
          <w:szCs w:val="20"/>
          <w:color w:val="auto"/>
        </w:rPr>
      </w:pPr>
      <w:r>
        <w:rPr>
          <w:rFonts w:ascii="Arial" w:cs="Arial" w:eastAsia="Arial" w:hAnsi="Arial"/>
          <w:sz w:val="21"/>
          <w:szCs w:val="21"/>
          <w:color w:val="auto"/>
        </w:rPr>
        <w:t>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162" w:lineRule="exact"/>
        <w:rPr>
          <w:sz w:val="20"/>
          <w:szCs w:val="20"/>
          <w:color w:val="auto"/>
        </w:rPr>
      </w:pPr>
    </w:p>
    <w:p>
      <w:pPr>
        <w:jc w:val="both"/>
        <w:ind w:left="660" w:hanging="652"/>
        <w:spacing w:after="0" w:line="260" w:lineRule="auto"/>
        <w:tabs>
          <w:tab w:leader="none" w:pos="660"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AT-WILL EMPLOYMENT</w:t>
      </w:r>
      <w:r>
        <w:rPr>
          <w:rFonts w:ascii="Arial" w:cs="Arial" w:eastAsia="Arial" w:hAnsi="Arial"/>
          <w:sz w:val="21"/>
          <w:szCs w:val="21"/>
          <w:color w:val="auto"/>
        </w:rPr>
        <w:t>. The employment of Executive shall be “at-will” at all times. The Company or Executive may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for any reason, the Company shall pay to Executive all compensation to which Executive is entitled up through the date of termination, including accrued but unpaid Base Salary, any accrued and unused paid time off and any incurred but unpaid reimbursements (together “Accrued Obligations”). Thereafter, all obligations of the Company under this Agreement shall cease other than those set forth in Section 7.</w:t>
      </w:r>
    </w:p>
    <w:p>
      <w:pPr>
        <w:spacing w:after="0" w:line="176" w:lineRule="exact"/>
        <w:rPr>
          <w:rFonts w:ascii="Arial" w:cs="Arial" w:eastAsia="Arial" w:hAnsi="Arial"/>
          <w:sz w:val="21"/>
          <w:szCs w:val="21"/>
          <w:b w:val="1"/>
          <w:bCs w:val="1"/>
          <w:color w:val="auto"/>
        </w:rPr>
      </w:pPr>
    </w:p>
    <w:p>
      <w:pPr>
        <w:ind w:left="660" w:hanging="652"/>
        <w:spacing w:after="0"/>
        <w:tabs>
          <w:tab w:leader="none" w:pos="6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25" w:lineRule="exact"/>
        <w:rPr>
          <w:rFonts w:ascii="Arial" w:cs="Arial" w:eastAsia="Arial" w:hAnsi="Arial"/>
          <w:sz w:val="22"/>
          <w:szCs w:val="22"/>
          <w:b w:val="1"/>
          <w:bCs w:val="1"/>
          <w:color w:val="auto"/>
        </w:rPr>
      </w:pPr>
    </w:p>
    <w:p>
      <w:pPr>
        <w:jc w:val="right"/>
        <w:ind w:left="1300" w:hanging="648"/>
        <w:spacing w:after="0" w:line="283" w:lineRule="auto"/>
        <w:rPr>
          <w:rFonts w:ascii="Arial" w:cs="Arial" w:eastAsia="Arial" w:hAnsi="Arial"/>
          <w:sz w:val="22"/>
          <w:szCs w:val="22"/>
          <w:b w:val="1"/>
          <w:bCs w:val="1"/>
          <w:color w:val="auto"/>
        </w:rPr>
      </w:pPr>
      <w:r>
        <w:rPr>
          <w:rFonts w:ascii="Arial" w:cs="Arial" w:eastAsia="Arial" w:hAnsi="Arial"/>
          <w:sz w:val="19"/>
          <w:szCs w:val="19"/>
          <w:color w:val="auto"/>
        </w:rPr>
        <w:t>7.1    TERMINATION BY COMPANY FOR CAUSE. Where the Company terminates Executive’s employment for Cause, all obligations of the Company under this Agreement shall cease; provided the Company shall pay Executive the Accrued Obligations within thirty (30) days of the termination of Executive’s employment. For purposes of this Agreement, “Cause” shall mean the occurrence of one of the following: (i) Executive’s willful misconduct, dishonesty, or insubordination; (ii) Executive’s conviction (or entry of a plea bargain admitting criminal guilt) of any felony or a misdemeanor involving moral turpitude; (iii) drug or alcohol abuse that has a material effect on the performance of Executive’s duties and responsibilities under this Agreement; (iv) Executive’s willful and repeated failure to substantially perform Executive’s duties and responsibilities under this Agreement for reasons other than death or Disability, as defined below; (v) Executive’s willful and repeated inattention to duty for reasons other than death or Disability; (vi) Executive’s material and willful violation of the Company’s Code of Business Conduct; and</w:t>
      </w:r>
    </w:p>
    <w:p>
      <w:pPr>
        <w:spacing w:after="0" w:line="7" w:lineRule="exact"/>
        <w:rPr>
          <w:rFonts w:ascii="Arial" w:cs="Arial" w:eastAsia="Arial" w:hAnsi="Arial"/>
          <w:sz w:val="22"/>
          <w:szCs w:val="22"/>
          <w:b w:val="1"/>
          <w:bCs w:val="1"/>
          <w:color w:val="auto"/>
        </w:rPr>
      </w:pPr>
    </w:p>
    <w:p>
      <w:pPr>
        <w:jc w:val="both"/>
        <w:ind w:left="1300" w:right="20" w:firstLine="5"/>
        <w:spacing w:after="0" w:line="244" w:lineRule="auto"/>
        <w:tabs>
          <w:tab w:leader="none" w:pos="173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any other material and willful breach of this Agreement by Executive.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196"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TERMINATION BY THE COMPANY WITHOUT CAUSE OR TERMINATION BY THE EXECUTIVE FOR GOOD REASON. Where the Company terminates Executive’s employment without Cause, or Executive terminates Executive’s employment for Good Reason (as defined below), Executive shall be entitled to: (i) a payment equal in the aggregate to 2 times the sum of (A) Executive’s Base Salary and (B) Executive’s Target Cash Bonus, which payment shall be paid in equal installments (no less frequently than monthly) over the 24-month period following Executive’s separation from service, provided that any amounts otherwise payable prior to the effective date of the release referenced below shall be paid in a lump sum within 7 days following the effective date of such release; (ii) eighteen (18) months’ medical benefits coverage, which may be provided through COBRA reimbursement; (iii) Executive’s prorated Cash Bonus for the year of termination based on the Committee’s determination of actual performance following the end of the performance period; and (iv) any earned but unpaid Cash Bonus in respect of any completed fiscal year that has ended prior to the date of such termination (the amounts set forth in clauses (i) through (iv) collectively, the “Severance Benefits”); provided that Executive’s eligibility to receive the Severance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3" w:right="239" w:bottom="1440" w:gutter="0" w:footer="0" w:header="0"/>
        </w:sectPr>
      </w:pPr>
    </w:p>
    <w:bookmarkStart w:id="150" w:name="page151"/>
    <w:bookmarkEnd w:id="150"/>
    <w:p>
      <w:pPr>
        <w:jc w:val="both"/>
        <w:ind w:left="740"/>
        <w:spacing w:after="0" w:line="285" w:lineRule="auto"/>
        <w:rPr>
          <w:sz w:val="20"/>
          <w:szCs w:val="20"/>
          <w:color w:val="auto"/>
        </w:rPr>
      </w:pPr>
      <w:r>
        <w:rPr>
          <w:rFonts w:ascii="Arial" w:cs="Arial" w:eastAsia="Arial" w:hAnsi="Arial"/>
          <w:sz w:val="19"/>
          <w:szCs w:val="19"/>
          <w:color w:val="auto"/>
        </w:rPr>
        <w:t>Benefits is conditioned on: (A)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(B) Executive’s continued compliance with all continuing obligations under this Agreement, including but not limited to those set forth in Section 5. Executive shall not have any other rights or claims under this Agreement. For purposes of this Agreement, “Good Reason” shall mean the occurrence of one or more of the following events without Executive's prior written consent: (w) a material reduction in the Executive's Base Salary, (x) a material reduction in the Target Cash Bonus, (y) the Executive is no longer the most senior financial executive of the Company and/or reporting directly to the Chief Executive Officer, or (z) the Company requires the Executive to change Executive’s principal location of work by more than 50 miles. No Good Reason shall exist unless Executive has provided notice of such circumstances giving rise to Good Reason in reasonable detail to the Company within 30 days following the occurrence of such circumstances and, to the extent such circumstances are susceptible to remedy, the Company has failed to remedy such circumstances within thirty (30) days of receiving such notice, and Executive shall have resigned within 30 days following expiration of such cure period. For the avoidance of doubt, in the event Executive becomes entitled to receive Severance Benefits, any such Severance Benefits that remain unpaid upon Executive’s death shall be paid to Executive’s estate.</w:t>
      </w:r>
    </w:p>
    <w:p>
      <w:pPr>
        <w:spacing w:after="0" w:line="200" w:lineRule="exact"/>
        <w:rPr>
          <w:sz w:val="20"/>
          <w:szCs w:val="20"/>
          <w:color w:val="auto"/>
        </w:rPr>
      </w:pPr>
    </w:p>
    <w:p>
      <w:pPr>
        <w:spacing w:after="0" w:line="227" w:lineRule="exact"/>
        <w:rPr>
          <w:sz w:val="20"/>
          <w:szCs w:val="20"/>
          <w:color w:val="auto"/>
        </w:rPr>
      </w:pPr>
    </w:p>
    <w:p>
      <w:pPr>
        <w:jc w:val="both"/>
        <w:ind w:left="740" w:hanging="742"/>
        <w:spacing w:after="0" w:line="288" w:lineRule="auto"/>
        <w:tabs>
          <w:tab w:leader="none" w:pos="7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VOLUNTARY TERMINATION BY EXECUTIVE. Executive may give written notice of Executive’s resignation of employment at any time during this Agreement pursuant to Section 6, and thereafter, all obligations of the Company under this Agreement shall cease; provided the Company shall pay Executive the Accrued Obligations within thirty</w:t>
      </w:r>
    </w:p>
    <w:p>
      <w:pPr>
        <w:spacing w:after="0" w:line="1" w:lineRule="exact"/>
        <w:rPr>
          <w:sz w:val="20"/>
          <w:szCs w:val="20"/>
          <w:color w:val="auto"/>
        </w:rPr>
      </w:pPr>
    </w:p>
    <w:p>
      <w:pPr>
        <w:jc w:val="both"/>
        <w:ind w:left="740" w:firstLine="5"/>
        <w:spacing w:after="0" w:line="244" w:lineRule="auto"/>
        <w:tabs>
          <w:tab w:leader="none" w:pos="118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days of the termination of Executive’s employment or earlier as required by law.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196" w:lineRule="exact"/>
        <w:rPr>
          <w:sz w:val="20"/>
          <w:szCs w:val="20"/>
          <w:color w:val="auto"/>
        </w:rPr>
      </w:pPr>
    </w:p>
    <w:p>
      <w:pPr>
        <w:jc w:val="both"/>
        <w:ind w:left="740" w:hanging="742"/>
        <w:spacing w:after="0" w:line="290" w:lineRule="auto"/>
        <w:tabs>
          <w:tab w:leader="none" w:pos="7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RETIREMENT. With respect to equity-based awards granted following the Effective Date, in the event that Executive retires voluntarily from ABM following reaching age 60 with a minimum of 10 years of service, Executive’s then-outstanding equity-based awards under the Equity Plan (including any awards issued by an acquirer or successor to ABM in exchange or substitution for such awards) that were granted at least one year prior to such retirement will not be forfeited but will continue to be eligible for vesting, exercise and settlement, as applicable, on the originally scheduled vesting dates (and, for the avoidance of doubt with respect to performance-based awards, to the extent the applicable performance criteria originally set forth in such awards are met), subject to Executive’s continued compliance with the covenants set forth in Section 5 hereof.</w:t>
      </w:r>
    </w:p>
    <w:p>
      <w:pPr>
        <w:spacing w:after="0" w:line="157" w:lineRule="exact"/>
        <w:rPr>
          <w:sz w:val="20"/>
          <w:szCs w:val="20"/>
          <w:color w:val="auto"/>
        </w:rPr>
      </w:pPr>
    </w:p>
    <w:p>
      <w:pPr>
        <w:jc w:val="both"/>
        <w:ind w:left="740" w:hanging="742"/>
        <w:spacing w:after="0" w:line="246" w:lineRule="auto"/>
        <w:tabs>
          <w:tab w:leader="none" w:pos="7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color w:val="auto"/>
        </w:rPr>
        <w:t>DEATH OR DISABILITY. Executive’s employment hereunder shall automatically terminate upon the death of Executive and may be terminated at the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the Company. If Executive’s employment is terminated by the Company due to Executive’s death or Disability, then (i) Executive, or, upon death, to Executive’s designated beneficiary or estate, as applicable, shall be eligible to receive (A) any earned but unpaid Cash Bonus in respect of</w:t>
      </w:r>
    </w:p>
    <w:p>
      <w:pPr>
        <w:spacing w:after="0" w:line="37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800" w:top="793" w:right="239" w:bottom="1440" w:gutter="0" w:footer="0" w:header="0"/>
        </w:sectPr>
      </w:pPr>
    </w:p>
    <w:bookmarkStart w:id="151" w:name="page152"/>
    <w:bookmarkEnd w:id="151"/>
    <w:p>
      <w:pPr>
        <w:jc w:val="both"/>
        <w:ind w:left="740"/>
        <w:spacing w:after="0" w:line="286" w:lineRule="auto"/>
        <w:rPr>
          <w:sz w:val="20"/>
          <w:szCs w:val="20"/>
          <w:color w:val="auto"/>
        </w:rPr>
      </w:pPr>
      <w:r>
        <w:rPr>
          <w:rFonts w:ascii="Arial" w:cs="Arial" w:eastAsia="Arial" w:hAnsi="Arial"/>
          <w:sz w:val="19"/>
          <w:szCs w:val="19"/>
          <w:color w:val="auto"/>
        </w:rPr>
        <w:t>any completed fiscal year that has ended prior to the date of such termination and (B) a prorated Target Cash Bonus based on the length of performance in the applicable performance period prior to death or Disability and (ii) Executive’s then-outstanding equity-based awards under the Equity Plan (including any awards issued by an acquirer or successor to ABM in exchange or substitution for such awards) (x) that are subject to time-based vesting will not be forfeited but will become immediately fully vested and (y) that are subject to performance-based vesting for then-ongoing performance periods shall immediately become fully vested with respect to the number of shares that would have become earned and vested if the target level of performance was met. In the case of Disability, Executive’s eligibility to receive the foregoing is conditioned on: (i)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(ii) Executive’s continued compliance with all continuing obligations under this Agreement, including but not limited to those set forth in Section 5. Thereafter, Executive and Executive’s designated beneficiary or estate, as applicable, shall not have any other rights or claims under this Agreement.</w:t>
      </w:r>
    </w:p>
    <w:p>
      <w:pPr>
        <w:spacing w:after="0" w:line="163" w:lineRule="exact"/>
        <w:rPr>
          <w:sz w:val="20"/>
          <w:szCs w:val="20"/>
          <w:color w:val="auto"/>
        </w:rPr>
      </w:pPr>
    </w:p>
    <w:p>
      <w:pPr>
        <w:jc w:val="both"/>
        <w:ind w:left="740" w:hanging="742"/>
        <w:spacing w:after="0" w:line="258" w:lineRule="auto"/>
        <w:tabs>
          <w:tab w:leader="none" w:pos="7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1"/>
          <w:szCs w:val="21"/>
          <w:color w:val="auto"/>
        </w:rPr>
        <w:t>TIMING OF PAYMENTS. For the avoidance of doubt and without limiting the generality of Section 10.7, the parties intend that, except as expressly provided otherwise, any payments that become payable to Executive pursuant to Section 7.2 are intended to be exempt from, or compliant with, Section 409A of the Internal Revenue Code (“Section 409A”), and except as expressly provided otherwise shall be paid within the short-term deferral period within the meaning of Treasury Regulation section 1.409A-1(b)(4) to the extent required to be paid no later than March 15th of the calendar year following the calendar year in which Executive incurs a separation from service or shall be deemed to be paid under a “separation pay plan” within the meaning of Section 409A to the extent applicable. Any Cash Bonus or prorated Cash Bonus that becomes payable to Executive pursuant to Section 7.2(iii) shall be paid to Executive following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end of the performance year.</w:t>
      </w:r>
    </w:p>
    <w:p>
      <w:pPr>
        <w:spacing w:after="0" w:line="180" w:lineRule="exact"/>
        <w:rPr>
          <w:sz w:val="20"/>
          <w:szCs w:val="20"/>
          <w:color w:val="auto"/>
        </w:rPr>
      </w:pPr>
    </w:p>
    <w:p>
      <w:pPr>
        <w:jc w:val="both"/>
        <w:ind w:left="740" w:hanging="742"/>
        <w:spacing w:after="0" w:line="294" w:lineRule="auto"/>
        <w:tabs>
          <w:tab w:leader="none" w:pos="72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color w:val="auto"/>
        </w:rPr>
        <w:t>PAYMENTS AND BENEFITS WITH RESPECT TO A CHANGE IN CONTROL. Notwithstanding anything to the contrary in this Agreement or otherwise, if Executive’s employment is terminated under circumstances qualifying Executive for payments under the Change-in-Control Agreement between Executive and ABM (or any successor or amendment to such agreement, as applicable, the “Change-in-Control Agreement”), Executive shall not be entitled to the Severance Benefits under this Agreement and, alternatively, Executive’s entitlement to payments and benefits, if any, shall be governed by the terms of such Change-in-Control Agreement.</w:t>
      </w:r>
    </w:p>
    <w:p>
      <w:pPr>
        <w:spacing w:after="0" w:line="150" w:lineRule="exact"/>
        <w:rPr>
          <w:sz w:val="20"/>
          <w:szCs w:val="20"/>
          <w:color w:val="auto"/>
        </w:rPr>
      </w:pPr>
    </w:p>
    <w:p>
      <w:pPr>
        <w:jc w:val="both"/>
        <w:ind w:left="740" w:hanging="742"/>
        <w:spacing w:after="0" w:line="259" w:lineRule="auto"/>
        <w:tabs>
          <w:tab w:leader="none" w:pos="7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21"/>
          <w:szCs w:val="21"/>
          <w:color w:val="auto"/>
        </w:rPr>
        <w:t>EXCESS PARACHUTE PAYMENTS. Notwithstanding any provision of this Agreement or any other agreement or plan to the contrary (including without limitation any lesser protection of Executive under any equity-based award agreement), if any amount or benefit to be paid or provided under this Agreement or any other agreement or plan would be an “excess parachute payment” under Section 280G of the Code (an “Excess Parachute Payment”) (including after taking into account the value, to the maximum extent permitted by Section 280G of the Code, of the covenants herein), but for the application of this sentence, then the payments and benefits to be paid or provided under this Agreement and any other agreements and plans will be reduced to the minimum extent necessary (but in no event to less than zero)</w:t>
      </w:r>
    </w:p>
    <w:p>
      <w:pPr>
        <w:spacing w:after="0" w:line="36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800" w:top="793" w:right="239" w:bottom="1440" w:gutter="0" w:footer="0" w:header="0"/>
        </w:sectPr>
      </w:pPr>
    </w:p>
    <w:bookmarkStart w:id="152" w:name="page153"/>
    <w:bookmarkEnd w:id="152"/>
    <w:p>
      <w:pPr>
        <w:jc w:val="both"/>
        <w:ind w:left="1300"/>
        <w:spacing w:after="0" w:line="285" w:lineRule="auto"/>
        <w:rPr>
          <w:sz w:val="20"/>
          <w:szCs w:val="20"/>
          <w:color w:val="auto"/>
        </w:rPr>
      </w:pPr>
      <w:r>
        <w:rPr>
          <w:rFonts w:ascii="Arial" w:cs="Arial" w:eastAsia="Arial" w:hAnsi="Arial"/>
          <w:sz w:val="19"/>
          <w:szCs w:val="19"/>
          <w:color w:val="auto"/>
        </w:rPr>
        <w:t>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that is less than 90% of the After-Tax Amount of the payments and benefits that he would have received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herein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will not of itself limit or otherwise affect any other rights of the Executive pursuant to this Agreement or any other agreement or plan. In the event that any payment or benefit intended to be provided is required to be reduced pursuant to this Section,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165" w:lineRule="exact"/>
        <w:rPr>
          <w:sz w:val="20"/>
          <w:szCs w:val="20"/>
          <w:color w:val="auto"/>
        </w:rPr>
      </w:pPr>
    </w:p>
    <w:p>
      <w:pPr>
        <w:jc w:val="both"/>
        <w:ind w:left="1300" w:hanging="742"/>
        <w:spacing w:after="0" w:line="287" w:lineRule="auto"/>
        <w:tabs>
          <w:tab w:leader="none" w:pos="128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ACTIONS UPON TERMINATION. Upon termination of Executive’s employment for any reason, Executive shall be deemed to have immediately resigned as an officer and/or director of the Company and of any Company 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 agrees that all property (including without limitation all equipment, tangible proprietary information, documents, records, notes, contracts and computer-generated materials) furnished to or created or prepared by Executive incident to Executive’s employment with the Company belongs to the Company and shall be promptly returned to the Company upon termination of Executive’s employment.</w:t>
      </w:r>
    </w:p>
    <w:p>
      <w:pPr>
        <w:spacing w:after="0" w:line="200" w:lineRule="exact"/>
        <w:rPr>
          <w:sz w:val="20"/>
          <w:szCs w:val="20"/>
          <w:color w:val="auto"/>
        </w:rPr>
      </w:pPr>
    </w:p>
    <w:p>
      <w:pPr>
        <w:spacing w:after="0" w:line="221" w:lineRule="exact"/>
        <w:rPr>
          <w:sz w:val="20"/>
          <w:szCs w:val="20"/>
          <w:color w:val="auto"/>
        </w:rPr>
      </w:pPr>
    </w:p>
    <w:p>
      <w:pPr>
        <w:jc w:val="both"/>
        <w:ind w:left="1300" w:hanging="742"/>
        <w:spacing w:after="0" w:line="248" w:lineRule="auto"/>
        <w:tabs>
          <w:tab w:leader="none" w:pos="12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22"/>
          <w:szCs w:val="22"/>
          <w:color w:val="auto"/>
        </w:rPr>
        <w:t>WITHHOLDING AUTHORIZATION. To the fullest extent permitted under the laws of the State of Employment hereunder, Executive authorizes Company to withhold from any Severance Benefits otherwise due to Executive and from any other funds held for Executive’s benefit by Company, any undisputed damages or losses sustained by Company as a result of any material breach or other material violation of this Agreement by Executive, pending resolution of any underlying dispute.</w:t>
      </w:r>
    </w:p>
    <w:p>
      <w:pPr>
        <w:spacing w:after="0" w:line="186"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5" w:lineRule="exact"/>
        <w:rPr>
          <w:rFonts w:ascii="Arial" w:cs="Arial" w:eastAsia="Arial" w:hAnsi="Arial"/>
          <w:sz w:val="22"/>
          <w:szCs w:val="22"/>
          <w:b w:val="1"/>
          <w:bCs w:val="1"/>
          <w:color w:val="auto"/>
        </w:rPr>
      </w:pPr>
    </w:p>
    <w:p>
      <w:pPr>
        <w:ind w:left="1300" w:right="20" w:hanging="648"/>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8.1 ADDRESSES. Any notice required or permitted to be given pursuant to this Agreement shall be in writing and delivered in person, or sent prepaid by certified mail, overnight express, 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3" w:right="239" w:bottom="1440" w:gutter="0" w:footer="0" w:header="0"/>
        </w:sectPr>
      </w:pPr>
    </w:p>
    <w:bookmarkStart w:id="153" w:name="page154"/>
    <w:bookmarkEnd w:id="153"/>
    <w:p>
      <w:pPr>
        <w:ind w:left="1300"/>
        <w:spacing w:after="0" w:line="263" w:lineRule="auto"/>
        <w:rPr>
          <w:sz w:val="20"/>
          <w:szCs w:val="20"/>
          <w:color w:val="auto"/>
        </w:rPr>
      </w:pPr>
      <w:r>
        <w:rPr>
          <w:rFonts w:ascii="Arial" w:cs="Arial" w:eastAsia="Arial" w:hAnsi="Arial"/>
          <w:sz w:val="22"/>
          <w:szCs w:val="22"/>
          <w:color w:val="auto"/>
        </w:rPr>
        <w:t>electronically to the party named at the address set forth below or at such other address as either party may hereafter designate in writing to the other party:</w:t>
      </w:r>
    </w:p>
    <w:p>
      <w:pPr>
        <w:sectPr>
          <w:pgSz w:w="11900" w:h="16838" w:orient="portrait"/>
          <w:cols w:equalWidth="0" w:num="1">
            <w:col w:w="11420"/>
          </w:cols>
          <w:pgMar w:left="240" w:top="794"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00" w:lineRule="exact"/>
        <w:rPr>
          <w:sz w:val="20"/>
          <w:szCs w:val="20"/>
          <w:color w:val="auto"/>
        </w:rPr>
      </w:pPr>
    </w:p>
    <w:p>
      <w:pPr>
        <w:sectPr>
          <w:pgSz w:w="11900" w:h="16838" w:orient="portrait"/>
          <w:cols w:equalWidth="0" w:num="2">
            <w:col w:w="2220" w:space="180"/>
            <w:col w:w="9020"/>
          </w:cols>
          <w:pgMar w:left="240" w:top="794"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ABM Industries Incorporated</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 Liberty Plaza, New York, NY 10006</w:t>
      </w:r>
    </w:p>
    <w:p>
      <w:pPr>
        <w:spacing w:after="0" w:line="200" w:lineRule="exact"/>
        <w:rPr>
          <w:sz w:val="20"/>
          <w:szCs w:val="20"/>
          <w:color w:val="auto"/>
        </w:rPr>
      </w:pPr>
    </w:p>
    <w:p>
      <w:pPr>
        <w:sectPr>
          <w:pgSz w:w="11900" w:h="16838" w:orient="portrait"/>
          <w:cols w:equalWidth="0" w:num="2">
            <w:col w:w="2200" w:space="400"/>
            <w:col w:w="8820"/>
          </w:cols>
          <w:pgMar w:left="240" w:top="794" w:right="239" w:bottom="1440" w:gutter="0" w:footer="0" w:header="0"/>
          <w:type w:val="continuous"/>
        </w:sectPr>
      </w:pPr>
    </w:p>
    <w:p>
      <w:pPr>
        <w:spacing w:after="0" w:line="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Copy: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ABM Industries Incorporated</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 Liberty Plaza, New York, NY 10006</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Attention: Chief Human Resources Officer</w:t>
      </w:r>
    </w:p>
    <w:p>
      <w:pPr>
        <w:spacing w:after="0" w:line="128" w:lineRule="exact"/>
        <w:rPr>
          <w:sz w:val="20"/>
          <w:szCs w:val="20"/>
          <w:color w:val="auto"/>
        </w:rPr>
      </w:pPr>
    </w:p>
    <w:p>
      <w:pPr>
        <w:sectPr>
          <w:pgSz w:w="11900" w:h="16838" w:orient="portrait"/>
          <w:cols w:equalWidth="0" w:num="2">
            <w:col w:w="1880" w:space="720"/>
            <w:col w:w="8820"/>
          </w:cols>
          <w:pgMar w:left="240" w:top="794" w:right="239" w:bottom="1440" w:gutter="0" w:footer="0" w:header="0"/>
          <w:type w:val="continuous"/>
        </w:sect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color w:val="auto"/>
        </w:rPr>
        <w:t>RECEIPT. Any such notice shall be assumed to have been received when delivered in person or 48 hours after being sent in the manner specified above.</w:t>
      </w:r>
    </w:p>
    <w:p>
      <w:pPr>
        <w:spacing w:after="0" w:line="169" w:lineRule="exact"/>
        <w:rPr>
          <w:sz w:val="20"/>
          <w:szCs w:val="20"/>
          <w:color w:val="auto"/>
        </w:rPr>
      </w:pPr>
    </w:p>
    <w:p>
      <w:pPr>
        <w:jc w:val="both"/>
        <w:ind w:left="660" w:hanging="652"/>
        <w:spacing w:after="0" w:line="252" w:lineRule="auto"/>
        <w:tabs>
          <w:tab w:leader="none" w:pos="6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 The Company shall indemnify, defend, and hold Executive harmless to the fullest extent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Company’s Articles of Incorporation, Bylaws, or any other operating document. In addition, the Executive shall be included under the Company’s Directors and Officers Liability Insurance Policy. For the avoidance of doubt, this Section 9 shall survive the termination of this Agreement.</w:t>
      </w:r>
    </w:p>
    <w:p>
      <w:pPr>
        <w:spacing w:after="0" w:line="180" w:lineRule="exact"/>
        <w:rPr>
          <w:rFonts w:ascii="Arial" w:cs="Arial" w:eastAsia="Arial" w:hAnsi="Arial"/>
          <w:sz w:val="22"/>
          <w:szCs w:val="22"/>
          <w:b w:val="1"/>
          <w:bCs w:val="1"/>
          <w:color w:val="auto"/>
        </w:rPr>
      </w:pPr>
    </w:p>
    <w:p>
      <w:pPr>
        <w:ind w:left="660" w:hanging="652"/>
        <w:spacing w:after="0"/>
        <w:tabs>
          <w:tab w:leader="none" w:pos="6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25" w:lineRule="exact"/>
        <w:rPr>
          <w:rFonts w:ascii="Arial" w:cs="Arial" w:eastAsia="Arial" w:hAnsi="Arial"/>
          <w:sz w:val="22"/>
          <w:szCs w:val="22"/>
          <w:b w:val="1"/>
          <w:bCs w:val="1"/>
          <w:color w:val="auto"/>
        </w:rPr>
      </w:pPr>
    </w:p>
    <w:p>
      <w:pPr>
        <w:ind w:left="1300" w:hanging="648"/>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10.1 GOVERNING LAW. This Agreement shall be interpreted and enforced in accordance with the laws of the State of Employment, which, for purposes of this Agreement, shall mean the state of New York.</w:t>
      </w:r>
    </w:p>
    <w:p>
      <w:pPr>
        <w:spacing w:after="0" w:line="174" w:lineRule="exact"/>
        <w:rPr>
          <w:rFonts w:ascii="Arial" w:cs="Arial" w:eastAsia="Arial" w:hAnsi="Arial"/>
          <w:sz w:val="22"/>
          <w:szCs w:val="22"/>
          <w:b w:val="1"/>
          <w:bCs w:val="1"/>
          <w:color w:val="auto"/>
        </w:rPr>
      </w:pPr>
    </w:p>
    <w:p>
      <w:pPr>
        <w:jc w:val="center"/>
        <w:ind w:left="1300" w:hanging="648"/>
        <w:spacing w:after="0" w:line="287" w:lineRule="auto"/>
        <w:rPr>
          <w:rFonts w:ascii="Arial" w:cs="Arial" w:eastAsia="Arial" w:hAnsi="Arial"/>
          <w:sz w:val="22"/>
          <w:szCs w:val="22"/>
          <w:b w:val="1"/>
          <w:bCs w:val="1"/>
          <w:color w:val="auto"/>
        </w:rPr>
      </w:pPr>
      <w:r>
        <w:rPr>
          <w:rFonts w:ascii="Arial" w:cs="Arial" w:eastAsia="Arial" w:hAnsi="Arial"/>
          <w:sz w:val="21"/>
          <w:szCs w:val="21"/>
          <w:color w:val="auto"/>
        </w:rPr>
        <w:t>10.2   NO WAIVER. Failure by either party to enforce any term or condition of this Agreement at any time shall not preclude that party from enforcing that provision, or any other provision of this Agreement, at any later time.</w:t>
      </w:r>
    </w:p>
    <w:p>
      <w:pPr>
        <w:spacing w:after="0" w:line="151" w:lineRule="exact"/>
        <w:rPr>
          <w:rFonts w:ascii="Arial" w:cs="Arial" w:eastAsia="Arial" w:hAnsi="Arial"/>
          <w:sz w:val="22"/>
          <w:szCs w:val="22"/>
          <w:b w:val="1"/>
          <w:bCs w:val="1"/>
          <w:color w:val="auto"/>
        </w:rPr>
      </w:pPr>
    </w:p>
    <w:p>
      <w:pPr>
        <w:ind w:left="1300" w:hanging="648"/>
        <w:spacing w:after="0" w:line="288" w:lineRule="auto"/>
        <w:rPr>
          <w:rFonts w:ascii="Arial" w:cs="Arial" w:eastAsia="Arial" w:hAnsi="Arial"/>
          <w:sz w:val="22"/>
          <w:szCs w:val="22"/>
          <w:b w:val="1"/>
          <w:bCs w:val="1"/>
          <w:color w:val="auto"/>
        </w:rPr>
      </w:pPr>
      <w:r>
        <w:rPr>
          <w:rFonts w:ascii="Arial" w:cs="Arial" w:eastAsia="Arial" w:hAnsi="Arial"/>
          <w:sz w:val="19"/>
          <w:szCs w:val="19"/>
          <w:color w:val="auto"/>
        </w:rPr>
        <w:t>10.3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60" w:lineRule="exact"/>
        <w:rPr>
          <w:rFonts w:ascii="Arial" w:cs="Arial" w:eastAsia="Arial" w:hAnsi="Arial"/>
          <w:sz w:val="22"/>
          <w:szCs w:val="22"/>
          <w:b w:val="1"/>
          <w:bCs w:val="1"/>
          <w:color w:val="auto"/>
        </w:rPr>
      </w:pPr>
    </w:p>
    <w:p>
      <w:pPr>
        <w:ind w:left="1300" w:hanging="648"/>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10.4 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185" w:lineRule="exact"/>
        <w:rPr>
          <w:rFonts w:ascii="Arial" w:cs="Arial" w:eastAsia="Arial" w:hAnsi="Arial"/>
          <w:sz w:val="22"/>
          <w:szCs w:val="22"/>
          <w:b w:val="1"/>
          <w:bCs w:val="1"/>
          <w:color w:val="auto"/>
        </w:rPr>
      </w:pPr>
    </w:p>
    <w:p>
      <w:pPr>
        <w:ind w:left="1300" w:hanging="648"/>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10.5 SUCCESSORS. This Agreement is binding upon and shall inure to the benefit of the parties’ respective successors, assigns, administrators and legal representatives and Executive’s heirs and executors.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4" w:right="239" w:bottom="1440" w:gutter="0" w:footer="0" w:header="0"/>
          <w:type w:val="continuous"/>
        </w:sectPr>
      </w:pPr>
    </w:p>
    <w:bookmarkStart w:id="154" w:name="page155"/>
    <w:bookmarkEnd w:id="154"/>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160" w:lineRule="exact"/>
        <w:rPr>
          <w:sz w:val="20"/>
          <w:szCs w:val="20"/>
          <w:color w:val="auto"/>
        </w:rPr>
      </w:pPr>
    </w:p>
    <w:p>
      <w:pPr>
        <w:jc w:val="both"/>
        <w:ind w:left="100" w:hanging="647"/>
        <w:spacing w:after="0" w:line="284" w:lineRule="auto"/>
        <w:tabs>
          <w:tab w:leader="none" w:pos="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SECTION 409A. Without limiting the generality of Section 7.6, the parties intend for the payments and benefits under this Agreement to be exempt from Section 409A or, if not so exempt, to be paid or provided in a manner which complies with the requirements of such section, and intend that this Agreement shall be construed and administered in accordance with such intention. If any payments or benefits due to Executive hereunder would cause the application of an accelerated or additional tax under Section 409A, such payments or benefits shall be restructured in a mutually agreed upon manner that to the extent possible preserves the economic benefit and original intent thereof but does not cause such an accelerated or additional tax. For purposes of the limitations on nonqualified deferred compensation under Section 409A, each payment of compensation under this Agreement shall be treated as a separate payment of compensation.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 (6) month period immediately following Executive’s separation from service shall instead be paid on the first business day after the date that is six (6) months following Executive’s termination date (or death, if earlier). In the event that any payment under this Agreement may be made in two calendar years, depending on the timing of execution of a release, such payment shall be made in the later calendar year, to the extent required by Section 409A. Notwithstanding anything to the contrary in this Agreement, all (A) reimbursements 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w:t>
      </w:r>
    </w:p>
    <w:p>
      <w:pPr>
        <w:spacing w:after="0" w:line="200" w:lineRule="exact"/>
        <w:rPr>
          <w:sz w:val="20"/>
          <w:szCs w:val="20"/>
          <w:color w:val="auto"/>
        </w:rPr>
      </w:pPr>
    </w:p>
    <w:p>
      <w:pPr>
        <w:spacing w:after="0" w:line="230" w:lineRule="exact"/>
        <w:rPr>
          <w:sz w:val="20"/>
          <w:szCs w:val="20"/>
          <w:color w:val="auto"/>
        </w:rPr>
      </w:pPr>
    </w:p>
    <w:p>
      <w:pPr>
        <w:jc w:val="both"/>
        <w:ind w:left="100" w:hanging="647"/>
        <w:spacing w:after="0" w:line="302" w:lineRule="auto"/>
        <w:tabs>
          <w:tab w:leader="none" w:pos="8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color w:val="auto"/>
        </w:rPr>
        <w:t>COUNTERPARTS. This Agreement may be executed in several counterparts, each of which shall be deemed as an original, but all of which together shall constitute one and the same instrument binding on all of the parties hereto, notwithstanding that all of the parties are not signatory to the same counterpart. This Agreement may be executed either by original, facsimile, or electronic copy, each of which will be equally binding.</w:t>
      </w:r>
    </w:p>
    <w:p>
      <w:pPr>
        <w:spacing w:after="0" w:line="143"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10.9</w:t>
        <w:tab/>
        <w:t>ENTIRE AGREEMENT. Unless otherwise specified herein, this Agreement, together with Appendix A, sets forth every contract, understanding and arrangement as to the employment</w:t>
      </w:r>
    </w:p>
    <w:p>
      <w:pPr>
        <w:spacing w:after="0" w:line="3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793" w:right="239" w:bottom="1440" w:gutter="0" w:footer="0" w:header="0"/>
        </w:sectPr>
      </w:pPr>
    </w:p>
    <w:bookmarkStart w:id="155" w:name="page156"/>
    <w:bookmarkEnd w:id="155"/>
    <w:p>
      <w:pPr>
        <w:jc w:val="both"/>
        <w:ind w:left="100"/>
        <w:spacing w:after="0" w:line="250" w:lineRule="auto"/>
        <w:rPr>
          <w:sz w:val="20"/>
          <w:szCs w:val="20"/>
          <w:color w:val="auto"/>
        </w:rPr>
      </w:pPr>
      <w:r>
        <w:rPr>
          <w:rFonts w:ascii="Arial" w:cs="Arial" w:eastAsia="Arial" w:hAnsi="Arial"/>
          <w:sz w:val="22"/>
          <w:szCs w:val="22"/>
          <w:color w:val="auto"/>
        </w:rPr>
        <w:t xml:space="preserve">relationship between Executive and the Company (other than the Change in Control Agreement and any equity award agreement under the Equity Plan;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event that this Agreement conflicts with the terms of any equity award agreement, this Agreement shall govern unless otherwise expressly stated in such equity award agreement).</w:t>
      </w:r>
    </w:p>
    <w:p>
      <w:pPr>
        <w:spacing w:after="0" w:line="188" w:lineRule="exact"/>
        <w:rPr>
          <w:sz w:val="20"/>
          <w:szCs w:val="20"/>
          <w:color w:val="auto"/>
        </w:rPr>
      </w:pPr>
    </w:p>
    <w:p>
      <w:pPr>
        <w:jc w:val="both"/>
        <w:ind w:left="760" w:hanging="647"/>
        <w:spacing w:after="0" w:line="253" w:lineRule="auto"/>
        <w:rPr>
          <w:sz w:val="20"/>
          <w:szCs w:val="20"/>
          <w:color w:val="auto"/>
        </w:rPr>
      </w:pPr>
      <w:r>
        <w:rPr>
          <w:rFonts w:ascii="Arial" w:cs="Arial" w:eastAsia="Arial" w:hAnsi="Arial"/>
          <w:sz w:val="22"/>
          <w:szCs w:val="22"/>
          <w:color w:val="auto"/>
        </w:rPr>
        <w:t>10.9.a 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86" w:lineRule="exact"/>
        <w:rPr>
          <w:sz w:val="20"/>
          <w:szCs w:val="20"/>
          <w:color w:val="auto"/>
        </w:rPr>
      </w:pPr>
    </w:p>
    <w:p>
      <w:pPr>
        <w:jc w:val="both"/>
        <w:ind w:left="760" w:hanging="647"/>
        <w:spacing w:after="0" w:line="263" w:lineRule="auto"/>
        <w:rPr>
          <w:sz w:val="20"/>
          <w:szCs w:val="20"/>
          <w:color w:val="auto"/>
        </w:rPr>
      </w:pPr>
      <w:r>
        <w:rPr>
          <w:rFonts w:ascii="Arial" w:cs="Arial" w:eastAsia="Arial" w:hAnsi="Arial"/>
          <w:sz w:val="22"/>
          <w:szCs w:val="22"/>
          <w:color w:val="auto"/>
        </w:rPr>
        <w:t>10.9.b AMENDMENTS. This Agreement may not be amended except in a writing signed by the Executive and an authorized representative of the Company.</w:t>
      </w:r>
    </w:p>
    <w:p>
      <w:pPr>
        <w:spacing w:after="0" w:line="3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793" w:right="2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Executive and Company have executed this Agreement as of the date set forth above.</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19"/>
          <w:szCs w:val="19"/>
          <w:b w:val="1"/>
          <w:bCs w:val="1"/>
          <w:color w:val="auto"/>
        </w:rPr>
        <w:t>D. Anthony Scaglione</w:t>
      </w:r>
    </w:p>
    <w:p>
      <w:pPr>
        <w:spacing w:after="0" w:line="239"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D. Anthony Scaglione</w:t>
      </w:r>
    </w:p>
    <w:p>
      <w:pPr>
        <w:spacing w:after="0" w:line="22"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22, 2017</w:t>
      </w:r>
    </w:p>
    <w:p>
      <w:pPr>
        <w:spacing w:after="0" w:line="223"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19"/>
          <w:szCs w:val="19"/>
          <w:b w:val="1"/>
          <w:bCs w:val="1"/>
          <w:color w:val="auto"/>
        </w:rPr>
        <w:t>ABM Industries Incorporated</w:t>
      </w:r>
    </w:p>
    <w:p>
      <w:pPr>
        <w:spacing w:after="0" w:line="239"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David R. Goodes</w:t>
      </w:r>
    </w:p>
    <w:p>
      <w:pPr>
        <w:spacing w:after="0" w:line="2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Name, Title: </w:t>
      </w:r>
      <w:r>
        <w:rPr>
          <w:rFonts w:ascii="Arial" w:cs="Arial" w:eastAsia="Arial" w:hAnsi="Arial"/>
          <w:sz w:val="22"/>
          <w:szCs w:val="22"/>
          <w:u w:val="single" w:color="auto"/>
          <w:color w:val="auto"/>
        </w:rPr>
        <w:t>David R. Goodes, Chief Human Resources Officer</w:t>
      </w:r>
    </w:p>
    <w:p>
      <w:pPr>
        <w:spacing w:after="0" w:line="17"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22, 2017</w:t>
      </w:r>
    </w:p>
    <w:p>
      <w:pPr>
        <w:spacing w:after="0" w:line="200" w:lineRule="exact"/>
        <w:rPr>
          <w:sz w:val="20"/>
          <w:szCs w:val="20"/>
          <w:color w:val="auto"/>
        </w:rPr>
      </w:pP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1260" w:right="1440"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b w:val="1"/>
          <w:bCs w:val="1"/>
          <w:color w:val="auto"/>
        </w:rPr>
        <w:t>APPENDIX A</w:t>
      </w:r>
    </w:p>
    <w:p>
      <w:pPr>
        <w:spacing w:after="0" w:line="226" w:lineRule="exact"/>
        <w:rPr>
          <w:sz w:val="20"/>
          <w:szCs w:val="20"/>
          <w:color w:val="auto"/>
        </w:rPr>
      </w:pPr>
    </w:p>
    <w:p>
      <w:pPr>
        <w:jc w:val="both"/>
        <w:ind w:left="1300" w:hanging="644"/>
        <w:spacing w:after="0" w:line="283" w:lineRule="auto"/>
        <w:tabs>
          <w:tab w:leader="none" w:pos="130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w:t>
      </w:r>
    </w:p>
    <w:p>
      <w:pPr>
        <w:spacing w:after="0" w:line="1" w:lineRule="exact"/>
        <w:rPr>
          <w:rFonts w:ascii="Arial" w:cs="Arial" w:eastAsia="Arial" w:hAnsi="Arial"/>
          <w:sz w:val="19"/>
          <w:szCs w:val="19"/>
          <w:color w:val="auto"/>
        </w:rPr>
      </w:pPr>
    </w:p>
    <w:p>
      <w:pPr>
        <w:jc w:val="both"/>
        <w:ind w:left="1300"/>
        <w:spacing w:after="0" w:line="244" w:lineRule="auto"/>
        <w:rPr>
          <w:rFonts w:ascii="Arial" w:cs="Arial" w:eastAsia="Arial" w:hAnsi="Arial"/>
          <w:sz w:val="19"/>
          <w:szCs w:val="19"/>
          <w:color w:val="auto"/>
        </w:rPr>
      </w:pPr>
      <w:r>
        <w:rPr>
          <w:rFonts w:ascii="Arial" w:cs="Arial" w:eastAsia="Arial" w:hAnsi="Arial"/>
          <w:sz w:val="22"/>
          <w:szCs w:val="22"/>
          <w:color w:val="auto"/>
        </w:rPr>
        <w:t>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95" w:lineRule="exact"/>
        <w:rPr>
          <w:rFonts w:ascii="Arial" w:cs="Arial" w:eastAsia="Arial" w:hAnsi="Arial"/>
          <w:sz w:val="19"/>
          <w:szCs w:val="19"/>
          <w:color w:val="auto"/>
        </w:rPr>
      </w:pPr>
    </w:p>
    <w:p>
      <w:pPr>
        <w:jc w:val="both"/>
        <w:ind w:left="1300" w:hanging="644"/>
        <w:spacing w:after="0" w:line="259" w:lineRule="auto"/>
        <w:tabs>
          <w:tab w:leader="none" w:pos="130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the Company at all times.</w:t>
      </w:r>
    </w:p>
    <w:p>
      <w:pPr>
        <w:spacing w:after="0" w:line="180" w:lineRule="exact"/>
        <w:rPr>
          <w:rFonts w:ascii="Arial" w:cs="Arial" w:eastAsia="Arial" w:hAnsi="Arial"/>
          <w:sz w:val="21"/>
          <w:szCs w:val="21"/>
          <w:color w:val="auto"/>
        </w:rPr>
      </w:pPr>
    </w:p>
    <w:p>
      <w:pPr>
        <w:jc w:val="both"/>
        <w:ind w:left="1300" w:hanging="644"/>
        <w:spacing w:after="0" w:line="289" w:lineRule="auto"/>
        <w:tabs>
          <w:tab w:leader="none" w:pos="130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87" w:right="239" w:bottom="1440" w:gutter="0" w:footer="0" w:header="0"/>
        </w:sectPr>
      </w:pPr>
    </w:p>
    <w:bookmarkStart w:id="158" w:name="page159"/>
    <w:bookmarkEnd w:id="158"/>
    <w:p>
      <w:pPr>
        <w:jc w:val="both"/>
        <w:ind w:left="1300"/>
        <w:spacing w:after="0" w:line="247" w:lineRule="auto"/>
        <w:rPr>
          <w:sz w:val="20"/>
          <w:szCs w:val="20"/>
          <w:color w:val="auto"/>
        </w:rPr>
      </w:pPr>
      <w:r>
        <w:rPr>
          <w:rFonts w:ascii="Arial" w:cs="Arial" w:eastAsia="Arial" w:hAnsi="Arial"/>
          <w:sz w:val="22"/>
          <w:szCs w:val="22"/>
          <w:color w:val="auto"/>
        </w:rPr>
        <w:t>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 LABOR CODE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2870-2872</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88" w:lineRule="exact"/>
        <w:rPr>
          <w:sz w:val="20"/>
          <w:szCs w:val="20"/>
          <w:color w:val="auto"/>
        </w:rPr>
      </w:pPr>
    </w:p>
    <w:p>
      <w:pPr>
        <w:ind w:left="1300" w:hanging="644"/>
        <w:spacing w:after="0" w:line="263" w:lineRule="auto"/>
        <w:tabs>
          <w:tab w:leader="none" w:pos="130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19" w:lineRule="exact"/>
        <w:rPr>
          <w:rFonts w:ascii="Arial" w:cs="Arial" w:eastAsia="Arial" w:hAnsi="Arial"/>
          <w:sz w:val="22"/>
          <w:szCs w:val="22"/>
          <w:color w:val="auto"/>
        </w:rPr>
      </w:pPr>
    </w:p>
    <w:p>
      <w:pPr>
        <w:jc w:val="both"/>
        <w:ind w:firstLine="8"/>
        <w:spacing w:after="0" w:line="253" w:lineRule="auto"/>
        <w:tabs>
          <w:tab w:leader="none" w:pos="3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4"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10.34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CHANGE IN CONTROL AGREEMENT</w:t>
      </w:r>
    </w:p>
    <w:p>
      <w:pPr>
        <w:spacing w:after="0" w:line="26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This Amended and Restated Change in Control Agreement (this “Agreement”), effective as of November 1, 2017 is made between ABM Industries Incorporated, a Delaware corporation (the “Company”) and the individual executing this Agreement as the Executive on the signature page (the “Executive”). This Agreement amends and restates the Change in Control Agreement dated effective as of April 6, 2015 and supersedes any other prior Change in Control Agreement between Executive and the Company.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6" w:lineRule="exact"/>
        <w:rPr>
          <w:sz w:val="20"/>
          <w:szCs w:val="20"/>
          <w:color w:val="auto"/>
        </w:rPr>
      </w:pPr>
    </w:p>
    <w:p>
      <w:pPr>
        <w:ind w:firstLine="656"/>
        <w:spacing w:after="0" w:line="276" w:lineRule="auto"/>
        <w:tabs>
          <w:tab w:leader="none" w:pos="118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Executive is a senior executive of the Company and has made and is expected to continue to make major contributions to the short- and long-term profitability, growth and financial strength of the Company;</w:t>
      </w:r>
    </w:p>
    <w:p>
      <w:pPr>
        <w:spacing w:after="0" w:line="201" w:lineRule="exact"/>
        <w:rPr>
          <w:rFonts w:ascii="Arial" w:cs="Arial" w:eastAsia="Arial" w:hAnsi="Arial"/>
          <w:sz w:val="22"/>
          <w:szCs w:val="22"/>
          <w:color w:val="auto"/>
        </w:rPr>
      </w:pPr>
    </w:p>
    <w:p>
      <w:pPr>
        <w:jc w:val="both"/>
        <w:ind w:firstLine="656"/>
        <w:spacing w:after="0" w:line="254" w:lineRule="auto"/>
        <w:tabs>
          <w:tab w:leader="none" w:pos="116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Company recognizes that the possibility of a Change in Control, as hereinafter defined,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225" w:lineRule="exact"/>
        <w:rPr>
          <w:rFonts w:ascii="Arial" w:cs="Arial" w:eastAsia="Arial" w:hAnsi="Arial"/>
          <w:sz w:val="22"/>
          <w:szCs w:val="22"/>
          <w:color w:val="auto"/>
        </w:rPr>
      </w:pPr>
    </w:p>
    <w:p>
      <w:pPr>
        <w:ind w:firstLine="656"/>
        <w:spacing w:after="0" w:line="358" w:lineRule="auto"/>
        <w:tabs>
          <w:tab w:leader="none" w:pos="114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131" w:lineRule="exact"/>
        <w:rPr>
          <w:rFonts w:ascii="Arial" w:cs="Arial" w:eastAsia="Arial" w:hAnsi="Arial"/>
          <w:sz w:val="19"/>
          <w:szCs w:val="19"/>
          <w:color w:val="auto"/>
        </w:rPr>
      </w:pPr>
    </w:p>
    <w:p>
      <w:pPr>
        <w:ind w:firstLine="656"/>
        <w:spacing w:after="0" w:line="276" w:lineRule="auto"/>
        <w:tabs>
          <w:tab w:leader="none" w:pos="109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Company desires to provide additional inducement for the Executive to continue to remain in the employ of the Company. Accordingly, the Company and the Executive agree as follows:</w:t>
      </w:r>
    </w:p>
    <w:p>
      <w:pPr>
        <w:spacing w:after="0" w:line="201" w:lineRule="exact"/>
        <w:rPr>
          <w:sz w:val="20"/>
          <w:szCs w:val="20"/>
          <w:color w:val="auto"/>
        </w:rPr>
      </w:pPr>
    </w:p>
    <w:p>
      <w:pPr>
        <w:ind w:firstLine="656"/>
        <w:spacing w:after="0" w:line="263" w:lineRule="auto"/>
        <w:tabs>
          <w:tab w:leader="none" w:pos="1459"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In addition to terms defined elsewhere herein, the following terms have the following meanings when used in this Agreement with initial capital letters:</w:t>
      </w:r>
    </w:p>
    <w:p>
      <w:pPr>
        <w:spacing w:after="0" w:line="215" w:lineRule="exact"/>
        <w:rPr>
          <w:rFonts w:ascii="Arial" w:cs="Arial" w:eastAsia="Arial" w:hAnsi="Arial"/>
          <w:sz w:val="22"/>
          <w:szCs w:val="22"/>
          <w:color w:val="auto"/>
        </w:rPr>
      </w:pPr>
    </w:p>
    <w:p>
      <w:pPr>
        <w:jc w:val="both"/>
        <w:ind w:firstLine="1953"/>
        <w:spacing w:after="0" w:line="253" w:lineRule="auto"/>
        <w:tabs>
          <w:tab w:leader="none" w:pos="2833"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“After-Tax Amount” means the amount to be received by an Executive determined on an after-tax basis taking into account the excise tax imposed pursuant to Section 4999 of the Code, any tax imposed by any comparable provision of state law and any applicable federal, state and local income and employment taxes.</w:t>
      </w:r>
    </w:p>
    <w:p>
      <w:pPr>
        <w:spacing w:after="0" w:line="226" w:lineRule="exact"/>
        <w:rPr>
          <w:rFonts w:ascii="Arial" w:cs="Arial" w:eastAsia="Arial" w:hAnsi="Arial"/>
          <w:sz w:val="22"/>
          <w:szCs w:val="22"/>
          <w:color w:val="auto"/>
        </w:rPr>
      </w:pPr>
    </w:p>
    <w:p>
      <w:pPr>
        <w:ind w:firstLine="1953"/>
        <w:spacing w:after="0" w:line="263" w:lineRule="auto"/>
        <w:tabs>
          <w:tab w:leader="none" w:pos="284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“Base Pay” means the Executive’s annual base salary rate as in effect at the time a determination is required to be made under Section 4.</w:t>
      </w:r>
    </w:p>
    <w:p>
      <w:pPr>
        <w:spacing w:after="0" w:line="215" w:lineRule="exact"/>
        <w:rPr>
          <w:rFonts w:ascii="Arial" w:cs="Arial" w:eastAsia="Arial" w:hAnsi="Arial"/>
          <w:sz w:val="22"/>
          <w:szCs w:val="22"/>
          <w:color w:val="auto"/>
        </w:rPr>
      </w:pPr>
    </w:p>
    <w:p>
      <w:pPr>
        <w:jc w:val="both"/>
        <w:ind w:firstLine="1953"/>
        <w:spacing w:after="0" w:line="247" w:lineRule="auto"/>
        <w:tabs>
          <w:tab w:leader="none" w:pos="2833" w:val="left"/>
        </w:tabs>
        <w:numPr>
          <w:ilvl w:val="1"/>
          <w:numId w:val="110"/>
        </w:numPr>
        <w:rPr>
          <w:rFonts w:ascii="Arial" w:cs="Arial" w:eastAsia="Arial" w:hAnsi="Arial"/>
          <w:sz w:val="22"/>
          <w:szCs w:val="22"/>
          <w:color w:val="auto"/>
        </w:rPr>
      </w:pPr>
      <w:r>
        <w:rPr>
          <w:rFonts w:ascii="Arial" w:cs="Arial" w:eastAsia="Arial" w:hAnsi="Arial"/>
          <w:sz w:val="22"/>
          <w:szCs w:val="22"/>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 adopted by a majority of the Incumbent Directors by written action, whether or not unanimous, or may be delegated by specific action of the Board of Directors after the date hereof to any directorate committee comprised solely of Incumbent Directors who are also Independent Directors.</w:t>
      </w:r>
    </w:p>
    <w:p>
      <w:pPr>
        <w:spacing w:after="0" w:line="234" w:lineRule="exact"/>
        <w:rPr>
          <w:rFonts w:ascii="Arial" w:cs="Arial" w:eastAsia="Arial" w:hAnsi="Arial"/>
          <w:sz w:val="22"/>
          <w:szCs w:val="22"/>
          <w:color w:val="auto"/>
        </w:rPr>
      </w:pPr>
    </w:p>
    <w:p>
      <w:pPr>
        <w:ind w:firstLine="1953"/>
        <w:spacing w:after="0" w:line="263" w:lineRule="auto"/>
        <w:tabs>
          <w:tab w:leader="none" w:pos="284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“Cause” shall mean, with respect to the Executive: (i) the willful and continued failure to substantially perform the Executive’s duties and responsibilities for reasons other than death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60" w:name="page161"/>
    <w:bookmarkEnd w:id="160"/>
    <w:p>
      <w:pPr>
        <w:jc w:val="both"/>
        <w:spacing w:after="0" w:line="286" w:lineRule="auto"/>
        <w:rPr>
          <w:sz w:val="20"/>
          <w:szCs w:val="20"/>
          <w:color w:val="auto"/>
        </w:rPr>
      </w:pPr>
      <w:r>
        <w:rPr>
          <w:rFonts w:ascii="Arial" w:cs="Arial" w:eastAsia="Arial" w:hAnsi="Arial"/>
          <w:sz w:val="19"/>
          <w:szCs w:val="19"/>
          <w:color w:val="auto"/>
        </w:rPr>
        <w:t>disability, after a written demand for substantial performance is delivered to him/her by the Company which specifically identifies the manner in which the Company believes that the Executive has not substantially performed the Executive’s duties; (ii) the Executive’s conviction (or entry of a plea bargain admitting criminal guilt) of any felony or a misdemeanor involving moral turpitude; (iii) intentional breach by the Executive of his/her fiduciary obligations to the Company or any securities laws applicable to the Company for which Executive has direct responsibility and of which he was not acting under instructions of the Board or under the belief, based on advice of Company counsel, that his conduct was appropriate; or (iv) intentional wrongful engagement by the Executive in any Competitive Activity; and, for purposes of this subsection (iv),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208" w:lineRule="exact"/>
        <w:rPr>
          <w:sz w:val="20"/>
          <w:szCs w:val="20"/>
          <w:color w:val="auto"/>
        </w:rPr>
      </w:pPr>
    </w:p>
    <w:p>
      <w:pPr>
        <w:ind w:firstLine="1953"/>
        <w:spacing w:after="0" w:line="343" w:lineRule="auto"/>
        <w:tabs>
          <w:tab w:leader="none" w:pos="2833"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“Change in Control” means that any of the following events occurs;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occurrence of such event constitutes a “change in effective ownership or control” of the Company, as defined in Section 409A:</w:t>
      </w:r>
    </w:p>
    <w:p>
      <w:pPr>
        <w:spacing w:after="0" w:line="145" w:lineRule="exact"/>
        <w:rPr>
          <w:rFonts w:ascii="Arial" w:cs="Arial" w:eastAsia="Arial" w:hAnsi="Arial"/>
          <w:sz w:val="19"/>
          <w:szCs w:val="19"/>
          <w:color w:val="auto"/>
        </w:rPr>
      </w:pPr>
    </w:p>
    <w:p>
      <w:pPr>
        <w:jc w:val="both"/>
        <w:ind w:firstLine="1629"/>
        <w:spacing w:after="0" w:line="247" w:lineRule="auto"/>
        <w:tabs>
          <w:tab w:leader="none" w:pos="214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immediately prior to either such event cease to constitute a majority of the members of the Board; or</w:t>
      </w:r>
    </w:p>
    <w:p>
      <w:pPr>
        <w:spacing w:after="0" w:line="234" w:lineRule="exact"/>
        <w:rPr>
          <w:rFonts w:ascii="Arial" w:cs="Arial" w:eastAsia="Arial" w:hAnsi="Arial"/>
          <w:sz w:val="22"/>
          <w:szCs w:val="22"/>
          <w:color w:val="auto"/>
        </w:rPr>
      </w:pPr>
    </w:p>
    <w:p>
      <w:pPr>
        <w:ind w:left="2220" w:hanging="591"/>
        <w:spacing w:after="0"/>
        <w:tabs>
          <w:tab w:leader="none" w:pos="22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 majority of the Board ceases to be comprised of Incumbent Directors; or</w:t>
      </w:r>
    </w:p>
    <w:p>
      <w:pPr>
        <w:spacing w:after="0" w:line="260" w:lineRule="exact"/>
        <w:rPr>
          <w:rFonts w:ascii="Arial" w:cs="Arial" w:eastAsia="Arial" w:hAnsi="Arial"/>
          <w:sz w:val="22"/>
          <w:szCs w:val="22"/>
          <w:color w:val="auto"/>
        </w:rPr>
      </w:pPr>
    </w:p>
    <w:p>
      <w:pPr>
        <w:jc w:val="both"/>
        <w:ind w:firstLine="1629"/>
        <w:spacing w:after="0" w:line="259" w:lineRule="auto"/>
        <w:tabs>
          <w:tab w:leader="none" w:pos="239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(B) at least one-half of the members of the board of directors of the entity resulting from such Business Transaction were Incumbent Directors at the time of the execution of the initial agreement providing for such Business Transaction.</w:t>
      </w:r>
    </w:p>
    <w:p>
      <w:pPr>
        <w:spacing w:after="0" w:line="220" w:lineRule="exact"/>
        <w:rPr>
          <w:rFonts w:ascii="Arial" w:cs="Arial" w:eastAsia="Arial" w:hAnsi="Arial"/>
          <w:sz w:val="21"/>
          <w:szCs w:val="21"/>
          <w:color w:val="auto"/>
        </w:rPr>
      </w:pPr>
    </w:p>
    <w:p>
      <w:pPr>
        <w:ind w:left="2820" w:hanging="867"/>
        <w:spacing w:after="0"/>
        <w:tabs>
          <w:tab w:leader="none" w:pos="282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60" w:lineRule="exact"/>
        <w:rPr>
          <w:rFonts w:ascii="Arial" w:cs="Arial" w:eastAsia="Arial" w:hAnsi="Arial"/>
          <w:sz w:val="22"/>
          <w:szCs w:val="22"/>
          <w:color w:val="auto"/>
        </w:rPr>
      </w:pPr>
    </w:p>
    <w:p>
      <w:pPr>
        <w:jc w:val="both"/>
        <w:ind w:firstLine="1953"/>
        <w:spacing w:after="0" w:line="250" w:lineRule="auto"/>
        <w:tabs>
          <w:tab w:leader="none" w:pos="284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“Competitive Activity” means the Executive’s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61" w:name="page162"/>
    <w:bookmarkEnd w:id="161"/>
    <w:p>
      <w:pPr>
        <w:jc w:val="both"/>
        <w:spacing w:after="0" w:line="247" w:lineRule="auto"/>
        <w:rPr>
          <w:sz w:val="20"/>
          <w:szCs w:val="20"/>
          <w:color w:val="auto"/>
        </w:rPr>
      </w:pPr>
      <w:r>
        <w:rPr>
          <w:rFonts w:ascii="Arial" w:cs="Arial" w:eastAsia="Arial" w:hAnsi="Arial"/>
          <w:sz w:val="22"/>
          <w:szCs w:val="22"/>
          <w:color w:val="auto"/>
        </w:rPr>
        <w:t>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234" w:lineRule="exact"/>
        <w:rPr>
          <w:sz w:val="20"/>
          <w:szCs w:val="20"/>
          <w:color w:val="auto"/>
        </w:rPr>
      </w:pPr>
    </w:p>
    <w:p>
      <w:pPr>
        <w:jc w:val="both"/>
        <w:ind w:firstLine="1953"/>
        <w:spacing w:after="0" w:line="289" w:lineRule="auto"/>
        <w:tabs>
          <w:tab w:leader="none" w:pos="2845" w:val="left"/>
        </w:tabs>
        <w:numPr>
          <w:ilvl w:val="1"/>
          <w:numId w:val="113"/>
        </w:numPr>
        <w:rPr>
          <w:rFonts w:ascii="Arial" w:cs="Arial" w:eastAsia="Arial" w:hAnsi="Arial"/>
          <w:sz w:val="19"/>
          <w:szCs w:val="19"/>
          <w:color w:val="auto"/>
        </w:rPr>
      </w:pPr>
      <w:r>
        <w:rPr>
          <w:rFonts w:ascii="Arial" w:cs="Arial" w:eastAsia="Arial" w:hAnsi="Arial"/>
          <w:sz w:val="19"/>
          <w:szCs w:val="19"/>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 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pacing w:after="0" w:line="198" w:lineRule="exact"/>
        <w:rPr>
          <w:rFonts w:ascii="Arial" w:cs="Arial" w:eastAsia="Arial" w:hAnsi="Arial"/>
          <w:sz w:val="19"/>
          <w:szCs w:val="19"/>
          <w:color w:val="auto"/>
        </w:rPr>
      </w:pPr>
    </w:p>
    <w:p>
      <w:pPr>
        <w:ind w:left="2800" w:hanging="847"/>
        <w:spacing w:after="0"/>
        <w:tabs>
          <w:tab w:leader="none" w:pos="280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“ERISA” means the Employee Retirement Income Security Act of 1976, as amended</w:t>
      </w:r>
    </w:p>
    <w:p>
      <w:pPr>
        <w:spacing w:after="0" w:line="260" w:lineRule="exact"/>
        <w:rPr>
          <w:rFonts w:ascii="Arial" w:cs="Arial" w:eastAsia="Arial" w:hAnsi="Arial"/>
          <w:sz w:val="22"/>
          <w:szCs w:val="22"/>
          <w:color w:val="auto"/>
        </w:rPr>
      </w:pPr>
    </w:p>
    <w:p>
      <w:pPr>
        <w:ind w:firstLine="1953"/>
        <w:spacing w:after="0" w:line="263" w:lineRule="auto"/>
        <w:tabs>
          <w:tab w:leader="none" w:pos="279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“Excess Parachute Payment” means a payment that creates an obligation for Executive to pay excise taxes under Section 280G of the Code.</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w:t>
      </w:r>
    </w:p>
    <w:p>
      <w:pPr>
        <w:spacing w:after="0" w:line="260" w:lineRule="exact"/>
        <w:rPr>
          <w:rFonts w:ascii="Arial" w:cs="Arial" w:eastAsia="Arial" w:hAnsi="Arial"/>
          <w:sz w:val="22"/>
          <w:szCs w:val="22"/>
          <w:color w:val="auto"/>
        </w:rPr>
      </w:pPr>
    </w:p>
    <w:p>
      <w:pPr>
        <w:ind w:firstLine="1953"/>
        <w:spacing w:after="0" w:line="263" w:lineRule="auto"/>
        <w:tabs>
          <w:tab w:leader="none" w:pos="279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“Good Reason” means the occurrence of one or more of the following events, without the Executive’s prior written consent:</w:t>
      </w:r>
    </w:p>
    <w:p>
      <w:pPr>
        <w:spacing w:after="0" w:line="215" w:lineRule="exact"/>
        <w:rPr>
          <w:rFonts w:ascii="Arial" w:cs="Arial" w:eastAsia="Arial" w:hAnsi="Arial"/>
          <w:sz w:val="22"/>
          <w:szCs w:val="22"/>
          <w:color w:val="auto"/>
        </w:rPr>
      </w:pPr>
    </w:p>
    <w:p>
      <w:pPr>
        <w:jc w:val="both"/>
        <w:ind w:firstLine="1629"/>
        <w:spacing w:after="0" w:line="297" w:lineRule="auto"/>
        <w:tabs>
          <w:tab w:leader="none" w:pos="214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 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187" w:lineRule="exact"/>
        <w:rPr>
          <w:rFonts w:ascii="Arial" w:cs="Arial" w:eastAsia="Arial" w:hAnsi="Arial"/>
          <w:sz w:val="19"/>
          <w:szCs w:val="19"/>
          <w:color w:val="auto"/>
        </w:rPr>
      </w:pPr>
    </w:p>
    <w:p>
      <w:pPr>
        <w:jc w:val="both"/>
        <w:ind w:firstLine="1629"/>
        <w:spacing w:after="0" w:line="246" w:lineRule="auto"/>
        <w:tabs>
          <w:tab w:leader="none" w:pos="220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Failure of the Company to remedy any of the following within 30 calendar days after receipt by the Company of written notice thereof from the Executive: (A) a significant adverse change in the nature or scope of the authorities, powers or functions attached to the position with the Company which the Executive held immediately prior to the Change in Control; (B) a material reduction in the Executive’s Base Pay, (C) a material reduction in the Executive’s Incentive Pay Opportunity or Incentive Pay Target, or (D) the termination or denial of the Executive’s rights to material Employee Benefits or a material reduction in the scope or value thereof, unless such termination or reduction referred to in clauses (B), (C) or (D) applies on a substantially similar basis to all executives of the Company and its parent entities or such right is replaced with a right with a substantially similar scope or value;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62" w:name="page163"/>
    <w:bookmarkEnd w:id="162"/>
    <w:p>
      <w:pPr>
        <w:ind w:left="2280" w:hanging="651"/>
        <w:spacing w:after="0"/>
        <w:tabs>
          <w:tab w:leader="none" w:pos="22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Company requires the Executive to change Executive’s principal location of work by more than 35</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miles;</w:t>
      </w:r>
    </w:p>
    <w:p>
      <w:pPr>
        <w:spacing w:after="0" w:line="242" w:lineRule="exact"/>
        <w:rPr>
          <w:sz w:val="20"/>
          <w:szCs w:val="20"/>
          <w:color w:val="auto"/>
        </w:rPr>
      </w:pPr>
    </w:p>
    <w:p>
      <w:pPr>
        <w:jc w:val="both"/>
        <w:ind w:firstLine="1629"/>
        <w:spacing w:after="0" w:line="250" w:lineRule="auto"/>
        <w:tabs>
          <w:tab w:leader="none" w:pos="225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 the event of the transfer of all or substantially all of the Company’s business and/or assets, the failure of the successor or successors to which all or substantially all of its business and/or assets have been transferred to assume (by operation of law, agreement or otherwise) pursuant to Section 12 hereof all duties and obligations of the Company under this Agreement; or</w:t>
      </w:r>
    </w:p>
    <w:p>
      <w:pPr>
        <w:spacing w:after="0" w:line="228" w:lineRule="exact"/>
        <w:rPr>
          <w:rFonts w:ascii="Arial" w:cs="Arial" w:eastAsia="Arial" w:hAnsi="Arial"/>
          <w:sz w:val="22"/>
          <w:szCs w:val="22"/>
          <w:color w:val="auto"/>
        </w:rPr>
      </w:pPr>
    </w:p>
    <w:p>
      <w:pPr>
        <w:jc w:val="both"/>
        <w:ind w:firstLine="1629"/>
        <w:spacing w:after="0" w:line="271" w:lineRule="auto"/>
        <w:tabs>
          <w:tab w:leader="none" w:pos="2197" w:val="left"/>
        </w:tabs>
        <w:numPr>
          <w:ilvl w:val="0"/>
          <w:numId w:val="116"/>
        </w:numPr>
        <w:rPr>
          <w:rFonts w:ascii="Arial" w:cs="Arial" w:eastAsia="Arial" w:hAnsi="Arial"/>
          <w:sz w:val="21"/>
          <w:szCs w:val="21"/>
          <w:color w:val="auto"/>
        </w:rPr>
      </w:pPr>
      <w:r>
        <w:rPr>
          <w:rFonts w:ascii="Arial" w:cs="Arial" w:eastAsia="Arial" w:hAnsi="Arial"/>
          <w:sz w:val="21"/>
          <w:szCs w:val="21"/>
          <w:color w:val="auto"/>
        </w:rPr>
        <w:t>Without limiting the generality or effect of the foregoing, any material breach of this Agreement or any Other Employment Agreement (as defined below) by the Company or any successor thereto which is not remedied by the Company within 10 calendar days after receipt by the Company of written notice from the Executive of such breach.</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termination of employment by the Executive for one of the reasons set forth in clauses (i) - (iv)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30 days of the receipt of such notice, and the Executive terminates employment within the 90-day period thereafter (and, in any event, during the Severance Period). The Company and the Executive may mutually waive in writing any of the foregoing provisions with respect to an event or events that otherwise would constitute Good Reason.</w:t>
      </w:r>
    </w:p>
    <w:p>
      <w:pPr>
        <w:spacing w:after="0" w:line="238" w:lineRule="exact"/>
        <w:rPr>
          <w:sz w:val="20"/>
          <w:szCs w:val="20"/>
          <w:color w:val="auto"/>
        </w:rPr>
      </w:pPr>
    </w:p>
    <w:p>
      <w:pPr>
        <w:jc w:val="both"/>
        <w:ind w:firstLine="1953"/>
        <w:spacing w:after="0" w:line="259" w:lineRule="auto"/>
        <w:tabs>
          <w:tab w:leader="none" w:pos="290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24" w:lineRule="exact"/>
        <w:rPr>
          <w:rFonts w:ascii="Arial" w:cs="Arial" w:eastAsia="Arial" w:hAnsi="Arial"/>
          <w:sz w:val="21"/>
          <w:szCs w:val="21"/>
          <w:color w:val="auto"/>
        </w:rPr>
      </w:pPr>
    </w:p>
    <w:p>
      <w:pPr>
        <w:ind w:firstLine="1953"/>
        <w:spacing w:after="0" w:line="263" w:lineRule="auto"/>
        <w:tabs>
          <w:tab w:leader="none" w:pos="284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“Incentive Pay” means compensation in addition to Base Pay determined by reference to one or more performance measures, whether payable in cash, securities or otherwise.</w:t>
      </w:r>
    </w:p>
    <w:p>
      <w:pPr>
        <w:spacing w:after="0" w:line="215" w:lineRule="exact"/>
        <w:rPr>
          <w:rFonts w:ascii="Arial" w:cs="Arial" w:eastAsia="Arial" w:hAnsi="Arial"/>
          <w:sz w:val="22"/>
          <w:szCs w:val="22"/>
          <w:color w:val="auto"/>
        </w:rPr>
      </w:pPr>
    </w:p>
    <w:p>
      <w:pPr>
        <w:jc w:val="both"/>
        <w:ind w:firstLine="1953"/>
        <w:spacing w:after="0" w:line="247" w:lineRule="auto"/>
        <w:tabs>
          <w:tab w:leader="none" w:pos="284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“Incentive Pay Opportunity” means the maximum amount of Incentive Pay that the Executive would receive pursuant to any Incentive Pay Plan in 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234" w:lineRule="exact"/>
        <w:rPr>
          <w:rFonts w:ascii="Arial" w:cs="Arial" w:eastAsia="Arial" w:hAnsi="Arial"/>
          <w:sz w:val="22"/>
          <w:szCs w:val="22"/>
          <w:color w:val="auto"/>
        </w:rPr>
      </w:pPr>
    </w:p>
    <w:p>
      <w:pPr>
        <w:jc w:val="both"/>
        <w:ind w:right="20" w:firstLine="1953"/>
        <w:spacing w:after="0" w:line="253" w:lineRule="auto"/>
        <w:tabs>
          <w:tab w:leader="none" w:pos="284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226" w:lineRule="exact"/>
        <w:rPr>
          <w:rFonts w:ascii="Arial" w:cs="Arial" w:eastAsia="Arial" w:hAnsi="Arial"/>
          <w:sz w:val="22"/>
          <w:szCs w:val="22"/>
          <w:color w:val="auto"/>
        </w:rPr>
      </w:pPr>
    </w:p>
    <w:p>
      <w:pPr>
        <w:ind w:firstLine="1953"/>
        <w:spacing w:after="0" w:line="263" w:lineRule="auto"/>
        <w:tabs>
          <w:tab w:leader="none" w:pos="284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“Incentive Pay Target” means the amount or value of Incentive Pay the Executive would have received assuming that the Incentive Pay Plans in effect immediately prior to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63" w:name="page164"/>
    <w:bookmarkEnd w:id="163"/>
    <w:p>
      <w:pPr>
        <w:ind w:right="20"/>
        <w:spacing w:after="0" w:line="343" w:lineRule="auto"/>
        <w:rPr>
          <w:sz w:val="20"/>
          <w:szCs w:val="20"/>
          <w:color w:val="auto"/>
        </w:rPr>
      </w:pPr>
      <w:r>
        <w:rPr>
          <w:rFonts w:ascii="Arial" w:cs="Arial" w:eastAsia="Arial" w:hAnsi="Arial"/>
          <w:sz w:val="19"/>
          <w:szCs w:val="19"/>
          <w:color w:val="auto"/>
        </w:rPr>
        <w:t>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145" w:lineRule="exact"/>
        <w:rPr>
          <w:sz w:val="20"/>
          <w:szCs w:val="20"/>
          <w:color w:val="auto"/>
        </w:rPr>
      </w:pPr>
    </w:p>
    <w:p>
      <w:pPr>
        <w:jc w:val="both"/>
        <w:ind w:firstLine="1953"/>
        <w:spacing w:after="0" w:line="253" w:lineRule="auto"/>
        <w:tabs>
          <w:tab w:leader="none" w:pos="280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226" w:lineRule="exact"/>
        <w:rPr>
          <w:rFonts w:ascii="Arial" w:cs="Arial" w:eastAsia="Arial" w:hAnsi="Arial"/>
          <w:sz w:val="22"/>
          <w:szCs w:val="22"/>
          <w:color w:val="auto"/>
        </w:rPr>
      </w:pPr>
    </w:p>
    <w:p>
      <w:pPr>
        <w:jc w:val="both"/>
        <w:ind w:firstLine="1953"/>
        <w:spacing w:after="0" w:line="253" w:lineRule="auto"/>
        <w:tabs>
          <w:tab w:leader="none" w:pos="282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226" w:lineRule="exact"/>
        <w:rPr>
          <w:rFonts w:ascii="Arial" w:cs="Arial" w:eastAsia="Arial" w:hAnsi="Arial"/>
          <w:sz w:val="22"/>
          <w:szCs w:val="22"/>
          <w:color w:val="auto"/>
        </w:rPr>
      </w:pPr>
    </w:p>
    <w:p>
      <w:pPr>
        <w:jc w:val="both"/>
        <w:ind w:firstLine="1953"/>
        <w:spacing w:after="0" w:line="247" w:lineRule="auto"/>
        <w:tabs>
          <w:tab w:leader="none" w:pos="279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2" w:lineRule="exact"/>
        <w:rPr>
          <w:rFonts w:ascii="Arial" w:cs="Arial" w:eastAsia="Arial" w:hAnsi="Arial"/>
          <w:sz w:val="22"/>
          <w:szCs w:val="22"/>
          <w:color w:val="auto"/>
        </w:rPr>
      </w:pPr>
    </w:p>
    <w:p>
      <w:pPr>
        <w:ind w:left="2860" w:hanging="907"/>
        <w:spacing w:after="0"/>
        <w:tabs>
          <w:tab w:leader="none" w:pos="28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“Section 162(m)” means Section 162(m) of the Code.</w:t>
      </w:r>
    </w:p>
    <w:p>
      <w:pPr>
        <w:spacing w:after="0" w:line="242" w:lineRule="exact"/>
        <w:rPr>
          <w:rFonts w:ascii="Arial" w:cs="Arial" w:eastAsia="Arial" w:hAnsi="Arial"/>
          <w:sz w:val="22"/>
          <w:szCs w:val="22"/>
          <w:color w:val="auto"/>
        </w:rPr>
      </w:pPr>
    </w:p>
    <w:p>
      <w:pPr>
        <w:ind w:left="2860" w:hanging="907"/>
        <w:spacing w:after="0"/>
        <w:tabs>
          <w:tab w:leader="none" w:pos="28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“Section 409A” means Section 409A of the Code.</w:t>
      </w:r>
    </w:p>
    <w:p>
      <w:pPr>
        <w:spacing w:after="0" w:line="260" w:lineRule="exact"/>
        <w:rPr>
          <w:rFonts w:ascii="Arial" w:cs="Arial" w:eastAsia="Arial" w:hAnsi="Arial"/>
          <w:sz w:val="22"/>
          <w:szCs w:val="22"/>
          <w:color w:val="auto"/>
        </w:rPr>
      </w:pPr>
    </w:p>
    <w:p>
      <w:pPr>
        <w:jc w:val="both"/>
        <w:ind w:firstLine="1953"/>
        <w:spacing w:after="0" w:line="253" w:lineRule="auto"/>
        <w:tabs>
          <w:tab w:leader="none" w:pos="289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“Severance Period” means the period of time commencing on the date of the first occurrence of a Change in Control and continuing until the earlier of (i) the second anniversary of the occurrence of the Change in Control and (ii) the Executive’s death.</w:t>
      </w:r>
    </w:p>
    <w:p>
      <w:pPr>
        <w:spacing w:after="0" w:line="226" w:lineRule="exact"/>
        <w:rPr>
          <w:rFonts w:ascii="Arial" w:cs="Arial" w:eastAsia="Arial" w:hAnsi="Arial"/>
          <w:sz w:val="22"/>
          <w:szCs w:val="22"/>
          <w:color w:val="auto"/>
        </w:rPr>
      </w:pPr>
    </w:p>
    <w:p>
      <w:pPr>
        <w:ind w:right="20" w:firstLine="1953"/>
        <w:spacing w:after="0" w:line="263" w:lineRule="auto"/>
        <w:tabs>
          <w:tab w:leader="none" w:pos="284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“Subsidiary” means an entity in which the Company directly or indirectly beneficially owns 50% or more of the outstanding Voting Stock.</w:t>
      </w:r>
    </w:p>
    <w:p>
      <w:pPr>
        <w:spacing w:after="0" w:line="215" w:lineRule="exact"/>
        <w:rPr>
          <w:rFonts w:ascii="Arial" w:cs="Arial" w:eastAsia="Arial" w:hAnsi="Arial"/>
          <w:sz w:val="22"/>
          <w:szCs w:val="22"/>
          <w:color w:val="auto"/>
        </w:rPr>
      </w:pPr>
    </w:p>
    <w:p>
      <w:pPr>
        <w:jc w:val="both"/>
        <w:ind w:firstLine="1953"/>
        <w:spacing w:after="0" w:line="253" w:lineRule="auto"/>
        <w:tabs>
          <w:tab w:leader="none" w:pos="284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226" w:lineRule="exact"/>
        <w:rPr>
          <w:rFonts w:ascii="Arial" w:cs="Arial" w:eastAsia="Arial" w:hAnsi="Arial"/>
          <w:sz w:val="22"/>
          <w:szCs w:val="22"/>
          <w:color w:val="auto"/>
        </w:rPr>
      </w:pPr>
    </w:p>
    <w:p>
      <w:pPr>
        <w:ind w:left="2840" w:hanging="887"/>
        <w:spacing w:after="0"/>
        <w:tabs>
          <w:tab w:leader="none" w:pos="28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“Voting Stock” means securities entitled to vote generally in the election of directors.</w:t>
      </w:r>
    </w:p>
    <w:p>
      <w:pPr>
        <w:spacing w:after="0" w:line="260" w:lineRule="exact"/>
        <w:rPr>
          <w:sz w:val="20"/>
          <w:szCs w:val="20"/>
          <w:color w:val="auto"/>
        </w:rPr>
      </w:pPr>
    </w:p>
    <w:p>
      <w:pPr>
        <w:jc w:val="both"/>
        <w:ind w:firstLine="1953"/>
        <w:spacing w:after="0" w:line="253" w:lineRule="auto"/>
        <w:tabs>
          <w:tab w:leader="none" w:pos="2929" w:val="left"/>
        </w:tabs>
        <w:numPr>
          <w:ilvl w:val="1"/>
          <w:numId w:val="119"/>
        </w:numPr>
        <w:rPr>
          <w:rFonts w:ascii="Arial" w:cs="Arial" w:eastAsia="Arial" w:hAnsi="Arial"/>
          <w:sz w:val="22"/>
          <w:szCs w:val="22"/>
          <w:color w:val="auto"/>
        </w:rPr>
      </w:pPr>
      <w:r>
        <w:rPr>
          <w:rFonts w:ascii="Arial" w:cs="Arial" w:eastAsia="Arial" w:hAnsi="Arial"/>
          <w:sz w:val="22"/>
          <w:szCs w:val="22"/>
          <w:color w:val="auto"/>
        </w:rPr>
        <w:t>“Welfare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226" w:lineRule="exact"/>
        <w:rPr>
          <w:rFonts w:ascii="Arial" w:cs="Arial" w:eastAsia="Arial" w:hAnsi="Arial"/>
          <w:sz w:val="22"/>
          <w:szCs w:val="22"/>
          <w:color w:val="auto"/>
        </w:rPr>
      </w:pPr>
    </w:p>
    <w:p>
      <w:pPr>
        <w:jc w:val="both"/>
        <w:ind w:firstLine="656"/>
        <w:spacing w:after="0" w:line="247" w:lineRule="auto"/>
        <w:tabs>
          <w:tab w:leader="none" w:pos="1459"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Operation of Agreement</w:t>
      </w:r>
      <w:r>
        <w:rPr>
          <w:rFonts w:ascii="Arial" w:cs="Arial" w:eastAsia="Arial" w:hAnsi="Arial"/>
          <w:sz w:val="22"/>
          <w:szCs w:val="22"/>
          <w:color w:val="auto"/>
        </w:rPr>
        <w:t xml:space="preserve">. This Agreement will be effective and binding immediately upon its execution, but, anything in this Agreement to the contrary notwithstanding, this Agreement will not be operative unless and until a Change in Control occurs. Upon the occurrence of a Change in Control, without further action, this Agreement will become immediately operative until the end of the Severance Period;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prior to a Change in Control, the Executive ceases for any reason to be a full-time employee of the Company, thereupon without further action this Agreement will immediately terminate and be of no further effect.</w:t>
      </w:r>
    </w:p>
    <w:p>
      <w:pPr>
        <w:spacing w:after="0" w:line="234" w:lineRule="exact"/>
        <w:rPr>
          <w:rFonts w:ascii="Arial" w:cs="Arial" w:eastAsia="Arial" w:hAnsi="Arial"/>
          <w:sz w:val="22"/>
          <w:szCs w:val="22"/>
          <w:color w:val="auto"/>
        </w:rPr>
      </w:pPr>
    </w:p>
    <w:p>
      <w:pPr>
        <w:ind w:firstLine="656"/>
        <w:spacing w:after="0" w:line="263" w:lineRule="auto"/>
        <w:tabs>
          <w:tab w:leader="none" w:pos="1459"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Termination Following a Change in Control</w:t>
      </w:r>
      <w:r>
        <w:rPr>
          <w:rFonts w:ascii="Arial" w:cs="Arial" w:eastAsia="Arial" w:hAnsi="Arial"/>
          <w:sz w:val="22"/>
          <w:szCs w:val="22"/>
          <w:color w:val="auto"/>
        </w:rPr>
        <w:t>. (a) In the event of the occurrence of a Change in Control, the Executive’s employment may be terminated by the Company during the Severance Period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64" w:name="page165"/>
    <w:bookmarkEnd w:id="164"/>
    <w:p>
      <w:pPr>
        <w:spacing w:after="0" w:line="251" w:lineRule="auto"/>
        <w:rPr>
          <w:sz w:val="20"/>
          <w:szCs w:val="20"/>
          <w:color w:val="auto"/>
        </w:rPr>
      </w:pPr>
      <w:r>
        <w:rPr>
          <w:rFonts w:ascii="Arial" w:cs="Arial" w:eastAsia="Arial" w:hAnsi="Arial"/>
          <w:sz w:val="22"/>
          <w:szCs w:val="22"/>
          <w:color w:val="auto"/>
        </w:rPr>
        <w:t>and the Executive will be entitled to the benefits provided by Section 4 unless such termination is the result of the occurrence of one or more of the following events:</w:t>
      </w:r>
    </w:p>
    <w:p>
      <w:pPr>
        <w:spacing w:after="0" w:line="2" w:lineRule="exact"/>
        <w:rPr>
          <w:sz w:val="20"/>
          <w:szCs w:val="20"/>
          <w:color w:val="auto"/>
        </w:rPr>
      </w:pPr>
    </w:p>
    <w:p>
      <w:pPr>
        <w:ind w:left="2160" w:hanging="531"/>
        <w:spacing w:after="0"/>
        <w:tabs>
          <w:tab w:leader="none" w:pos="21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Executive’s death;</w:t>
      </w:r>
    </w:p>
    <w:p>
      <w:pPr>
        <w:spacing w:after="0" w:line="242" w:lineRule="exact"/>
        <w:rPr>
          <w:rFonts w:ascii="Arial" w:cs="Arial" w:eastAsia="Arial" w:hAnsi="Arial"/>
          <w:sz w:val="22"/>
          <w:szCs w:val="22"/>
          <w:color w:val="auto"/>
        </w:rPr>
      </w:pPr>
    </w:p>
    <w:p>
      <w:pPr>
        <w:jc w:val="both"/>
        <w:ind w:right="20" w:firstLine="1629"/>
        <w:spacing w:after="0" w:line="253" w:lineRule="auto"/>
        <w:tabs>
          <w:tab w:leader="none" w:pos="2209" w:val="left"/>
        </w:tabs>
        <w:numPr>
          <w:ilvl w:val="1"/>
          <w:numId w:val="121"/>
        </w:numPr>
        <w:rPr>
          <w:rFonts w:ascii="Arial" w:cs="Arial" w:eastAsia="Arial" w:hAnsi="Arial"/>
          <w:sz w:val="22"/>
          <w:szCs w:val="22"/>
          <w:color w:val="auto"/>
        </w:rPr>
      </w:pPr>
      <w:r>
        <w:rPr>
          <w:rFonts w:ascii="Arial" w:cs="Arial" w:eastAsia="Arial" w:hAnsi="Arial"/>
          <w:sz w:val="22"/>
          <w:szCs w:val="22"/>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226" w:lineRule="exact"/>
        <w:rPr>
          <w:rFonts w:ascii="Arial" w:cs="Arial" w:eastAsia="Arial" w:hAnsi="Arial"/>
          <w:sz w:val="22"/>
          <w:szCs w:val="22"/>
          <w:color w:val="auto"/>
        </w:rPr>
      </w:pPr>
    </w:p>
    <w:p>
      <w:pPr>
        <w:jc w:val="both"/>
        <w:ind w:firstLine="1629"/>
        <w:spacing w:after="0" w:line="271" w:lineRule="auto"/>
        <w:tabs>
          <w:tab w:leader="none" w:pos="2269" w:val="left"/>
        </w:tabs>
        <w:numPr>
          <w:ilvl w:val="1"/>
          <w:numId w:val="121"/>
        </w:numPr>
        <w:rPr>
          <w:rFonts w:ascii="Arial" w:cs="Arial" w:eastAsia="Arial" w:hAnsi="Arial"/>
          <w:sz w:val="21"/>
          <w:szCs w:val="21"/>
          <w:color w:val="auto"/>
        </w:rPr>
      </w:pPr>
      <w:r>
        <w:rPr>
          <w:rFonts w:ascii="Arial" w:cs="Arial" w:eastAsia="Arial" w:hAnsi="Arial"/>
          <w:sz w:val="21"/>
          <w:szCs w:val="21"/>
          <w:color w:val="auto"/>
        </w:rPr>
        <w:t xml:space="preserve">Cause. (a) If, during the Severance Period, the Executive’s employment is terminated by the Company other than pursuant to Section 3(a)(i), 3(a)(ii) or 3(a)(iii), the Executive will be entitled to the benefits provided by Section 4;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such termination constitutes a “separation from service” as defined in Section 409A.</w:t>
      </w:r>
    </w:p>
    <w:p>
      <w:pPr>
        <w:spacing w:after="0" w:line="208" w:lineRule="exact"/>
        <w:rPr>
          <w:rFonts w:ascii="Arial" w:cs="Arial" w:eastAsia="Arial" w:hAnsi="Arial"/>
          <w:sz w:val="21"/>
          <w:szCs w:val="21"/>
          <w:color w:val="auto"/>
        </w:rPr>
      </w:pPr>
    </w:p>
    <w:p>
      <w:pPr>
        <w:jc w:val="both"/>
        <w:ind w:firstLine="1953"/>
        <w:spacing w:after="0" w:line="312" w:lineRule="auto"/>
        <w:tabs>
          <w:tab w:leader="none" w:pos="2845" w:val="left"/>
        </w:tabs>
        <w:numPr>
          <w:ilvl w:val="2"/>
          <w:numId w:val="121"/>
        </w:numPr>
        <w:rPr>
          <w:rFonts w:ascii="Arial" w:cs="Arial" w:eastAsia="Arial" w:hAnsi="Arial"/>
          <w:sz w:val="19"/>
          <w:szCs w:val="19"/>
          <w:color w:val="auto"/>
        </w:rPr>
      </w:pPr>
      <w:r>
        <w:rPr>
          <w:rFonts w:ascii="Arial" w:cs="Arial" w:eastAsia="Arial" w:hAnsi="Arial"/>
          <w:sz w:val="19"/>
          <w:szCs w:val="19"/>
          <w:color w:val="auto"/>
        </w:rPr>
        <w:t>In the event of the occurrence of a Change in Control, the Executive may terminate employment with the Company for Good Reason, with the right to severance compensation as provided in Section 4, regardless of whether any other reason, other than Cause, for such termination exists or has occurred, including without limitation other employment.</w:t>
      </w:r>
    </w:p>
    <w:p>
      <w:pPr>
        <w:spacing w:after="0" w:line="174" w:lineRule="exact"/>
        <w:rPr>
          <w:rFonts w:ascii="Arial" w:cs="Arial" w:eastAsia="Arial" w:hAnsi="Arial"/>
          <w:sz w:val="19"/>
          <w:szCs w:val="19"/>
          <w:color w:val="auto"/>
        </w:rPr>
      </w:pPr>
    </w:p>
    <w:p>
      <w:pPr>
        <w:jc w:val="both"/>
        <w:ind w:firstLine="1953"/>
        <w:spacing w:after="0" w:line="248" w:lineRule="auto"/>
        <w:tabs>
          <w:tab w:leader="none" w:pos="2833" w:val="left"/>
        </w:tabs>
        <w:numPr>
          <w:ilvl w:val="2"/>
          <w:numId w:val="121"/>
        </w:numPr>
        <w:rPr>
          <w:rFonts w:ascii="Arial" w:cs="Arial" w:eastAsia="Arial" w:hAnsi="Arial"/>
          <w:sz w:val="22"/>
          <w:szCs w:val="22"/>
          <w:color w:val="auto"/>
        </w:rPr>
      </w:pPr>
      <w:r>
        <w:rPr>
          <w:rFonts w:ascii="Arial" w:cs="Arial" w:eastAsia="Arial" w:hAnsi="Arial"/>
          <w:sz w:val="22"/>
          <w:szCs w:val="22"/>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 benefits or (ii) interfere in any way with the right of the Company to terminate the employment of the Executive at any time with or without Cause, subject in either case to the obligations of the Company under this Agreement.</w:t>
      </w:r>
    </w:p>
    <w:p>
      <w:pPr>
        <w:spacing w:after="0" w:line="232" w:lineRule="exact"/>
        <w:rPr>
          <w:rFonts w:ascii="Arial" w:cs="Arial" w:eastAsia="Arial" w:hAnsi="Arial"/>
          <w:sz w:val="22"/>
          <w:szCs w:val="22"/>
          <w:color w:val="auto"/>
        </w:rPr>
      </w:pPr>
    </w:p>
    <w:p>
      <w:pPr>
        <w:jc w:val="both"/>
        <w:ind w:firstLine="656"/>
        <w:spacing w:after="0" w:line="247" w:lineRule="auto"/>
        <w:tabs>
          <w:tab w:leader="none" w:pos="1459"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Severance Compensation</w:t>
      </w:r>
      <w:r>
        <w:rPr>
          <w:rFonts w:ascii="Arial" w:cs="Arial" w:eastAsia="Arial" w:hAnsi="Arial"/>
          <w:sz w:val="22"/>
          <w:szCs w:val="22"/>
          <w:color w:val="auto"/>
        </w:rPr>
        <w:t xml:space="preserve">. (a) 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then,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Triggering Termination constitutes a “separation from service” as defined in Section 409A, the Company will pay to the Executive the amounts described in Annex A within fifteen business days after the Termination Date (subject to the provisions of subsection (d) of this Section).</w:t>
      </w:r>
    </w:p>
    <w:p>
      <w:pPr>
        <w:spacing w:after="0" w:line="234" w:lineRule="exact"/>
        <w:rPr>
          <w:rFonts w:ascii="Arial" w:cs="Arial" w:eastAsia="Arial" w:hAnsi="Arial"/>
          <w:sz w:val="22"/>
          <w:szCs w:val="22"/>
          <w:color w:val="auto"/>
        </w:rPr>
      </w:pPr>
    </w:p>
    <w:p>
      <w:pPr>
        <w:jc w:val="both"/>
        <w:ind w:firstLine="1953"/>
        <w:spacing w:after="0" w:line="247" w:lineRule="auto"/>
        <w:tabs>
          <w:tab w:leader="none" w:pos="2845" w:val="left"/>
        </w:tabs>
        <w:numPr>
          <w:ilvl w:val="2"/>
          <w:numId w:val="122"/>
        </w:numPr>
        <w:rPr>
          <w:rFonts w:ascii="Arial" w:cs="Arial" w:eastAsia="Arial" w:hAnsi="Arial"/>
          <w:sz w:val="22"/>
          <w:szCs w:val="22"/>
          <w:color w:val="auto"/>
        </w:rPr>
      </w:pPr>
      <w:r>
        <w:rPr>
          <w:rFonts w:ascii="Arial" w:cs="Arial" w:eastAsia="Arial" w:hAnsi="Arial"/>
          <w:sz w:val="22"/>
          <w:szCs w:val="22"/>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234" w:lineRule="exact"/>
        <w:rPr>
          <w:rFonts w:ascii="Arial" w:cs="Arial" w:eastAsia="Arial" w:hAnsi="Arial"/>
          <w:sz w:val="22"/>
          <w:szCs w:val="22"/>
          <w:color w:val="auto"/>
        </w:rPr>
      </w:pPr>
    </w:p>
    <w:p>
      <w:pPr>
        <w:jc w:val="both"/>
        <w:ind w:firstLine="1953"/>
        <w:spacing w:after="0" w:line="292" w:lineRule="auto"/>
        <w:tabs>
          <w:tab w:leader="none" w:pos="2833" w:val="left"/>
        </w:tabs>
        <w:numPr>
          <w:ilvl w:val="2"/>
          <w:numId w:val="122"/>
        </w:numPr>
        <w:rPr>
          <w:rFonts w:ascii="Arial" w:cs="Arial" w:eastAsia="Arial" w:hAnsi="Arial"/>
          <w:sz w:val="19"/>
          <w:szCs w:val="19"/>
          <w:color w:val="auto"/>
        </w:rPr>
      </w:pPr>
      <w:r>
        <w:rPr>
          <w:rFonts w:ascii="Arial" w:cs="Arial" w:eastAsia="Arial" w:hAnsi="Arial"/>
          <w:sz w:val="19"/>
          <w:szCs w:val="19"/>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 would otherwise be contingent on the continuing performance of services by the Executive) and (ii) the Pro Rata Portion of the Incentive Pay Target in effect for any subsequent performance period. For this purpose, “Pro Rata Portion” means (x) the number of days from and including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65" w:name="page166"/>
    <w:bookmarkEnd w:id="165"/>
    <w:p>
      <w:pPr>
        <w:jc w:val="both"/>
        <w:spacing w:after="0" w:line="302" w:lineRule="auto"/>
        <w:rPr>
          <w:sz w:val="20"/>
          <w:szCs w:val="20"/>
          <w:color w:val="auto"/>
        </w:rPr>
      </w:pPr>
      <w:r>
        <w:rPr>
          <w:rFonts w:ascii="Arial" w:cs="Arial" w:eastAsia="Arial" w:hAnsi="Arial"/>
          <w:sz w:val="19"/>
          <w:szCs w:val="19"/>
          <w:color w:val="auto"/>
        </w:rPr>
        <w:t>the first day immediately following the last day of the immediately preceding Completed Performance Period to and including the Termination Date, divided by (y) the total number of days in such subsequent performance period. Such payments will be made at the earlier of (x) the date prescribed for payment pursuant to the applicable plan, program or agreement and (y) within five business days after the Termination Date, and will be payable and calculated disregarding any otherwise applicable vesting requirements.</w:t>
      </w:r>
    </w:p>
    <w:p>
      <w:pPr>
        <w:spacing w:after="0" w:line="183" w:lineRule="exact"/>
        <w:rPr>
          <w:sz w:val="20"/>
          <w:szCs w:val="20"/>
          <w:color w:val="auto"/>
        </w:rPr>
      </w:pPr>
    </w:p>
    <w:p>
      <w:pPr>
        <w:jc w:val="both"/>
        <w:ind w:firstLine="1953"/>
        <w:spacing w:after="0" w:line="246" w:lineRule="auto"/>
        <w:tabs>
          <w:tab w:leader="none" w:pos="2845"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To the extent required in order to avoid accelerated taxation and/or tax penalties under Section 409A, amounts that would otherwise be payable and benefits that would otherwise be provided pursuant to this Agreement during the six-month period immediately following the Executive’s termination of employment shall instead be paid on the first business day after the date that is six months following the Executive’s termination of employment (or upon the Executive’s death, if earlier). In addition, for purposes of this Agreement, each amount to be paid or benefit to be provided shall be construed as a separate identified payment for purposes of Section 409A, and any payments described in Annex A that are due within the “short-term deferral period” as defined in Section 409A shall not be treated as deferred compensation unless applicable law requires otherwise.</w:t>
      </w:r>
    </w:p>
    <w:p>
      <w:pPr>
        <w:spacing w:after="0" w:line="235" w:lineRule="exact"/>
        <w:rPr>
          <w:rFonts w:ascii="Arial" w:cs="Arial" w:eastAsia="Arial" w:hAnsi="Arial"/>
          <w:sz w:val="22"/>
          <w:szCs w:val="22"/>
          <w:color w:val="auto"/>
        </w:rPr>
      </w:pPr>
    </w:p>
    <w:p>
      <w:pPr>
        <w:jc w:val="both"/>
        <w:ind w:firstLine="656"/>
        <w:spacing w:after="0" w:line="257" w:lineRule="exact"/>
        <w:tabs>
          <w:tab w:leader="none" w:pos="145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Limitations on Payments and Benefits</w:t>
      </w:r>
      <w:r>
        <w:rPr>
          <w:rFonts w:ascii="Arial" w:cs="Arial" w:eastAsia="Arial" w:hAnsi="Arial"/>
          <w:sz w:val="19"/>
          <w:szCs w:val="19"/>
          <w:color w:val="auto"/>
        </w:rPr>
        <w:t xml:space="preserve">. Notwithstanding any provision of this Agreement or any Other Agreement to the contrary (including without limitation any lesser protection of Executive under any equity-based award agreement), if any amount or benefit to be paid or provided under this Agreement or any Other Agreement would be an Excess Parachute Payment (including after taking into account the value, to the maximum extent permitted by Section 280G of the Code, of the covenants in Section 9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foregoing reduction will not be made if such reduction would result in Executive receiving an After-Tax Amount that is less than 90% of the After-Tax Amount of the payments and benefits that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w:t>
      </w:r>
      <w:r>
        <w:rPr>
          <w:rFonts w:ascii="MS PGothic" w:cs="MS PGothic" w:eastAsia="MS PGothic" w:hAnsi="MS PGothic"/>
          <w:sz w:val="19"/>
          <w:szCs w:val="19"/>
          <w:color w:val="auto"/>
        </w:rPr>
        <w:t>☒</w:t>
      </w:r>
      <w:r>
        <w:rPr>
          <w:rFonts w:ascii="Arial" w:cs="Arial" w:eastAsia="Arial" w:hAnsi="Arial"/>
          <w:sz w:val="19"/>
          <w:szCs w:val="19"/>
          <w:color w:val="auto"/>
        </w:rPr>
        <w:t>9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213" w:lineRule="exact"/>
        <w:rPr>
          <w:rFonts w:ascii="Arial" w:cs="Arial" w:eastAsia="Arial" w:hAnsi="Arial"/>
          <w:sz w:val="19"/>
          <w:szCs w:val="19"/>
          <w:color w:val="auto"/>
        </w:rPr>
      </w:pPr>
    </w:p>
    <w:p>
      <w:pPr>
        <w:jc w:val="both"/>
        <w:ind w:firstLine="656"/>
        <w:spacing w:after="0" w:line="292" w:lineRule="auto"/>
        <w:tabs>
          <w:tab w:leader="none" w:pos="145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Executive Protections; Defend Trade Secrets Act.</w:t>
      </w:r>
      <w:r>
        <w:rPr>
          <w:rFonts w:ascii="Arial" w:cs="Arial" w:eastAsia="Arial" w:hAnsi="Arial"/>
          <w:sz w:val="19"/>
          <w:szCs w:val="19"/>
          <w:color w:val="auto"/>
        </w:rPr>
        <w:t xml:space="preserve"> (a) 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or self-regulatory organization (each such agency, commission or organization, a “Government Agency”) regarding possible legal violations, without disclosure to the Company. The Company may not retaliate against Executive for any of these activities, and nothing in this Agreement requires Executive to waive any monetary award or other relief that Executive might become entitled to from the SEC or any other Government Agency.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66" w:name="page167"/>
    <w:bookmarkEnd w:id="166"/>
    <w:p>
      <w:pPr>
        <w:jc w:val="both"/>
        <w:ind w:firstLine="1953"/>
        <w:spacing w:after="0" w:line="290" w:lineRule="auto"/>
        <w:tabs>
          <w:tab w:leader="none" w:pos="284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Pursuant to the Defend Trade Secrets Act of 2016, Executive and the Company acknowledge and agree that Executive shall not have criminal or civil liability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197" w:lineRule="exact"/>
        <w:rPr>
          <w:rFonts w:ascii="Arial" w:cs="Arial" w:eastAsia="Arial" w:hAnsi="Arial"/>
          <w:sz w:val="19"/>
          <w:szCs w:val="19"/>
          <w:color w:val="auto"/>
        </w:rPr>
      </w:pPr>
    </w:p>
    <w:p>
      <w:pPr>
        <w:jc w:val="both"/>
        <w:ind w:firstLine="656"/>
        <w:spacing w:after="0" w:line="246" w:lineRule="auto"/>
        <w:tabs>
          <w:tab w:leader="none" w:pos="1459"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No Mitigation Obligation; Other Agreements</w:t>
      </w:r>
      <w:r>
        <w:rPr>
          <w:rFonts w:ascii="Arial" w:cs="Arial" w:eastAsia="Arial" w:hAnsi="Arial"/>
          <w:sz w:val="22"/>
          <w:szCs w:val="22"/>
          <w:color w:val="auto"/>
        </w:rPr>
        <w:t>. (a)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 payment provided for in this Agreement by seeking other employment or otherwise, nor will any profits, income, earnings or other benefits from any source whatsoever create any mitigation, offset, reduction or any other obligation on the part of the Executive hereunder or otherwise.</w:t>
      </w:r>
    </w:p>
    <w:p>
      <w:pPr>
        <w:spacing w:after="0" w:line="237" w:lineRule="exact"/>
        <w:rPr>
          <w:rFonts w:ascii="Arial" w:cs="Arial" w:eastAsia="Arial" w:hAnsi="Arial"/>
          <w:sz w:val="22"/>
          <w:szCs w:val="22"/>
          <w:color w:val="auto"/>
        </w:rPr>
      </w:pPr>
    </w:p>
    <w:p>
      <w:pPr>
        <w:jc w:val="both"/>
        <w:ind w:firstLine="1953"/>
        <w:spacing w:after="0" w:line="258" w:lineRule="auto"/>
        <w:tabs>
          <w:tab w:leader="none" w:pos="2845" w:val="left"/>
        </w:tabs>
        <w:numPr>
          <w:ilvl w:val="1"/>
          <w:numId w:val="126"/>
        </w:numPr>
        <w:rPr>
          <w:rFonts w:ascii="Arial" w:cs="Arial" w:eastAsia="Arial" w:hAnsi="Arial"/>
          <w:sz w:val="21"/>
          <w:szCs w:val="21"/>
          <w:color w:val="auto"/>
        </w:rPr>
      </w:pPr>
      <w:r>
        <w:rPr>
          <w:rFonts w:ascii="Arial" w:cs="Arial" w:eastAsia="Arial" w:hAnsi="Arial"/>
          <w:sz w:val="21"/>
          <w:szCs w:val="21"/>
          <w:color w:val="auto"/>
        </w:rPr>
        <w:t>A termination of employment pursuant to Section 3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 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 In the event that this Agreement conflicts with the terms of any equity award agreement, this Agreement shall govern unless otherwise expressly stated in such equity award agreement.</w:t>
      </w:r>
    </w:p>
    <w:p>
      <w:pPr>
        <w:spacing w:after="0" w:line="226" w:lineRule="exact"/>
        <w:rPr>
          <w:rFonts w:ascii="Arial" w:cs="Arial" w:eastAsia="Arial" w:hAnsi="Arial"/>
          <w:sz w:val="21"/>
          <w:szCs w:val="21"/>
          <w:color w:val="auto"/>
        </w:rPr>
      </w:pPr>
    </w:p>
    <w:p>
      <w:pPr>
        <w:jc w:val="both"/>
        <w:ind w:firstLine="656"/>
        <w:spacing w:after="0" w:line="286" w:lineRule="auto"/>
        <w:tabs>
          <w:tab w:leader="none" w:pos="1459"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Legal Fees and Expenses</w:t>
      </w:r>
      <w:r>
        <w:rPr>
          <w:rFonts w:ascii="Arial" w:cs="Arial" w:eastAsia="Arial" w:hAnsi="Arial"/>
          <w:sz w:val="19"/>
          <w:szCs w:val="19"/>
          <w:color w:val="auto"/>
        </w:rPr>
        <w:t xml:space="preserve">.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 this Agreement void or unenforceable, or institutes any proceeding designed to deny, or to recover from, the Executive the benefits 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 part, in connection with any of the foregoing, the Company will pay and be solely financially responsible for any and all reasonable attorneys’ and related fees and expenses incurred by the Executive in connection with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regard to such matters, the Executive has not acted in bad faith or with no colorable claim of success. The Executive shall promptly submit a written request for reimbursement of such expenses, but in no event later than ninety days following the date on which such expenses were incurred, accompanied by such evidence of fees and expenses incurred as the Company may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67" w:name="page168"/>
    <w:bookmarkEnd w:id="167"/>
    <w:p>
      <w:pPr>
        <w:jc w:val="both"/>
        <w:spacing w:after="0" w:line="261" w:lineRule="auto"/>
        <w:rPr>
          <w:sz w:val="20"/>
          <w:szCs w:val="20"/>
          <w:color w:val="auto"/>
        </w:rPr>
      </w:pPr>
      <w:r>
        <w:rPr>
          <w:rFonts w:ascii="Arial" w:cs="Arial" w:eastAsia="Arial" w:hAnsi="Arial"/>
          <w:sz w:val="21"/>
          <w:szCs w:val="21"/>
          <w:color w:val="auto"/>
        </w:rPr>
        <w:t>reasonably require, and such reimbursements will be made within thirty business days after delivery of the Executive’s written requests for payment. For the avoidance of doubt, (i) the amount of expenses eligible for reimbursement provided to the Executive during any calendar year will not affect the amount of expenses eligible for reimbursement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may not be liquidated or exchanged for any other benefit.</w:t>
      </w:r>
    </w:p>
    <w:p>
      <w:pPr>
        <w:spacing w:after="0" w:line="221" w:lineRule="exact"/>
        <w:rPr>
          <w:sz w:val="20"/>
          <w:szCs w:val="20"/>
          <w:color w:val="auto"/>
        </w:rPr>
      </w:pPr>
    </w:p>
    <w:p>
      <w:pPr>
        <w:jc w:val="both"/>
        <w:ind w:firstLine="656"/>
        <w:spacing w:after="0" w:line="261" w:lineRule="exact"/>
        <w:tabs>
          <w:tab w:leader="none" w:pos="1459"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Competitive Activity; Confidentiality; Nonsolicitation</w:t>
      </w:r>
      <w:r>
        <w:rPr>
          <w:rFonts w:ascii="Arial" w:cs="Arial" w:eastAsia="Arial" w:hAnsi="Arial"/>
          <w:sz w:val="22"/>
          <w:szCs w:val="22"/>
          <w:color w:val="auto"/>
        </w:rPr>
        <w:t xml:space="preserve">. (a) For the period following the Termination Date specified in Paragraph </w:t>
      </w:r>
      <w:r>
        <w:rPr>
          <w:rFonts w:ascii="MS PGothic" w:cs="MS PGothic" w:eastAsia="MS PGothic" w:hAnsi="MS PGothic"/>
          <w:sz w:val="22"/>
          <w:szCs w:val="22"/>
          <w:color w:val="auto"/>
        </w:rPr>
        <w:t>☒</w:t>
      </w:r>
      <w:r>
        <w:rPr>
          <w:rFonts w:ascii="Arial" w:cs="Arial" w:eastAsia="Arial" w:hAnsi="Arial"/>
          <w:sz w:val="22"/>
          <w:szCs w:val="22"/>
          <w:color w:val="auto"/>
        </w:rPr>
        <w:t>(4) of Annex A (the “Non-Competition Period”), subject to the Executive’s receipt of benefits under Section 4, the Executive will not, without the prior written consent of the Company, which consent will not be unreasonably withheld, engage in any Competitive Activity.</w:t>
      </w:r>
    </w:p>
    <w:p>
      <w:pPr>
        <w:spacing w:after="0" w:line="241" w:lineRule="exact"/>
        <w:rPr>
          <w:rFonts w:ascii="Arial" w:cs="Arial" w:eastAsia="Arial" w:hAnsi="Arial"/>
          <w:sz w:val="22"/>
          <w:szCs w:val="22"/>
          <w:color w:val="auto"/>
        </w:rPr>
      </w:pPr>
    </w:p>
    <w:p>
      <w:pPr>
        <w:jc w:val="both"/>
        <w:ind w:firstLine="1953"/>
        <w:spacing w:after="0" w:line="286" w:lineRule="auto"/>
        <w:tabs>
          <w:tab w:leader="none" w:pos="284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Company agrees that it will disclose to Executive its confidential or proprietary information (as defined in this Section (b)) to the extent necessary for Executive to carry out Executive’s obligations to the Company. The Executive hereby covenants and agrees that, subject to Section 6(a), Executive will not, without the prior written consent of the Company, during the term of his employment with the Company and two years after the Termination Date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9(b))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9(b) will be subject to Section 6(a) and will not apply (i) during the term of his employment with the Company, in the course of the business of and for the benefit of the Company and (ii) if such confidential or proprietary information has become, through no fault of the Executive, generally known to the public.</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1953"/>
        <w:spacing w:after="0" w:line="297" w:lineRule="auto"/>
        <w:tabs>
          <w:tab w:leader="none" w:pos="2833"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187" w:lineRule="exact"/>
        <w:rPr>
          <w:rFonts w:ascii="Arial" w:cs="Arial" w:eastAsia="Arial" w:hAnsi="Arial"/>
          <w:sz w:val="19"/>
          <w:szCs w:val="19"/>
          <w:color w:val="auto"/>
        </w:rPr>
      </w:pPr>
    </w:p>
    <w:p>
      <w:pPr>
        <w:jc w:val="both"/>
        <w:ind w:firstLine="1953"/>
        <w:spacing w:after="0" w:line="259" w:lineRule="exact"/>
        <w:tabs>
          <w:tab w:leader="none" w:pos="284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Executive and the Company agree that the covenants contained in this Section 9 are reasonable under the circumstances and subject to the provisions of Section </w:t>
      </w:r>
      <w:r>
        <w:rPr>
          <w:rFonts w:ascii="MS PGothic" w:cs="MS PGothic" w:eastAsia="MS PGothic" w:hAnsi="MS PGothic"/>
          <w:sz w:val="19"/>
          <w:szCs w:val="19"/>
          <w:color w:val="auto"/>
        </w:rPr>
        <w:t>☒</w:t>
      </w:r>
      <w:r>
        <w:rPr>
          <w:rFonts w:ascii="Arial" w:cs="Arial" w:eastAsia="Arial" w:hAnsi="Arial"/>
          <w:sz w:val="19"/>
          <w:szCs w:val="19"/>
          <w:color w:val="auto"/>
        </w:rPr>
        <w:t>15 of this Agreement. Executive acknowledges and agrees that the remedy at law available to the Company for breach of any of Executive’s obligations under this Section 9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 under this Agreement, upon adequate proof of Executive’s violation of any such provision of this Agreement, the Company will be entitled to immediate injunctive relief and may obtain a temporary order restraining any threatened or further breach, without the necessity of proof of actual damage.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68" w:name="page169"/>
    <w:bookmarkEnd w:id="168"/>
    <w:p>
      <w:pPr>
        <w:jc w:val="both"/>
        <w:ind w:firstLine="656"/>
        <w:spacing w:after="0" w:line="253" w:lineRule="auto"/>
        <w:tabs>
          <w:tab w:leader="none" w:pos="1567"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Employment Rights</w:t>
      </w:r>
      <w:r>
        <w:rPr>
          <w:rFonts w:ascii="Arial" w:cs="Arial" w:eastAsia="Arial" w:hAnsi="Arial"/>
          <w:sz w:val="22"/>
          <w:szCs w:val="22"/>
          <w:color w:val="auto"/>
        </w:rPr>
        <w:t>. Nothing expressed or implied in this Agreement will create any right or duty on the part of the Company or the Executive to have the Executive remain in the employment of the Company or any Subsidiary prior to or following any Change in Control.</w:t>
      </w:r>
    </w:p>
    <w:p>
      <w:pPr>
        <w:spacing w:after="0" w:line="226" w:lineRule="exact"/>
        <w:rPr>
          <w:rFonts w:ascii="Arial" w:cs="Arial" w:eastAsia="Arial" w:hAnsi="Arial"/>
          <w:sz w:val="22"/>
          <w:szCs w:val="22"/>
          <w:color w:val="auto"/>
        </w:rPr>
      </w:pPr>
    </w:p>
    <w:p>
      <w:pPr>
        <w:ind w:firstLine="656"/>
        <w:spacing w:after="0" w:line="343" w:lineRule="auto"/>
        <w:tabs>
          <w:tab w:leader="none" w:pos="1559"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The Company may withhold from any amounts payable under this Agreement all federal, state, city or other taxes as the Company is required to withhold pursuant to any applicable law, regulation or ruling.</w:t>
      </w:r>
    </w:p>
    <w:p>
      <w:pPr>
        <w:spacing w:after="0" w:line="145" w:lineRule="exact"/>
        <w:rPr>
          <w:rFonts w:ascii="Arial" w:cs="Arial" w:eastAsia="Arial" w:hAnsi="Arial"/>
          <w:sz w:val="19"/>
          <w:szCs w:val="19"/>
          <w:color w:val="auto"/>
        </w:rPr>
      </w:pPr>
    </w:p>
    <w:p>
      <w:pPr>
        <w:jc w:val="both"/>
        <w:ind w:firstLine="656"/>
        <w:spacing w:after="0" w:line="259" w:lineRule="auto"/>
        <w:tabs>
          <w:tab w:leader="none" w:pos="1567"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Successors and Binding Agreement</w:t>
      </w:r>
      <w:r>
        <w:rPr>
          <w:rFonts w:ascii="Arial" w:cs="Arial" w:eastAsia="Arial" w:hAnsi="Arial"/>
          <w:sz w:val="21"/>
          <w:szCs w:val="21"/>
          <w:color w:val="auto"/>
        </w:rPr>
        <w:t>. (a) The Company will require any successor (whether direct or indirect, by purchase, merger, consolidation, reorganization or otherwise) to all or substantially all of the business or assets of the Company, by agreement in form and substance reasonably satisfactory to the Executive (to the extent not assumed by operation of law),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220" w:lineRule="exact"/>
        <w:rPr>
          <w:rFonts w:ascii="Arial" w:cs="Arial" w:eastAsia="Arial" w:hAnsi="Arial"/>
          <w:sz w:val="21"/>
          <w:szCs w:val="21"/>
          <w:color w:val="auto"/>
        </w:rPr>
      </w:pPr>
    </w:p>
    <w:p>
      <w:pPr>
        <w:ind w:firstLine="1953"/>
        <w:spacing w:after="0" w:line="263" w:lineRule="auto"/>
        <w:tabs>
          <w:tab w:leader="none" w:pos="2845"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This Agreement will inure to the benefit of and be enforceable by the Executive’s personal or legal representatives, executors, administrators, successors, heirs, distributees and legatees.</w:t>
      </w:r>
    </w:p>
    <w:p>
      <w:pPr>
        <w:spacing w:after="0" w:line="215" w:lineRule="exact"/>
        <w:rPr>
          <w:rFonts w:ascii="Arial" w:cs="Arial" w:eastAsia="Arial" w:hAnsi="Arial"/>
          <w:sz w:val="22"/>
          <w:szCs w:val="22"/>
          <w:color w:val="auto"/>
        </w:rPr>
      </w:pPr>
    </w:p>
    <w:p>
      <w:pPr>
        <w:jc w:val="both"/>
        <w:ind w:firstLine="1953"/>
        <w:spacing w:after="0" w:line="246" w:lineRule="auto"/>
        <w:tabs>
          <w:tab w:leader="none" w:pos="283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This Agreement is personal in nature and neither of the parties hereto will, without the consent of the other, assign, transfer or delegate this Agreement or any rights or obligations hereunder except as expressly provided in Sections 12(a) and 12(b).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12(c), the Company will have no liability to pay any amount so attempted to be assigned, transferred or delegated.</w:t>
      </w:r>
    </w:p>
    <w:p>
      <w:pPr>
        <w:spacing w:after="0" w:line="237" w:lineRule="exact"/>
        <w:rPr>
          <w:rFonts w:ascii="Arial" w:cs="Arial" w:eastAsia="Arial" w:hAnsi="Arial"/>
          <w:sz w:val="22"/>
          <w:szCs w:val="22"/>
          <w:color w:val="auto"/>
        </w:rPr>
      </w:pPr>
    </w:p>
    <w:p>
      <w:pPr>
        <w:jc w:val="both"/>
        <w:ind w:firstLine="656"/>
        <w:spacing w:after="0" w:line="290" w:lineRule="auto"/>
        <w:tabs>
          <w:tab w:leader="none" w:pos="1567"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or UPS, addressed to the Company (to the attention of the Secretary of the Company) at 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197" w:lineRule="exact"/>
        <w:rPr>
          <w:rFonts w:ascii="Arial" w:cs="Arial" w:eastAsia="Arial" w:hAnsi="Arial"/>
          <w:sz w:val="19"/>
          <w:szCs w:val="19"/>
          <w:color w:val="auto"/>
        </w:rPr>
      </w:pPr>
    </w:p>
    <w:p>
      <w:pPr>
        <w:jc w:val="both"/>
        <w:ind w:firstLine="656"/>
        <w:spacing w:after="0" w:line="297" w:lineRule="auto"/>
        <w:tabs>
          <w:tab w:leader="none" w:pos="1567"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 provided herein. In the event the Company exercises its discretion under Section 9(d) to bring an action to enforce the covenants contained in Section 9 in a court of competent jurisdiction where the Executive has breached or threatened to breach such covenants, and in no other event, the parties agree that the court may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color w:val="auto"/>
        </w:rPr>
        <w:t>apply the law of the jurisdiction in which such action is pending in order to enforce the covenants to the fullest extent permissible.</w:t>
      </w:r>
    </w:p>
    <w:p>
      <w:pPr>
        <w:spacing w:after="0" w:line="295" w:lineRule="exact"/>
        <w:rPr>
          <w:sz w:val="20"/>
          <w:szCs w:val="20"/>
          <w:color w:val="auto"/>
        </w:rPr>
      </w:pPr>
    </w:p>
    <w:p>
      <w:pPr>
        <w:jc w:val="both"/>
        <w:ind w:firstLine="656"/>
        <w:spacing w:after="0" w:line="246" w:lineRule="auto"/>
        <w:tabs>
          <w:tab w:leader="none" w:pos="156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If any provision of this Agreement or the application of any provision hereof to any person or circumstance is held invalid, unenforceable or otherwise illegal, including without limitation Section 9,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If any covenant in Section 9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237" w:lineRule="exact"/>
        <w:rPr>
          <w:rFonts w:ascii="Arial" w:cs="Arial" w:eastAsia="Arial" w:hAnsi="Arial"/>
          <w:sz w:val="22"/>
          <w:szCs w:val="22"/>
          <w:color w:val="auto"/>
        </w:rPr>
      </w:pPr>
    </w:p>
    <w:p>
      <w:pPr>
        <w:jc w:val="both"/>
        <w:ind w:firstLine="656"/>
        <w:spacing w:after="0" w:line="288" w:lineRule="auto"/>
        <w:tabs>
          <w:tab w:leader="none" w:pos="156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200" w:lineRule="exact"/>
        <w:rPr>
          <w:rFonts w:ascii="Arial" w:cs="Arial" w:eastAsia="Arial" w:hAnsi="Arial"/>
          <w:sz w:val="19"/>
          <w:szCs w:val="19"/>
          <w:color w:val="auto"/>
        </w:rPr>
      </w:pPr>
    </w:p>
    <w:p>
      <w:pPr>
        <w:jc w:val="both"/>
        <w:ind w:right="20" w:firstLine="656"/>
        <w:spacing w:after="0" w:line="312" w:lineRule="auto"/>
        <w:tabs>
          <w:tab w:leader="none" w:pos="156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Notwithstanding any provision of this Agreement to the contrary, the parties’ respective rights and obligations under Sections 3(c), 4, 5, 6, 7, 8, 9, 10, 11, 12(b), 17 and 19 will survive any termination or expiration of this Agreement or the termination of the Executive’s employment following a Change in Control for any reason whatsoever.</w:t>
      </w:r>
    </w:p>
    <w:p>
      <w:pPr>
        <w:spacing w:after="0" w:line="174" w:lineRule="exact"/>
        <w:rPr>
          <w:rFonts w:ascii="Arial" w:cs="Arial" w:eastAsia="Arial" w:hAnsi="Arial"/>
          <w:sz w:val="19"/>
          <w:szCs w:val="19"/>
          <w:color w:val="auto"/>
        </w:rPr>
      </w:pPr>
    </w:p>
    <w:p>
      <w:pPr>
        <w:jc w:val="both"/>
        <w:ind w:firstLine="656"/>
        <w:spacing w:after="0" w:line="297" w:lineRule="auto"/>
        <w:tabs>
          <w:tab w:leader="none" w:pos="156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Beneficiaries</w:t>
      </w:r>
      <w:r>
        <w:rPr>
          <w:rFonts w:ascii="Arial" w:cs="Arial" w:eastAsia="Arial" w:hAnsi="Arial"/>
          <w:sz w:val="19"/>
          <w:szCs w:val="19"/>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13. In the event of the Executive’s death or a judicial determination of the Executive’s incompetence, reference in this Agreement to the “Executive” will be deemed, where appropriate, to the Executive’s beneficiary, estate or other legal representative.</w:t>
      </w:r>
    </w:p>
    <w:p>
      <w:pPr>
        <w:spacing w:after="0" w:line="187" w:lineRule="exact"/>
        <w:rPr>
          <w:rFonts w:ascii="Arial" w:cs="Arial" w:eastAsia="Arial" w:hAnsi="Arial"/>
          <w:sz w:val="19"/>
          <w:szCs w:val="19"/>
          <w:color w:val="auto"/>
        </w:rPr>
      </w:pPr>
    </w:p>
    <w:p>
      <w:pPr>
        <w:ind w:firstLine="656"/>
        <w:spacing w:after="0" w:line="263" w:lineRule="auto"/>
        <w:tabs>
          <w:tab w:leader="none" w:pos="156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will be deemed to be an original but all of which together will constitute one and the same agreement.</w:t>
      </w:r>
    </w:p>
    <w:p>
      <w:pPr>
        <w:spacing w:after="0" w:line="215" w:lineRule="exact"/>
        <w:rPr>
          <w:rFonts w:ascii="Arial" w:cs="Arial" w:eastAsia="Arial" w:hAnsi="Arial"/>
          <w:sz w:val="22"/>
          <w:szCs w:val="22"/>
          <w:color w:val="auto"/>
        </w:rPr>
      </w:pPr>
    </w:p>
    <w:p>
      <w:pPr>
        <w:jc w:val="both"/>
        <w:ind w:firstLine="656"/>
        <w:spacing w:after="0" w:line="248" w:lineRule="auto"/>
        <w:tabs>
          <w:tab w:leader="none" w:pos="156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To the extent applicable, it is intended that this Agreement comply with the provisions of Section 409A. This Agreement will be administered in a manner consistent with this intent, and any provision that would cause the Agreement to fail to satisfy Section 409A will have no force and effect until amended to comply with Section 409A (which amendment may be retroactive to the extent permitted by Section 409A and may be made by the Company without the consent of the Executive).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70" w:name="page171"/>
    <w:bookmarkEnd w:id="170"/>
    <w:p>
      <w:pPr>
        <w:spacing w:after="0" w:line="263" w:lineRule="auto"/>
        <w:rPr>
          <w:sz w:val="20"/>
          <w:szCs w:val="20"/>
          <w:color w:val="auto"/>
        </w:rPr>
      </w:pPr>
      <w:r>
        <w:rPr>
          <w:rFonts w:ascii="Arial" w:cs="Arial" w:eastAsia="Arial" w:hAnsi="Arial"/>
          <w:sz w:val="22"/>
          <w:szCs w:val="22"/>
          <w:color w:val="auto"/>
        </w:rPr>
        <w:t>IN WITNESS WHEREOF, the parties have caused this Agreement to be duly executed and delivered as of the date first above written.</w:t>
      </w:r>
    </w:p>
    <w:p>
      <w:pPr>
        <w:spacing w:after="0" w:line="33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19"/>
          <w:szCs w:val="19"/>
          <w:b w:val="1"/>
          <w:bCs w:val="1"/>
          <w:color w:val="auto"/>
        </w:rPr>
        <w:t>D. Anthony Scaglione</w:t>
      </w:r>
    </w:p>
    <w:p>
      <w:pPr>
        <w:spacing w:after="0" w:line="347"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D. Anthony Scaglione</w:t>
      </w:r>
    </w:p>
    <w:p>
      <w:pPr>
        <w:spacing w:after="0" w:line="341" w:lineRule="exact"/>
        <w:rPr>
          <w:sz w:val="20"/>
          <w:szCs w:val="20"/>
          <w:color w:val="auto"/>
        </w:rPr>
      </w:pPr>
    </w:p>
    <w:p>
      <w:pPr>
        <w:ind w:left="1980"/>
        <w:spacing w:after="0"/>
        <w:tabs>
          <w:tab w:leader="none" w:pos="2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19"/>
          <w:szCs w:val="19"/>
          <w:b w:val="1"/>
          <w:bCs w:val="1"/>
          <w:color w:val="auto"/>
        </w:rPr>
        <w:t>ABM Industries Incorporated</w:t>
      </w:r>
    </w:p>
    <w:p>
      <w:pPr>
        <w:spacing w:after="0" w:line="347"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David R. Goodes</w:t>
      </w:r>
    </w:p>
    <w:p>
      <w:pPr>
        <w:spacing w:after="0" w:line="341"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Name, Title: </w:t>
      </w:r>
      <w:r>
        <w:rPr>
          <w:rFonts w:ascii="Arial" w:cs="Arial" w:eastAsia="Arial" w:hAnsi="Arial"/>
          <w:sz w:val="22"/>
          <w:szCs w:val="22"/>
          <w:u w:val="single" w:color="auto"/>
          <w:color w:val="auto"/>
        </w:rPr>
        <w:t>David R. Goodes, Chief Human Resources Officer</w:t>
      </w:r>
    </w:p>
    <w:p>
      <w:pPr>
        <w:spacing w:after="0" w:line="328" w:lineRule="exact"/>
        <w:rPr>
          <w:sz w:val="20"/>
          <w:szCs w:val="20"/>
          <w:color w:val="auto"/>
        </w:rPr>
      </w:pPr>
    </w:p>
    <w:p>
      <w:pPr>
        <w:ind w:left="2000"/>
        <w:spacing w:after="0"/>
        <w:tabs>
          <w:tab w:leader="none" w:pos="2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September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240" w:top="591" w:right="71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Annex A</w:t>
      </w:r>
    </w:p>
    <w:p>
      <w:pPr>
        <w:spacing w:after="0" w:line="260"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SEVERANCE COMPENSATION, ETC.</w:t>
      </w:r>
    </w:p>
    <w:p>
      <w:pPr>
        <w:spacing w:after="0" w:line="266" w:lineRule="exact"/>
        <w:rPr>
          <w:sz w:val="20"/>
          <w:szCs w:val="20"/>
          <w:color w:val="auto"/>
        </w:rPr>
      </w:pPr>
    </w:p>
    <w:p>
      <w:pPr>
        <w:jc w:val="both"/>
        <w:ind w:left="328" w:hanging="328"/>
        <w:spacing w:after="0" w:line="302" w:lineRule="auto"/>
        <w:tabs>
          <w:tab w:leader="none" w:pos="32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 lump sum payment in an amount equal to two and one-half (2.5)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183" w:lineRule="exact"/>
        <w:rPr>
          <w:rFonts w:ascii="Arial" w:cs="Arial" w:eastAsia="Arial" w:hAnsi="Arial"/>
          <w:sz w:val="19"/>
          <w:szCs w:val="19"/>
          <w:color w:val="auto"/>
        </w:rPr>
      </w:pPr>
    </w:p>
    <w:p>
      <w:pPr>
        <w:jc w:val="both"/>
        <w:ind w:left="328" w:hanging="328"/>
        <w:spacing w:after="0" w:line="302" w:lineRule="auto"/>
        <w:tabs>
          <w:tab w:leader="none" w:pos="32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Executive’s then-outstanding equity-based awards under the Equity Plan (including any awards issued by an acquirer or successor to the Company in exchange or substitution for such awards) will not be forfeited but will become fully vested;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performance awards with respect to then-ongoing performance periods shall be vested with respect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of shares that would have become earned and vested if the target level of performance was met.</w:t>
      </w:r>
    </w:p>
    <w:p>
      <w:pPr>
        <w:spacing w:after="0" w:line="183" w:lineRule="exact"/>
        <w:rPr>
          <w:rFonts w:ascii="Arial" w:cs="Arial" w:eastAsia="Arial" w:hAnsi="Arial"/>
          <w:sz w:val="19"/>
          <w:szCs w:val="19"/>
          <w:color w:val="auto"/>
        </w:rPr>
      </w:pPr>
    </w:p>
    <w:p>
      <w:pPr>
        <w:jc w:val="both"/>
        <w:ind w:left="328" w:hanging="328"/>
        <w:spacing w:after="0" w:line="259" w:lineRule="auto"/>
        <w:tabs>
          <w:tab w:leader="none" w:pos="328"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In lieu of providing any continuation of Welfare Benefits to the Executive and his or her dependents following the Termination Date (</w:t>
      </w:r>
      <w:r>
        <w:rPr>
          <w:rFonts w:ascii="Arial" w:cs="Arial" w:eastAsia="Arial" w:hAnsi="Arial"/>
          <w:sz w:val="21"/>
          <w:szCs w:val="21"/>
          <w:i w:val="1"/>
          <w:iCs w:val="1"/>
          <w:color w:val="auto"/>
        </w:rPr>
        <w:t>it being understood</w:t>
      </w:r>
      <w:r>
        <w:rPr>
          <w:rFonts w:ascii="Arial" w:cs="Arial" w:eastAsia="Arial" w:hAnsi="Arial"/>
          <w:sz w:val="21"/>
          <w:szCs w:val="21"/>
          <w:color w:val="auto"/>
        </w:rPr>
        <w:t xml:space="preserve"> that this is not intended to supersede any right of the Executive and his or her dependents to COBRA continuation following the Termination Date), a lump sum payment in an amount equal to the present value of such Welfare Benefits, if such Welfare Benefits were provided for a period of 18 months following the Termination Date. For purposes of the immediately preceding sentence, the value of such Welfare Benefits shall be measured immediately prior to the Termination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applicable for purposes of calculating service or age to determine the value of such Welfare Benefits, assuming that the Executive had remained actively employed on a full-time basis for a period of 18 months following the Termination Date).</w:t>
      </w:r>
    </w:p>
    <w:p>
      <w:pPr>
        <w:spacing w:after="0" w:line="224" w:lineRule="exact"/>
        <w:rPr>
          <w:rFonts w:ascii="Arial" w:cs="Arial" w:eastAsia="Arial" w:hAnsi="Arial"/>
          <w:sz w:val="21"/>
          <w:szCs w:val="21"/>
          <w:color w:val="auto"/>
        </w:rPr>
      </w:pPr>
    </w:p>
    <w:p>
      <w:pPr>
        <w:ind w:left="328" w:hanging="328"/>
        <w:spacing w:after="0"/>
        <w:tabs>
          <w:tab w:leader="none" w:pos="32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Non-Competition Period contemplated by Section 9(a) will be 12 months from the Termination Date.</w:t>
      </w:r>
    </w:p>
    <w:p>
      <w:pPr>
        <w:spacing w:after="0" w:line="200" w:lineRule="exact"/>
        <w:rPr>
          <w:sz w:val="20"/>
          <w:szCs w:val="20"/>
          <w:color w:val="auto"/>
        </w:rPr>
      </w:pPr>
    </w:p>
    <w:p>
      <w:pPr>
        <w:spacing w:after="0" w:line="25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8"/>
          </w:cols>
          <w:pgMar w:left="572" w:top="58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31"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SUBSIDIARIES OF ABM INDUSTRIES INCORPORATED</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AS OF OCTOBER 31,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4180" w:type="dxa"/>
            <w:vAlign w:val="bottom"/>
          </w:tcPr>
          <w:p>
            <w:pPr>
              <w:ind w:left="2140"/>
              <w:spacing w:after="0"/>
              <w:rPr>
                <w:sz w:val="20"/>
                <w:szCs w:val="20"/>
                <w:color w:val="auto"/>
              </w:rPr>
            </w:pPr>
            <w:r>
              <w:rPr>
                <w:rFonts w:ascii="Arial" w:cs="Arial" w:eastAsia="Arial" w:hAnsi="Arial"/>
                <w:sz w:val="18"/>
                <w:szCs w:val="18"/>
                <w:b w:val="1"/>
                <w:bCs w:val="1"/>
                <w:color w:val="auto"/>
              </w:rPr>
              <w:t>Where Incorporated or</w:t>
            </w:r>
          </w:p>
        </w:tc>
      </w:tr>
      <w:tr>
        <w:trPr>
          <w:trHeight w:val="234"/>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4180" w:type="dxa"/>
            <w:vAlign w:val="bottom"/>
          </w:tcPr>
          <w:p>
            <w:pPr>
              <w:ind w:left="2140"/>
              <w:spacing w:after="0"/>
              <w:rPr>
                <w:sz w:val="20"/>
                <w:szCs w:val="20"/>
                <w:color w:val="auto"/>
              </w:rPr>
            </w:pPr>
            <w:r>
              <w:rPr>
                <w:rFonts w:ascii="Arial" w:cs="Arial" w:eastAsia="Arial" w:hAnsi="Arial"/>
                <w:sz w:val="18"/>
                <w:szCs w:val="18"/>
                <w:b w:val="1"/>
                <w:bCs w:val="1"/>
                <w:color w:val="auto"/>
              </w:rPr>
              <w:t>Organized</w:t>
            </w:r>
          </w:p>
        </w:tc>
      </w:tr>
      <w:tr>
        <w:trPr>
          <w:trHeight w:val="27"/>
        </w:trPr>
        <w:tc>
          <w:tcPr>
            <w:tcW w:w="61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Aviation, Inc.</w:t>
            </w:r>
          </w:p>
        </w:tc>
        <w:tc>
          <w:tcPr>
            <w:tcW w:w="4180" w:type="dxa"/>
            <w:vAlign w:val="bottom"/>
          </w:tcPr>
          <w:p>
            <w:pPr>
              <w:ind w:left="2140"/>
              <w:spacing w:after="0"/>
              <w:rPr>
                <w:sz w:val="20"/>
                <w:szCs w:val="20"/>
                <w:color w:val="auto"/>
              </w:rPr>
            </w:pPr>
            <w:r>
              <w:rPr>
                <w:rFonts w:ascii="Arial" w:cs="Arial" w:eastAsia="Arial" w:hAnsi="Arial"/>
                <w:sz w:val="18"/>
                <w:szCs w:val="18"/>
                <w:color w:val="auto"/>
              </w:rPr>
              <w:t>Georgia</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Omni Serv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580"/>
              <w:spacing w:after="0"/>
              <w:rPr>
                <w:sz w:val="20"/>
                <w:szCs w:val="20"/>
                <w:color w:val="auto"/>
              </w:rPr>
            </w:pPr>
            <w:r>
              <w:rPr>
                <w:rFonts w:ascii="Arial" w:cs="Arial" w:eastAsia="Arial" w:hAnsi="Arial"/>
                <w:sz w:val="18"/>
                <w:szCs w:val="18"/>
                <w:color w:val="auto"/>
              </w:rPr>
              <w:t>Air Serv Middle East Hospitality Services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UAE</w:t>
            </w:r>
          </w:p>
        </w:tc>
      </w:tr>
      <w:tr>
        <w:trPr>
          <w:trHeight w:val="270"/>
        </w:trPr>
        <w:tc>
          <w:tcPr>
            <w:tcW w:w="6140" w:type="dxa"/>
            <w:vAlign w:val="bottom"/>
          </w:tcPr>
          <w:p>
            <w:pPr>
              <w:ind w:left="580"/>
              <w:spacing w:after="0"/>
              <w:rPr>
                <w:sz w:val="20"/>
                <w:szCs w:val="20"/>
                <w:color w:val="auto"/>
              </w:rPr>
            </w:pPr>
            <w:r>
              <w:rPr>
                <w:rFonts w:ascii="Arial" w:cs="Arial" w:eastAsia="Arial" w:hAnsi="Arial"/>
                <w:sz w:val="18"/>
                <w:szCs w:val="18"/>
                <w:color w:val="auto"/>
              </w:rPr>
              <w:t>OFJ Connections</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800"/>
              <w:spacing w:after="0"/>
              <w:rPr>
                <w:sz w:val="20"/>
                <w:szCs w:val="20"/>
                <w:color w:val="auto"/>
              </w:rPr>
            </w:pPr>
            <w:r>
              <w:rPr>
                <w:rFonts w:ascii="Arial" w:cs="Arial" w:eastAsia="Arial" w:hAnsi="Arial"/>
                <w:sz w:val="18"/>
                <w:szCs w:val="18"/>
                <w:color w:val="auto"/>
              </w:rPr>
              <w:t>OFJ Airlinks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International (Holdings) B.V.</w:t>
            </w:r>
          </w:p>
        </w:tc>
        <w:tc>
          <w:tcPr>
            <w:tcW w:w="4180" w:type="dxa"/>
            <w:vAlign w:val="bottom"/>
          </w:tcPr>
          <w:p>
            <w:pPr>
              <w:ind w:left="2140"/>
              <w:spacing w:after="0"/>
              <w:rPr>
                <w:sz w:val="20"/>
                <w:szCs w:val="20"/>
                <w:color w:val="auto"/>
              </w:rPr>
            </w:pPr>
            <w:r>
              <w:rPr>
                <w:rFonts w:ascii="Arial" w:cs="Arial" w:eastAsia="Arial" w:hAnsi="Arial"/>
                <w:sz w:val="18"/>
                <w:szCs w:val="18"/>
                <w:color w:val="auto"/>
              </w:rPr>
              <w:t>Holland</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IFM Capital Ltd.</w:t>
            </w:r>
          </w:p>
        </w:tc>
        <w:tc>
          <w:tcPr>
            <w:tcW w:w="4180" w:type="dxa"/>
            <w:vAlign w:val="bottom"/>
          </w:tcPr>
          <w:p>
            <w:pPr>
              <w:ind w:left="2140"/>
              <w:spacing w:after="0"/>
              <w:rPr>
                <w:sz w:val="20"/>
                <w:szCs w:val="20"/>
                <w:color w:val="auto"/>
              </w:rPr>
            </w:pPr>
            <w:r>
              <w:rPr>
                <w:rFonts w:ascii="Arial" w:cs="Arial" w:eastAsia="Arial" w:hAnsi="Arial"/>
                <w:sz w:val="18"/>
                <w:szCs w:val="18"/>
                <w:color w:val="auto"/>
              </w:rPr>
              <w:t>Bermuda</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Group UK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580"/>
              <w:spacing w:after="0"/>
              <w:rPr>
                <w:sz w:val="20"/>
                <w:szCs w:val="20"/>
                <w:color w:val="auto"/>
              </w:rPr>
            </w:pPr>
            <w:r>
              <w:rPr>
                <w:rFonts w:ascii="Arial" w:cs="Arial" w:eastAsia="Arial" w:hAnsi="Arial"/>
                <w:sz w:val="18"/>
                <w:szCs w:val="18"/>
                <w:color w:val="auto"/>
              </w:rPr>
              <w:t>ABM Facility Services UK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580"/>
              <w:spacing w:after="0"/>
              <w:rPr>
                <w:sz w:val="20"/>
                <w:szCs w:val="20"/>
                <w:color w:val="auto"/>
              </w:rPr>
            </w:pPr>
            <w:r>
              <w:rPr>
                <w:rFonts w:ascii="Arial" w:cs="Arial" w:eastAsia="Arial" w:hAnsi="Arial"/>
                <w:sz w:val="18"/>
                <w:szCs w:val="18"/>
                <w:color w:val="auto"/>
              </w:rPr>
              <w:t>ABM Facility Services Scotland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800"/>
              <w:spacing w:after="0"/>
              <w:rPr>
                <w:sz w:val="20"/>
                <w:szCs w:val="20"/>
                <w:color w:val="auto"/>
              </w:rPr>
            </w:pPr>
            <w:r>
              <w:rPr>
                <w:rFonts w:ascii="Arial" w:cs="Arial" w:eastAsia="Arial" w:hAnsi="Arial"/>
                <w:sz w:val="18"/>
                <w:szCs w:val="18"/>
                <w:color w:val="auto"/>
              </w:rPr>
              <w:t>Eclipse Contract Cleaning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Scotland</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GBM Services (Civic)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BRBIBR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800"/>
              <w:spacing w:after="0"/>
              <w:rPr>
                <w:sz w:val="20"/>
                <w:szCs w:val="20"/>
                <w:color w:val="auto"/>
              </w:rPr>
            </w:pPr>
            <w:r>
              <w:rPr>
                <w:rFonts w:ascii="Arial" w:cs="Arial" w:eastAsia="Arial" w:hAnsi="Arial"/>
                <w:sz w:val="18"/>
                <w:szCs w:val="18"/>
                <w:color w:val="auto"/>
              </w:rPr>
              <w:t>ABM Critical Solutions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Westway Services Holdings (2014) Ltd.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580"/>
              <w:spacing w:after="0"/>
              <w:rPr>
                <w:sz w:val="20"/>
                <w:szCs w:val="20"/>
                <w:color w:val="auto"/>
              </w:rPr>
            </w:pPr>
            <w:r>
              <w:rPr>
                <w:rFonts w:ascii="Arial" w:cs="Arial" w:eastAsia="Arial" w:hAnsi="Arial"/>
                <w:sz w:val="18"/>
                <w:szCs w:val="18"/>
                <w:color w:val="auto"/>
              </w:rPr>
              <w:t>Westway Services Holdings (2010) Ltd.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800"/>
              <w:spacing w:after="0"/>
              <w:rPr>
                <w:sz w:val="20"/>
                <w:szCs w:val="20"/>
                <w:color w:val="auto"/>
              </w:rPr>
            </w:pPr>
            <w:r>
              <w:rPr>
                <w:rFonts w:ascii="Arial" w:cs="Arial" w:eastAsia="Arial" w:hAnsi="Arial"/>
                <w:sz w:val="18"/>
                <w:szCs w:val="18"/>
                <w:color w:val="auto"/>
              </w:rPr>
              <w:t>Westway Services Limited</w:t>
            </w:r>
          </w:p>
        </w:tc>
        <w:tc>
          <w:tcPr>
            <w:tcW w:w="4180" w:type="dxa"/>
            <w:vAlign w:val="bottom"/>
          </w:tcPr>
          <w:p>
            <w:pPr>
              <w:ind w:left="2140"/>
              <w:spacing w:after="0"/>
              <w:rPr>
                <w:sz w:val="20"/>
                <w:szCs w:val="20"/>
                <w:color w:val="auto"/>
              </w:rPr>
            </w:pPr>
            <w:r>
              <w:rPr>
                <w:rFonts w:ascii="Arial" w:cs="Arial" w:eastAsia="Arial" w:hAnsi="Arial"/>
                <w:sz w:val="18"/>
                <w:szCs w:val="18"/>
                <w:color w:val="auto"/>
              </w:rPr>
              <w:t>England</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Onsite Services - Canada ULC</w:t>
            </w:r>
          </w:p>
        </w:tc>
        <w:tc>
          <w:tcPr>
            <w:tcW w:w="4180" w:type="dxa"/>
            <w:vAlign w:val="bottom"/>
          </w:tcPr>
          <w:p>
            <w:pPr>
              <w:ind w:left="2140"/>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General Services,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Healthcare Support Services,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Michigan</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Industrial Services,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Industry Groups,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Security Services,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California</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Texas General Services,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OneSource Facility Services,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Building &amp; Energy Solutions,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Building Services,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Building Solutions,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580"/>
              <w:spacing w:after="0"/>
              <w:rPr>
                <w:sz w:val="20"/>
                <w:szCs w:val="20"/>
                <w:color w:val="auto"/>
              </w:rPr>
            </w:pPr>
            <w:r>
              <w:rPr>
                <w:rFonts w:ascii="Arial" w:cs="Arial" w:eastAsia="Arial" w:hAnsi="Arial"/>
                <w:sz w:val="18"/>
                <w:szCs w:val="18"/>
                <w:color w:val="auto"/>
              </w:rPr>
              <w:t>Mechanical Solutions,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Texas</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Electrical Network, Inc.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Electrical Power Services,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Electrical Power Solutions,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Electrical &amp; Lighting Solutions, Inc.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Electrical &amp; Lighting Services,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ABM Facility Support Services,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RenewEnergy Solutions,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ABM Franchising Group,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GreenHomes America,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160"/>
              <w:spacing w:after="0"/>
              <w:rPr>
                <w:sz w:val="20"/>
                <w:szCs w:val="20"/>
                <w:color w:val="auto"/>
              </w:rPr>
            </w:pPr>
            <w:r>
              <w:rPr>
                <w:rFonts w:ascii="Arial" w:cs="Arial" w:eastAsia="Arial" w:hAnsi="Arial"/>
                <w:sz w:val="18"/>
                <w:szCs w:val="18"/>
                <w:color w:val="auto"/>
              </w:rPr>
              <w:t>Grade Sub Two, LLC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380"/>
              <w:spacing w:after="0"/>
              <w:rPr>
                <w:sz w:val="20"/>
                <w:szCs w:val="20"/>
                <w:color w:val="auto"/>
              </w:rPr>
            </w:pPr>
            <w:r>
              <w:rPr>
                <w:rFonts w:ascii="Arial" w:cs="Arial" w:eastAsia="Arial" w:hAnsi="Arial"/>
                <w:sz w:val="18"/>
                <w:szCs w:val="18"/>
                <w:color w:val="auto"/>
              </w:rPr>
              <w:t>GCA Services Group, Inc.</w:t>
            </w:r>
          </w:p>
        </w:tc>
        <w:tc>
          <w:tcPr>
            <w:tcW w:w="4180" w:type="dxa"/>
            <w:vAlign w:val="bottom"/>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6140" w:type="dxa"/>
            <w:vAlign w:val="bottom"/>
          </w:tcPr>
          <w:p>
            <w:pPr>
              <w:ind w:left="580"/>
              <w:spacing w:after="0"/>
              <w:rPr>
                <w:sz w:val="20"/>
                <w:szCs w:val="20"/>
                <w:color w:val="auto"/>
              </w:rPr>
            </w:pPr>
            <w:r>
              <w:rPr>
                <w:rFonts w:ascii="Arial" w:cs="Arial" w:eastAsia="Arial" w:hAnsi="Arial"/>
                <w:sz w:val="18"/>
                <w:szCs w:val="18"/>
                <w:color w:val="auto"/>
              </w:rPr>
              <w:t>Associated Facility Management, LLC</w:t>
            </w:r>
          </w:p>
        </w:tc>
        <w:tc>
          <w:tcPr>
            <w:tcW w:w="4180" w:type="dxa"/>
            <w:vAlign w:val="bottom"/>
          </w:tcPr>
          <w:p>
            <w:pPr>
              <w:ind w:left="2140"/>
              <w:spacing w:after="0"/>
              <w:rPr>
                <w:sz w:val="20"/>
                <w:szCs w:val="20"/>
                <w:color w:val="auto"/>
              </w:rPr>
            </w:pPr>
            <w:r>
              <w:rPr>
                <w:rFonts w:ascii="Arial" w:cs="Arial" w:eastAsia="Arial" w:hAnsi="Arial"/>
                <w:sz w:val="18"/>
                <w:szCs w:val="18"/>
                <w:color w:val="auto"/>
              </w:rPr>
              <w:t>Nevada</w:t>
            </w:r>
          </w:p>
        </w:tc>
      </w:tr>
    </w:tbl>
    <w:p>
      <w:pPr>
        <w:sectPr>
          <w:pgSz w:w="11900" w:h="16838" w:orient="portrait"/>
          <w:cols w:equalWidth="0" w:num="1">
            <w:col w:w="10860"/>
          </w:cols>
          <w:pgMar w:left="800" w:top="801" w:right="239" w:bottom="1440" w:gutter="0" w:footer="0" w:header="0"/>
        </w:sectPr>
      </w:pPr>
    </w:p>
    <w:bookmarkStart w:id="173" w:name="page174"/>
    <w:bookmarkEnd w:id="173"/>
    <w:p>
      <w:pPr>
        <w:ind w:left="1360"/>
        <w:spacing w:after="0"/>
        <w:rPr>
          <w:sz w:val="20"/>
          <w:szCs w:val="20"/>
          <w:color w:val="auto"/>
        </w:rPr>
      </w:pPr>
      <w:r>
        <w:rPr>
          <w:rFonts w:ascii="Arial" w:cs="Arial" w:eastAsia="Arial" w:hAnsi="Arial"/>
          <w:sz w:val="18"/>
          <w:szCs w:val="18"/>
          <w:color w:val="auto"/>
        </w:rPr>
        <w:t>GCA Cleaning Specialties, LP</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GCA Services Group Mountain States, LP</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GCA Services Group of Texas, LP</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Associated Facility Ventures, LLC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Education Services,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Education Services Central States,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Education Services of New England,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GCA Facility Operations Maintenance Services, Inc.</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K12 Education Services,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Nuclear Facility Services,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Plumbing Services,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Production Services,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Services,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Services Group of California,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Services Group of Colorado,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Services Group of North Carolina,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GCA Services Group of Northwestern States, Inc.</w:t>
      </w:r>
    </w:p>
    <w:p>
      <w:pPr>
        <w:spacing w:after="0" w:line="7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Specialty Services LLC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Staffing Services, Inc.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National Building Maintenance Corp.</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Commercial Services of Midwest, LLC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Education Services of Midwest, LLC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Energy Services, LLC</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GCA International Management Services, LLC</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IFM Assurance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North Carolina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00" w:lineRule="exact"/>
        <w:rPr>
          <w:sz w:val="20"/>
          <w:szCs w:val="20"/>
          <w:color w:val="auto"/>
        </w:rPr>
      </w:pPr>
    </w:p>
    <w:p>
      <w:pPr>
        <w:sectPr>
          <w:pgSz w:w="11900" w:h="16838" w:orient="portrait"/>
          <w:cols w:equalWidth="0" w:num="2">
            <w:col w:w="8120" w:space="720"/>
            <w:col w:w="1379"/>
          </w:cols>
          <w:pgMar w:left="240" w:top="747"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*Subsidiary relationship to Company or to subsidiary parents shown by progressive indentation.</w:t>
      </w:r>
    </w:p>
    <w:p>
      <w:pPr>
        <w:sectPr>
          <w:pgSz w:w="11900" w:h="16838" w:orient="portrait"/>
          <w:cols w:equalWidth="0" w:num="1">
            <w:col w:w="10219"/>
          </w:cols>
          <w:pgMar w:left="240" w:top="747" w:right="1440" w:bottom="1440" w:gutter="0" w:footer="0" w:header="0"/>
          <w:type w:val="continuous"/>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listed below of ABM Industries Incorporated of our report, dated December 21, 2017, with respect to the consolidated balance sheets of ABM Industries Incorporated as of October 31, 2017 and 2016, and the related consolidated statements of comprehensive income, stockholders’ equity, and cash flows for each of the years in the three-year period ended October 31, 2017, and the related financial statement Schedule II, and the effectiveness of internal control over financial reporting as of October 31, 2017, which report appears in the October 31, 2017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ABM Industries Incorporated.</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report dated December 21, 2017, on the effectiveness of internal control over the financial reporting as of October 31, 2017, contains an explanatory paragraph that states the Company acquired Mechanical Solutions, Inc. (“MSI”) on December 1, 2016, OFJ Connections LTD (“OFJ”) on December 1, 2016, and GCA Holding Corp., the indirect parent company of GCA Services Group (“GCA”) on September 1, 2017. Management excluded these three businesses from its assessment of the effectiveness of the Company’s internal control over financial reporting as of October 31, 2017. MSI, OFJ, and GCA represented approximately 5% of the Company’s total consolidated assets (excluding goodwill and intangibles which are included within the scope of the assessment) and 4% of total consolidated revenues, as of and for the year ended October 31, 2017. Our audit of internal control over financial reporting of ABM Industries Incorporated and subsidiaries also excluded an evaluation of the internal control over financial reporting of MSI, OFJ, and GCA.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Registration No.</w:t>
            </w:r>
          </w:p>
        </w:tc>
        <w:tc>
          <w:tcPr>
            <w:tcW w:w="1400" w:type="dxa"/>
            <w:vAlign w:val="bottom"/>
          </w:tcPr>
          <w:p>
            <w:pPr>
              <w:ind w:left="560"/>
              <w:spacing w:after="0"/>
              <w:rPr>
                <w:sz w:val="20"/>
                <w:szCs w:val="20"/>
                <w:color w:val="auto"/>
              </w:rPr>
            </w:pPr>
            <w:r>
              <w:rPr>
                <w:rFonts w:ascii="Arial" w:cs="Arial" w:eastAsia="Arial" w:hAnsi="Arial"/>
                <w:sz w:val="18"/>
                <w:szCs w:val="18"/>
                <w:color w:val="auto"/>
              </w:rPr>
              <w:t>Form</w:t>
            </w:r>
          </w:p>
        </w:tc>
        <w:tc>
          <w:tcPr>
            <w:tcW w:w="840" w:type="dxa"/>
            <w:vAlign w:val="bottom"/>
          </w:tcPr>
          <w:p>
            <w:pPr>
              <w:ind w:left="460"/>
              <w:spacing w:after="0"/>
              <w:rPr>
                <w:sz w:val="20"/>
                <w:szCs w:val="20"/>
                <w:color w:val="auto"/>
              </w:rPr>
            </w:pPr>
            <w:r>
              <w:rPr>
                <w:rFonts w:ascii="Arial" w:cs="Arial" w:eastAsia="Arial" w:hAnsi="Arial"/>
                <w:sz w:val="18"/>
                <w:szCs w:val="18"/>
                <w:color w:val="auto"/>
                <w:w w:val="99"/>
              </w:rPr>
              <w:t>Plan</w:t>
            </w:r>
          </w:p>
        </w:tc>
        <w:tc>
          <w:tcPr>
            <w:tcW w:w="5960" w:type="dxa"/>
            <w:vAlign w:val="bottom"/>
          </w:tcPr>
          <w:p>
            <w:pPr>
              <w:spacing w:after="0"/>
              <w:rPr>
                <w:sz w:val="20"/>
                <w:szCs w:val="20"/>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ind w:left="20"/>
              <w:spacing w:after="0"/>
              <w:rPr>
                <w:sz w:val="20"/>
                <w:szCs w:val="20"/>
                <w:color w:val="auto"/>
              </w:rPr>
            </w:pPr>
            <w:r>
              <w:rPr>
                <w:rFonts w:ascii="Arial" w:cs="Arial" w:eastAsia="Arial" w:hAnsi="Arial"/>
                <w:sz w:val="18"/>
                <w:szCs w:val="18"/>
                <w:color w:val="auto"/>
              </w:rPr>
              <w:t>333-167464</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2004</w:t>
            </w:r>
          </w:p>
        </w:tc>
        <w:tc>
          <w:tcPr>
            <w:tcW w:w="59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333-78423</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6800" w:type="dxa"/>
            <w:vAlign w:val="bottom"/>
            <w:gridSpan w:val="2"/>
          </w:tcPr>
          <w:p>
            <w:pPr>
              <w:ind w:left="460"/>
              <w:spacing w:after="0"/>
              <w:rPr>
                <w:sz w:val="20"/>
                <w:szCs w:val="20"/>
                <w:color w:val="auto"/>
              </w:rPr>
            </w:pPr>
            <w:r>
              <w:rPr>
                <w:rFonts w:ascii="Arial" w:cs="Arial" w:eastAsia="Arial" w:hAnsi="Arial"/>
                <w:sz w:val="18"/>
                <w:szCs w:val="18"/>
                <w:color w:val="auto"/>
              </w:rPr>
              <w:t>“Age-Vested” Career Stock Option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333-78421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6800" w:type="dxa"/>
            <w:vAlign w:val="bottom"/>
            <w:gridSpan w:val="2"/>
          </w:tcPr>
          <w:p>
            <w:pPr>
              <w:ind w:left="460"/>
              <w:spacing w:after="0"/>
              <w:rPr>
                <w:sz w:val="20"/>
                <w:szCs w:val="20"/>
                <w:color w:val="auto"/>
              </w:rPr>
            </w:pPr>
            <w:r>
              <w:rPr>
                <w:rFonts w:ascii="Arial" w:cs="Arial" w:eastAsia="Arial" w:hAnsi="Arial"/>
                <w:sz w:val="18"/>
                <w:szCs w:val="18"/>
                <w:color w:val="auto"/>
              </w:rPr>
              <w:t>“Time-Vested” Incentive Stock Option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333-48857</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1996</w:t>
            </w:r>
          </w:p>
        </w:tc>
        <w:tc>
          <w:tcPr>
            <w:tcW w:w="596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333-85390</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2002</w:t>
            </w:r>
          </w:p>
        </w:tc>
        <w:tc>
          <w:tcPr>
            <w:tcW w:w="596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333-116487</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2004</w:t>
            </w:r>
          </w:p>
        </w:tc>
        <w:tc>
          <w:tcPr>
            <w:tcW w:w="59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333-137241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333-159770</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333-179991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333-202521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2006</w:t>
            </w:r>
          </w:p>
        </w:tc>
        <w:tc>
          <w:tcPr>
            <w:tcW w:w="596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70"/>
        </w:trPr>
        <w:tc>
          <w:tcPr>
            <w:tcW w:w="1760" w:type="dxa"/>
            <w:vAlign w:val="bottom"/>
          </w:tcPr>
          <w:p>
            <w:pPr>
              <w:ind w:left="20"/>
              <w:spacing w:after="0"/>
              <w:rPr>
                <w:sz w:val="20"/>
                <w:szCs w:val="20"/>
                <w:color w:val="auto"/>
              </w:rPr>
            </w:pPr>
            <w:r>
              <w:rPr>
                <w:rFonts w:ascii="Arial" w:cs="Arial" w:eastAsia="Arial" w:hAnsi="Arial"/>
                <w:sz w:val="18"/>
                <w:szCs w:val="18"/>
                <w:color w:val="auto"/>
              </w:rPr>
              <w:t>333-211991</w:t>
            </w:r>
          </w:p>
        </w:tc>
        <w:tc>
          <w:tcPr>
            <w:tcW w:w="1400" w:type="dxa"/>
            <w:vAlign w:val="bottom"/>
          </w:tcPr>
          <w:p>
            <w:pPr>
              <w:ind w:left="560"/>
              <w:spacing w:after="0"/>
              <w:rPr>
                <w:sz w:val="20"/>
                <w:szCs w:val="20"/>
                <w:color w:val="auto"/>
              </w:rPr>
            </w:pPr>
            <w:r>
              <w:rPr>
                <w:rFonts w:ascii="Arial" w:cs="Arial" w:eastAsia="Arial" w:hAnsi="Arial"/>
                <w:sz w:val="18"/>
                <w:szCs w:val="18"/>
                <w:color w:val="auto"/>
              </w:rPr>
              <w:t>S-8</w:t>
            </w:r>
          </w:p>
        </w:tc>
        <w:tc>
          <w:tcPr>
            <w:tcW w:w="840" w:type="dxa"/>
            <w:vAlign w:val="bottom"/>
          </w:tcPr>
          <w:p>
            <w:pPr>
              <w:ind w:left="460"/>
              <w:spacing w:after="0"/>
              <w:rPr>
                <w:sz w:val="20"/>
                <w:szCs w:val="20"/>
                <w:color w:val="auto"/>
              </w:rPr>
            </w:pPr>
            <w:r>
              <w:rPr>
                <w:rFonts w:ascii="Arial" w:cs="Arial" w:eastAsia="Arial" w:hAnsi="Arial"/>
                <w:sz w:val="18"/>
                <w:szCs w:val="18"/>
                <w:color w:val="auto"/>
                <w:w w:val="89"/>
              </w:rPr>
              <w:t>2004</w:t>
            </w:r>
          </w:p>
        </w:tc>
        <w:tc>
          <w:tcPr>
            <w:tcW w:w="59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2017</w:t>
      </w:r>
    </w:p>
    <w:p>
      <w:pPr>
        <w:sectPr>
          <w:pgSz w:w="11900" w:h="16838" w:orient="portrait"/>
          <w:cols w:equalWidth="0" w:num="1">
            <w:col w:w="11420"/>
          </w:cols>
          <w:pgMar w:left="240" w:top="58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20" w:hanging="31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December 22, 2017</w:t>
      </w:r>
      <w:r>
        <w:rPr>
          <w:sz w:val="20"/>
          <w:szCs w:val="20"/>
          <w:color w:val="auto"/>
        </w:rPr>
        <w:tab/>
      </w:r>
      <w:r>
        <w:rPr>
          <w:rFonts w:ascii="Arial" w:cs="Arial" w:eastAsia="Arial" w:hAnsi="Arial"/>
          <w:sz w:val="16"/>
          <w:szCs w:val="16"/>
          <w:u w:val="single" w:color="auto"/>
          <w:color w:val="auto"/>
        </w:rPr>
        <w:t>/s/ Scott Salmirs</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Scott Salmirs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December 22, 2017</w:t>
            </w:r>
          </w:p>
        </w:tc>
        <w:tc>
          <w:tcPr>
            <w:tcW w:w="3800" w:type="dxa"/>
            <w:vAlign w:val="bottom"/>
            <w:gridSpan w:val="2"/>
          </w:tcPr>
          <w:p>
            <w:pPr>
              <w:spacing w:after="0"/>
              <w:rPr>
                <w:sz w:val="20"/>
                <w:szCs w:val="20"/>
                <w:color w:val="auto"/>
              </w:rPr>
            </w:pPr>
            <w:r>
              <w:rPr>
                <w:rFonts w:ascii="Arial" w:cs="Arial" w:eastAsia="Arial" w:hAnsi="Arial"/>
                <w:sz w:val="18"/>
                <w:szCs w:val="18"/>
                <w:color w:val="auto"/>
              </w:rPr>
              <w:t>/s/ D. Anthony Scaglione</w:t>
            </w:r>
          </w:p>
        </w:tc>
      </w:tr>
      <w:tr>
        <w:trPr>
          <w:trHeight w:val="20"/>
        </w:trPr>
        <w:tc>
          <w:tcPr>
            <w:tcW w:w="21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2"/>
        </w:trPr>
        <w:tc>
          <w:tcPr>
            <w:tcW w:w="2140" w:type="dxa"/>
            <w:vAlign w:val="bottom"/>
          </w:tcPr>
          <w:p>
            <w:pPr>
              <w:spacing w:after="0"/>
              <w:rPr>
                <w:sz w:val="19"/>
                <w:szCs w:val="19"/>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rPr>
              <w:t>D. Anthony Scaglione</w:t>
            </w:r>
          </w:p>
        </w:tc>
      </w:tr>
      <w:tr>
        <w:trPr>
          <w:trHeight w:val="216"/>
        </w:trPr>
        <w:tc>
          <w:tcPr>
            <w:tcW w:w="2140" w:type="dxa"/>
            <w:vAlign w:val="bottom"/>
          </w:tcPr>
          <w:p>
            <w:pPr>
              <w:spacing w:after="0"/>
              <w:rPr>
                <w:sz w:val="18"/>
                <w:szCs w:val="18"/>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rPr>
              <w:t>Chief Financial Officer</w:t>
            </w:r>
          </w:p>
        </w:tc>
      </w:tr>
      <w:tr>
        <w:trPr>
          <w:trHeight w:val="230"/>
        </w:trPr>
        <w:tc>
          <w:tcPr>
            <w:tcW w:w="2140" w:type="dxa"/>
            <w:vAlign w:val="bottom"/>
          </w:tcPr>
          <w:p>
            <w:pPr>
              <w:spacing w:after="0"/>
              <w:rPr>
                <w:sz w:val="20"/>
                <w:szCs w:val="20"/>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2017,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71" w:lineRule="exact"/>
        <w:rPr>
          <w:sz w:val="20"/>
          <w:szCs w:val="20"/>
          <w:color w:val="auto"/>
        </w:rPr>
      </w:pPr>
    </w:p>
    <w:p>
      <w:pPr>
        <w:ind w:left="980" w:hanging="648"/>
        <w:spacing w:after="0"/>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December 22, 2017</w:t>
            </w:r>
          </w:p>
        </w:tc>
        <w:tc>
          <w:tcPr>
            <w:tcW w:w="3860" w:type="dxa"/>
            <w:vAlign w:val="bottom"/>
            <w:gridSpan w:val="3"/>
          </w:tcPr>
          <w:p>
            <w:pPr>
              <w:spacing w:after="0"/>
              <w:rPr>
                <w:sz w:val="20"/>
                <w:szCs w:val="20"/>
                <w:color w:val="auto"/>
              </w:rPr>
            </w:pPr>
            <w:r>
              <w:rPr>
                <w:rFonts w:ascii="Arial" w:cs="Arial" w:eastAsia="Arial" w:hAnsi="Arial"/>
                <w:sz w:val="18"/>
                <w:szCs w:val="18"/>
                <w:color w:val="auto"/>
              </w:rPr>
              <w:t>/s/ Scott Salmirs</w:t>
            </w:r>
          </w:p>
        </w:tc>
      </w:tr>
      <w:tr>
        <w:trPr>
          <w:trHeight w:val="222"/>
        </w:trPr>
        <w:tc>
          <w:tcPr>
            <w:tcW w:w="2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Scott Salmirs</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Chief Executive Officer</w:t>
            </w:r>
          </w:p>
        </w:tc>
      </w:tr>
      <w:tr>
        <w:trPr>
          <w:trHeight w:val="230"/>
        </w:trPr>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w w:val="93"/>
              </w:rPr>
              <w:t>(Principal Executive Officer)</w:t>
            </w:r>
          </w:p>
        </w:tc>
      </w:tr>
      <w:tr>
        <w:trPr>
          <w:trHeight w:val="608"/>
        </w:trPr>
        <w:tc>
          <w:tcPr>
            <w:tcW w:w="2140" w:type="dxa"/>
            <w:vAlign w:val="bottom"/>
          </w:tcPr>
          <w:p>
            <w:pPr>
              <w:spacing w:after="0"/>
              <w:rPr>
                <w:sz w:val="20"/>
                <w:szCs w:val="20"/>
                <w:color w:val="auto"/>
              </w:rPr>
            </w:pPr>
            <w:r>
              <w:rPr>
                <w:rFonts w:ascii="Arial" w:cs="Arial" w:eastAsia="Arial" w:hAnsi="Arial"/>
                <w:sz w:val="18"/>
                <w:szCs w:val="18"/>
                <w:color w:val="auto"/>
              </w:rPr>
              <w:t>December 22, 2017</w:t>
            </w:r>
          </w:p>
        </w:tc>
        <w:tc>
          <w:tcPr>
            <w:tcW w:w="3860" w:type="dxa"/>
            <w:vAlign w:val="bottom"/>
            <w:gridSpan w:val="3"/>
          </w:tcPr>
          <w:p>
            <w:pPr>
              <w:spacing w:after="0"/>
              <w:rPr>
                <w:sz w:val="20"/>
                <w:szCs w:val="20"/>
                <w:color w:val="auto"/>
              </w:rPr>
            </w:pPr>
            <w:r>
              <w:rPr>
                <w:rFonts w:ascii="Arial" w:cs="Arial" w:eastAsia="Arial" w:hAnsi="Arial"/>
                <w:sz w:val="18"/>
                <w:szCs w:val="18"/>
                <w:color w:val="auto"/>
              </w:rPr>
              <w:t>/s/ D. Anthony Scaglione</w:t>
            </w:r>
          </w:p>
        </w:tc>
      </w:tr>
      <w:tr>
        <w:trPr>
          <w:trHeight w:val="20"/>
        </w:trPr>
        <w:tc>
          <w:tcPr>
            <w:tcW w:w="2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2"/>
        </w:trPr>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D. Anthony Scaglione</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Chief Financial Officer</w:t>
            </w:r>
          </w:p>
        </w:tc>
      </w:tr>
      <w:tr>
        <w:trPr>
          <w:trHeight w:val="230"/>
        </w:trPr>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w w:val="96"/>
              </w:rPr>
              <w:t>(Principal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decimal"/>
      <w:start w:val="55"/>
    </w:lvl>
  </w:abstractNum>
  <w:abstractNum w:abstractNumId="3">
    <w:nsid w:val="100F8FCA"/>
    <w:multiLevelType w:val="hybridMultilevel"/>
    <w:lvl w:ilvl="0">
      <w:lvlJc w:val="left"/>
      <w:lvlText w:val="(%1)"/>
      <w:numFmt w:val="decimal"/>
      <w:start w:val="1"/>
    </w:lvl>
    <w:lvl w:ilvl="1">
      <w:lvlJc w:val="left"/>
      <w:lvlText w:val="•"/>
      <w:numFmt w:val="bullet"/>
      <w:start w:val="1"/>
    </w:lvl>
  </w:abstractNum>
  <w:abstractNum w:abstractNumId="4">
    <w:nsid w:val="6590700B"/>
    <w:multiLevelType w:val="hybridMultilevel"/>
    <w:lvl w:ilvl="0">
      <w:lvlJc w:val="left"/>
      <w:lvlText w:val="(%1)"/>
      <w:numFmt w:val="decimal"/>
      <w:start w:val="2"/>
    </w:lvl>
    <w:lvl w:ilvl="1">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1)"/>
      <w:numFmt w:val="decimal"/>
      <w:start w:val="1"/>
    </w:lvl>
  </w:abstractNum>
  <w:abstractNum w:abstractNumId="16">
    <w:nsid w:val="7BD3EE7B"/>
    <w:multiLevelType w:val="hybridMultilevel"/>
    <w:lvl w:ilvl="0">
      <w:lvlJc w:val="left"/>
      <w:lvlText w:val="(%1)"/>
      <w:numFmt w:val="decimal"/>
      <w:start w:val="1"/>
    </w:lvl>
  </w:abstractNum>
  <w:abstractNum w:abstractNumId="17">
    <w:nsid w:val="51D9C564"/>
    <w:multiLevelType w:val="hybridMultilevel"/>
    <w:lvl w:ilvl="0">
      <w:lvlJc w:val="left"/>
      <w:lvlText w:val="%1."/>
      <w:numFmt w:val="decimal"/>
      <w:start w:val="2"/>
    </w:lvl>
  </w:abstractNum>
  <w:abstractNum w:abstractNumId="18">
    <w:nsid w:val="613EFDC5"/>
    <w:multiLevelType w:val="hybridMultilevel"/>
    <w:lvl w:ilvl="0">
      <w:lvlJc w:val="left"/>
      <w:lvlText w:val="(%1)"/>
      <w:numFmt w:val="decimal"/>
      <w:start w:val="1"/>
    </w:lvl>
  </w:abstractNum>
  <w:abstractNum w:abstractNumId="19">
    <w:nsid w:val="BF72B14"/>
    <w:multiLevelType w:val="hybridMultilevel"/>
    <w:lvl w:ilvl="0">
      <w:lvlJc w:val="left"/>
      <w:lvlText w:val="%1."/>
      <w:numFmt w:val="decimal"/>
      <w:start w:val="7"/>
    </w:lvl>
  </w:abstractNum>
  <w:abstractNum w:abstractNumId="20">
    <w:nsid w:val="11447B73"/>
    <w:multiLevelType w:val="hybridMultilevel"/>
    <w:lvl w:ilvl="0">
      <w:lvlJc w:val="left"/>
      <w:lvlText w:val="(%1)"/>
      <w:numFmt w:val="decimal"/>
      <w:start w:val="1"/>
    </w:lvl>
  </w:abstractNum>
  <w:abstractNum w:abstractNumId="21">
    <w:nsid w:val="42963E5A"/>
    <w:multiLevelType w:val="hybridMultilevel"/>
    <w:lvl w:ilvl="0">
      <w:lvlJc w:val="left"/>
      <w:lvlText w:val="%1."/>
      <w:numFmt w:val="decimal"/>
      <w:start w:val="9"/>
    </w:lvl>
  </w:abstractNum>
  <w:abstractNum w:abstractNumId="22">
    <w:nsid w:val="A0382C5"/>
    <w:multiLevelType w:val="hybridMultilevel"/>
    <w:lvl w:ilvl="0">
      <w:lvlJc w:val="left"/>
      <w:lvlText w:val="%1."/>
      <w:numFmt w:val="decimal"/>
      <w:start w:val="10"/>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1)"/>
      <w:numFmt w:val="decimal"/>
      <w:start w:val="1"/>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12"/>
    </w:lvl>
  </w:abstractNum>
  <w:abstractNum w:abstractNumId="28">
    <w:nsid w:val="60B6DF70"/>
    <w:multiLevelType w:val="hybridMultilevel"/>
    <w:lvl w:ilvl="0">
      <w:lvlJc w:val="left"/>
      <w:lvlText w:val="%1."/>
      <w:numFmt w:val="decimal"/>
      <w:start w:val="13"/>
    </w:lvl>
  </w:abstractNum>
  <w:abstractNum w:abstractNumId="29">
    <w:nsid w:val="6A5EE64"/>
    <w:multiLevelType w:val="hybridMultilevel"/>
    <w:lvl w:ilvl="0">
      <w:lvlJc w:val="left"/>
      <w:lvlText w:val="(%1)"/>
      <w:numFmt w:val="decimal"/>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1."/>
      <w:numFmt w:val="decimal"/>
      <w:start w:val="14"/>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1."/>
      <w:numFmt w:val="decimal"/>
      <w:start w:val="15"/>
    </w:lvl>
  </w:abstractNum>
  <w:abstractNum w:abstractNumId="34">
    <w:nsid w:val="100F59DC"/>
    <w:multiLevelType w:val="hybridMultilevel"/>
    <w:lvl w:ilvl="0">
      <w:lvlJc w:val="left"/>
      <w:lvlText w:val="(%1)"/>
      <w:numFmt w:val="decimal"/>
      <w:start w:val="1"/>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18"/>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1."/>
      <w:numFmt w:val="decimal"/>
      <w:start w:val="10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1."/>
      <w:numFmt w:val="decimal"/>
      <w:start w:val="4"/>
    </w:lvl>
  </w:abstractNum>
  <w:abstractNum w:abstractNumId="46">
    <w:nsid w:val="68EBC550"/>
    <w:multiLevelType w:val="hybridMultilevel"/>
    <w:lvl w:ilvl="0">
      <w:lvlJc w:val="left"/>
      <w:lvlText w:val="(%1)"/>
      <w:numFmt w:val="lowerRoman"/>
      <w:start w:val="2"/>
    </w:lvl>
  </w:abstractNum>
  <w:abstractNum w:abstractNumId="47">
    <w:nsid w:val="2DF6D648"/>
    <w:multiLevelType w:val="hybridMultilevel"/>
    <w:lvl w:ilvl="0">
      <w:lvlJc w:val="left"/>
      <w:lvlText w:val="%1."/>
      <w:numFmt w:val="decimal"/>
      <w:start w:val="6"/>
    </w:lvl>
    <w:lvl w:ilvl="1">
      <w:lvlJc w:val="left"/>
      <w:lvlText w:val="(%2)"/>
      <w:numFmt w:val="lowerRoman"/>
      <w:start w:val="7"/>
    </w:lvl>
  </w:abstractNum>
  <w:abstractNum w:abstractNumId="48">
    <w:nsid w:val="46B7D447"/>
    <w:multiLevelType w:val="hybridMultilevel"/>
    <w:lvl w:ilvl="0">
      <w:lvlJc w:val="left"/>
      <w:lvlText w:val="(%1)"/>
      <w:numFmt w:val="lowerRoman"/>
      <w:start w:val="10"/>
    </w:lvl>
  </w:abstractNum>
  <w:abstractNum w:abstractNumId="49">
    <w:nsid w:val="4A2AC315"/>
    <w:multiLevelType w:val="hybridMultilevel"/>
    <w:lvl w:ilvl="0">
      <w:lvlJc w:val="left"/>
      <w:lvlText w:val="(%1)"/>
      <w:numFmt w:val="decimal"/>
      <w:start w:val="30"/>
    </w:lvl>
  </w:abstractNum>
  <w:abstractNum w:abstractNumId="50">
    <w:nsid w:val="39EE015C"/>
    <w:multiLevelType w:val="hybridMultilevel"/>
    <w:lvl w:ilvl="0">
      <w:lvlJc w:val="left"/>
      <w:lvlText w:val="%1."/>
      <w:numFmt w:val="decimal"/>
      <w:start w:val="8"/>
    </w:lvl>
  </w:abstractNum>
  <w:abstractNum w:abstractNumId="51">
    <w:nsid w:val="57FC4FBB"/>
    <w:multiLevelType w:val="hybridMultilevel"/>
    <w:lvl w:ilvl="0">
      <w:lvlJc w:val="left"/>
      <w:lvlText w:val="%1."/>
      <w:numFmt w:val="decimal"/>
      <w:start w:val="9"/>
    </w:lvl>
  </w:abstractNum>
  <w:abstractNum w:abstractNumId="52">
    <w:nsid w:val="CC1016F"/>
    <w:multiLevelType w:val="hybridMultilevel"/>
    <w:lvl w:ilvl="0">
      <w:lvlJc w:val="left"/>
      <w:lvlText w:val="%1."/>
      <w:numFmt w:val="upperLetter"/>
      <w:start w:val="1"/>
    </w:lvl>
  </w:abstractNum>
  <w:abstractNum w:abstractNumId="53">
    <w:nsid w:val="43F18422"/>
    <w:multiLevelType w:val="hybridMultilevel"/>
    <w:lvl w:ilvl="0">
      <w:lvlJc w:val="left"/>
      <w:lvlText w:val="%1"/>
      <w:numFmt w:val="lowerLetter"/>
      <w:start w:val="1"/>
    </w:lvl>
    <w:lvl w:ilvl="1">
      <w:lvlJc w:val="left"/>
      <w:lvlText w:val="%2."/>
      <w:numFmt w:val="decimal"/>
      <w:start w:val="1"/>
    </w:lvl>
  </w:abstractNum>
  <w:abstractNum w:abstractNumId="54">
    <w:nsid w:val="60EF0119"/>
    <w:multiLevelType w:val="hybridMultilevel"/>
    <w:lvl w:ilvl="0">
      <w:lvlJc w:val="left"/>
      <w:lvlText w:val="(%1)"/>
      <w:numFmt w:val="lowerLetter"/>
      <w:start w:val="2"/>
    </w:lvl>
    <w:lvl w:ilvl="1">
      <w:lvlJc w:val="left"/>
      <w:lvlText w:val="%2"/>
      <w:numFmt w:val="decimal"/>
      <w:start w:val="1"/>
    </w:lvl>
  </w:abstractNum>
  <w:abstractNum w:abstractNumId="55">
    <w:nsid w:val="26F324BA"/>
    <w:multiLevelType w:val="hybridMultilevel"/>
    <w:lvl w:ilvl="0">
      <w:lvlJc w:val="left"/>
      <w:lvlText w:val="%1."/>
      <w:numFmt w:val="upperLetter"/>
      <w:start w:val="1"/>
    </w:lvl>
  </w:abstractNum>
  <w:abstractNum w:abstractNumId="56">
    <w:nsid w:val="7F01579B"/>
    <w:multiLevelType w:val="hybridMultilevel"/>
    <w:lvl w:ilvl="0">
      <w:lvlJc w:val="left"/>
      <w:lvlText w:val="%1."/>
      <w:numFmt w:val="decimal"/>
      <w:start w:val="1"/>
    </w:lvl>
    <w:lvl w:ilvl="1">
      <w:lvlJc w:val="left"/>
      <w:lvlText w:val="(%2)"/>
      <w:numFmt w:val="lowerLetter"/>
      <w:start w:val="1"/>
    </w:lvl>
  </w:abstractNum>
  <w:abstractNum w:abstractNumId="57">
    <w:nsid w:val="49DA307D"/>
    <w:multiLevelType w:val="hybridMultilevel"/>
    <w:lvl w:ilvl="0">
      <w:lvlJc w:val="left"/>
      <w:lvlText w:val="%1"/>
      <w:numFmt w:val="lowerRoman"/>
      <w:start w:val="1"/>
    </w:lvl>
    <w:lvl w:ilvl="1">
      <w:lvlJc w:val="left"/>
      <w:lvlText w:val="(%2)"/>
      <w:numFmt w:val="lowerLetter"/>
      <w:start w:val="4"/>
    </w:lvl>
  </w:abstractNum>
  <w:abstractNum w:abstractNumId="58">
    <w:nsid w:val="7055A5F5"/>
    <w:multiLevelType w:val="hybridMultilevel"/>
    <w:lvl w:ilvl="0">
      <w:lvlJc w:val="left"/>
      <w:lvlText w:val="(%1)"/>
      <w:numFmt w:val="lowerRoman"/>
      <w:start w:val="1"/>
    </w:lvl>
    <w:lvl w:ilvl="1">
      <w:lvlJc w:val="left"/>
      <w:lvlText w:val="(%2)"/>
      <w:numFmt w:val="lowerLetter"/>
      <w:start w:val="6"/>
    </w:lvl>
  </w:abstractNum>
  <w:abstractNum w:abstractNumId="59">
    <w:nsid w:val="5FB8370B"/>
    <w:multiLevelType w:val="hybridMultilevel"/>
    <w:lvl w:ilvl="0">
      <w:lvlJc w:val="left"/>
      <w:lvlText w:val="%1"/>
      <w:numFmt w:val="lowerRoman"/>
      <w:start w:val="1"/>
    </w:lvl>
    <w:lvl w:ilvl="1">
      <w:lvlJc w:val="left"/>
      <w:lvlText w:val="(%2)"/>
      <w:numFmt w:val="lowerLetter"/>
      <w:start w:val="8"/>
    </w:lvl>
  </w:abstractNum>
  <w:abstractNum w:abstractNumId="60">
    <w:nsid w:val="50801EE1"/>
    <w:multiLevelType w:val="hybridMultilevel"/>
    <w:lvl w:ilvl="0">
      <w:lvlJc w:val="left"/>
      <w:lvlText w:val="(%1)"/>
      <w:numFmt w:val="lowerRoman"/>
      <w:start w:val="1"/>
    </w:lvl>
    <w:lvl w:ilvl="1">
      <w:lvlJc w:val="left"/>
      <w:lvlText w:val="%2"/>
      <w:numFmt w:val="lowerLetter"/>
      <w:start w:val="1"/>
    </w:lvl>
  </w:abstractNum>
  <w:abstractNum w:abstractNumId="61">
    <w:nsid w:val="488AC1A"/>
    <w:multiLevelType w:val="hybridMultilevel"/>
    <w:lvl w:ilvl="0">
      <w:lvlJc w:val="left"/>
      <w:lvlText w:val="(%1)"/>
      <w:numFmt w:val="lowerRoman"/>
      <w:start w:val="3"/>
    </w:lvl>
  </w:abstractNum>
  <w:abstractNum w:abstractNumId="62">
    <w:nsid w:val="5FB8011C"/>
    <w:multiLevelType w:val="hybridMultilevel"/>
    <w:lvl w:ilvl="0">
      <w:lvlJc w:val="left"/>
      <w:lvlText w:val="(%1)"/>
      <w:numFmt w:val="lowerLetter"/>
      <w:start w:val="13"/>
    </w:lvl>
  </w:abstractNum>
  <w:abstractNum w:abstractNumId="63">
    <w:nsid w:val="6AA78F7F"/>
    <w:multiLevelType w:val="hybridMultilevel"/>
    <w:lvl w:ilvl="0">
      <w:lvlJc w:val="left"/>
      <w:lvlText w:val="(%1)"/>
      <w:numFmt w:val="lowerLetter"/>
      <w:start w:val="17"/>
    </w:lvl>
  </w:abstractNum>
  <w:abstractNum w:abstractNumId="64">
    <w:nsid w:val="7672BD23"/>
    <w:multiLevelType w:val="hybridMultilevel"/>
    <w:lvl w:ilvl="0">
      <w:lvlJc w:val="left"/>
      <w:lvlText w:val="%1"/>
      <w:numFmt w:val="decimal"/>
      <w:start w:val="1"/>
    </w:lvl>
    <w:lvl w:ilvl="1">
      <w:lvlJc w:val="left"/>
      <w:lvlText w:val="(%2)"/>
      <w:numFmt w:val="lowerLetter"/>
      <w:start w:val="27"/>
    </w:lvl>
  </w:abstractNum>
  <w:abstractNum w:abstractNumId="65">
    <w:nsid w:val="6FC75AF8"/>
    <w:multiLevelType w:val="hybridMultilevel"/>
    <w:lvl w:ilvl="0">
      <w:lvlJc w:val="left"/>
      <w:lvlText w:val="%1."/>
      <w:numFmt w:val="decimal"/>
      <w:start w:val="2"/>
    </w:lvl>
    <w:lvl w:ilvl="1">
      <w:lvlJc w:val="left"/>
      <w:lvlText w:val="%2"/>
      <w:numFmt w:val="lowerLetter"/>
      <w:start w:val="1"/>
    </w:lvl>
  </w:abstractNum>
  <w:abstractNum w:abstractNumId="66">
    <w:nsid w:val="6A5F7029"/>
    <w:multiLevelType w:val="hybridMultilevel"/>
    <w:lvl w:ilvl="0">
      <w:lvlJc w:val="left"/>
      <w:lvlText w:val="%1."/>
      <w:numFmt w:val="decimal"/>
      <w:start w:val="3"/>
    </w:lvl>
  </w:abstractNum>
  <w:abstractNum w:abstractNumId="67">
    <w:nsid w:val="7D5E18F8"/>
    <w:multiLevelType w:val="hybridMultilevel"/>
    <w:lvl w:ilvl="0">
      <w:lvlJc w:val="left"/>
      <w:lvlText w:val="(%1)"/>
      <w:numFmt w:val="lowerRoman"/>
      <w:start w:val="1"/>
    </w:lvl>
    <w:lvl w:ilvl="1">
      <w:lvlJc w:val="left"/>
      <w:lvlText w:val="(%2)"/>
      <w:numFmt w:val="lowerLetter"/>
      <w:start w:val="2"/>
    </w:lvl>
  </w:abstractNum>
  <w:abstractNum w:abstractNumId="68">
    <w:nsid w:val="5F3534A4"/>
    <w:multiLevelType w:val="hybridMultilevel"/>
    <w:lvl w:ilvl="0">
      <w:lvlJc w:val="left"/>
      <w:lvlText w:val="%1."/>
      <w:numFmt w:val="decimal"/>
      <w:start w:val="4"/>
    </w:lvl>
    <w:lvl w:ilvl="1">
      <w:lvlJc w:val="left"/>
      <w:lvlText w:val="(%2)"/>
      <w:numFmt w:val="lowerLetter"/>
      <w:start w:val="2"/>
    </w:lvl>
  </w:abstractNum>
  <w:abstractNum w:abstractNumId="69">
    <w:nsid w:val="73A1821B"/>
    <w:multiLevelType w:val="hybridMultilevel"/>
    <w:lvl w:ilvl="0">
      <w:lvlJc w:val="left"/>
      <w:lvlText w:val="%1"/>
      <w:numFmt w:val="decimal"/>
      <w:start w:val="1"/>
    </w:lvl>
    <w:lvl w:ilvl="1">
      <w:lvlJc w:val="left"/>
      <w:lvlText w:val="(%2)"/>
      <w:numFmt w:val="lowerLetter"/>
      <w:start w:val="4"/>
    </w:lvl>
  </w:abstractNum>
  <w:abstractNum w:abstractNumId="70">
    <w:nsid w:val="7DE67713"/>
    <w:multiLevelType w:val="hybridMultilevel"/>
    <w:lvl w:ilvl="0">
      <w:lvlJc w:val="left"/>
      <w:lvlText w:val="%1."/>
      <w:numFmt w:val="decimal"/>
      <w:start w:val="5"/>
    </w:lvl>
    <w:lvl w:ilvl="1">
      <w:lvlJc w:val="left"/>
      <w:lvlText w:val="%2"/>
      <w:numFmt w:val="lowerLetter"/>
      <w:start w:val="1"/>
    </w:lvl>
  </w:abstractNum>
  <w:abstractNum w:abstractNumId="71">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2">
    <w:nsid w:val="3FA62ACA"/>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2"/>
    </w:lvl>
  </w:abstractNum>
  <w:abstractNum w:abstractNumId="73">
    <w:nsid w:val="14FCE74E"/>
    <w:multiLevelType w:val="hybridMultilevel"/>
    <w:lvl w:ilvl="0">
      <w:lvlJc w:val="left"/>
      <w:lvlText w:val="%1."/>
      <w:numFmt w:val="decimal"/>
      <w:start w:val="9"/>
    </w:lvl>
    <w:lvl w:ilvl="1">
      <w:lvlJc w:val="left"/>
      <w:lvlText w:val="(%2)"/>
      <w:numFmt w:val="lowerLetter"/>
      <w:start w:val="2"/>
    </w:lvl>
  </w:abstractNum>
  <w:abstractNum w:abstractNumId="74">
    <w:nsid w:val="6A3DD3E8"/>
    <w:multiLevelType w:val="hybridMultilevel"/>
    <w:lvl w:ilvl="0">
      <w:lvlJc w:val="left"/>
      <w:lvlText w:val="%1."/>
      <w:numFmt w:val="decimal"/>
      <w:start w:val="10"/>
    </w:lvl>
    <w:lvl w:ilvl="1">
      <w:lvlJc w:val="left"/>
      <w:lvlText w:val="(%2)"/>
      <w:numFmt w:val="lowerLetter"/>
      <w:start w:val="2"/>
    </w:lvl>
  </w:abstractNum>
  <w:abstractNum w:abstractNumId="75">
    <w:nsid w:val="71C91298"/>
    <w:multiLevelType w:val="hybridMultilevel"/>
    <w:lvl w:ilvl="0">
      <w:lvlJc w:val="left"/>
      <w:lvlText w:val="%1."/>
      <w:numFmt w:val="decimal"/>
      <w:start w:val="15"/>
    </w:lvl>
  </w:abstractNum>
  <w:abstractNum w:abstractNumId="76">
    <w:nsid w:val="9DAF632"/>
    <w:multiLevelType w:val="hybridMultilevel"/>
    <w:lvl w:ilvl="0">
      <w:lvlJc w:val="left"/>
      <w:lvlText w:val="(%1)"/>
      <w:numFmt w:val="decimal"/>
      <w:start w:val="1"/>
    </w:lvl>
  </w:abstractNum>
  <w:abstractNum w:abstractNumId="77">
    <w:nsid w:val="53299938"/>
    <w:multiLevelType w:val="hybridMultilevel"/>
    <w:lvl w:ilvl="0">
      <w:lvlJc w:val="left"/>
      <w:lvlText w:val="%1."/>
      <w:numFmt w:val="decimal"/>
      <w:start w:val="1"/>
    </w:lvl>
  </w:abstractNum>
  <w:abstractNum w:abstractNumId="78">
    <w:nsid w:val="1FBFE8E0"/>
    <w:multiLevelType w:val="hybridMultilevel"/>
    <w:lvl w:ilvl="0">
      <w:lvlJc w:val="left"/>
      <w:lvlText w:val="%1."/>
      <w:numFmt w:val="decimal"/>
      <w:start w:val="2"/>
    </w:lvl>
  </w:abstractNum>
  <w:abstractNum w:abstractNumId="79">
    <w:nsid w:val="5092CA79"/>
    <w:multiLevelType w:val="hybridMultilevel"/>
    <w:lvl w:ilvl="0">
      <w:lvlJc w:val="left"/>
      <w:lvlText w:val="%1."/>
      <w:numFmt w:val="lowerLetter"/>
      <w:start w:val="1"/>
    </w:lvl>
  </w:abstractNum>
  <w:abstractNum w:abstractNumId="80">
    <w:nsid w:val="1D545C4D"/>
    <w:multiLevelType w:val="hybridMultilevel"/>
    <w:lvl w:ilvl="0">
      <w:lvlJc w:val="left"/>
      <w:lvlText w:val="%1."/>
      <w:numFmt w:val="decimal"/>
      <w:start w:val="3"/>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decimal"/>
      <w:start w:val="4"/>
    </w:lvl>
  </w:abstractNum>
  <w:abstractNum w:abstractNumId="83">
    <w:nsid w:val="2A155DBC"/>
    <w:multiLevelType w:val="hybridMultilevel"/>
    <w:lvl w:ilvl="0">
      <w:lvlJc w:val="left"/>
      <w:lvlText w:val="%1."/>
      <w:numFmt w:val="decimal"/>
      <w:start w:val="5"/>
    </w:lvl>
  </w:abstractNum>
  <w:abstractNum w:abstractNumId="84">
    <w:nsid w:val="1D9F6E5F"/>
    <w:multiLevelType w:val="hybridMultilevel"/>
    <w:lvl w:ilvl="0">
      <w:lvlJc w:val="left"/>
      <w:lvlText w:val="%1."/>
      <w:numFmt w:val="decimal"/>
      <w:start w:val="6"/>
    </w:lvl>
  </w:abstractNum>
  <w:abstractNum w:abstractNumId="85">
    <w:nsid w:val="97E1B4E"/>
    <w:multiLevelType w:val="hybridMultilevel"/>
    <w:lvl w:ilvl="0">
      <w:lvlJc w:val="left"/>
      <w:lvlText w:val="%1."/>
      <w:numFmt w:val="decimal"/>
      <w:start w:val="7"/>
    </w:lvl>
  </w:abstractNum>
  <w:abstractNum w:abstractNumId="86">
    <w:nsid w:val="51088277"/>
    <w:multiLevelType w:val="hybridMultilevel"/>
    <w:lvl w:ilvl="0">
      <w:lvlJc w:val="left"/>
      <w:lvlText w:val="%1."/>
      <w:numFmt w:val="decimal"/>
      <w:start w:val="8"/>
    </w:lvl>
  </w:abstractNum>
  <w:abstractNum w:abstractNumId="87">
    <w:nsid w:val="1CA0C5FA"/>
    <w:multiLevelType w:val="hybridMultilevel"/>
    <w:lvl w:ilvl="0">
      <w:lvlJc w:val="left"/>
      <w:lvlText w:val="%1."/>
      <w:numFmt w:val="decimal"/>
      <w:start w:val="9"/>
    </w:lvl>
  </w:abstractNum>
  <w:abstractNum w:abstractNumId="88">
    <w:nsid w:val="53584BCB"/>
    <w:multiLevelType w:val="hybridMultilevel"/>
    <w:lvl w:ilvl="0">
      <w:lvlJc w:val="left"/>
      <w:lvlText w:val="%1."/>
      <w:numFmt w:val="decimal"/>
      <w:start w:val="10"/>
    </w:lvl>
  </w:abstractNum>
  <w:abstractNum w:abstractNumId="89">
    <w:nsid w:val="415E286C"/>
    <w:multiLevelType w:val="hybridMultilevel"/>
    <w:lvl w:ilvl="0">
      <w:lvlJc w:val="left"/>
      <w:lvlText w:val="%1."/>
      <w:numFmt w:val="decimal"/>
      <w:start w:val="11"/>
    </w:lvl>
  </w:abstractNum>
  <w:abstractNum w:abstractNumId="90">
    <w:nsid w:val="7C58FD05"/>
    <w:multiLevelType w:val="hybridMultilevel"/>
    <w:lvl w:ilvl="0">
      <w:lvlJc w:val="left"/>
      <w:lvlText w:val="%1."/>
      <w:numFmt w:val="decimal"/>
      <w:start w:val="12"/>
    </w:lvl>
  </w:abstractNum>
  <w:abstractNum w:abstractNumId="91">
    <w:nsid w:val="23D86AAC"/>
    <w:multiLevelType w:val="hybridMultilevel"/>
    <w:lvl w:ilvl="0">
      <w:lvlJc w:val="left"/>
      <w:lvlText w:val="%1."/>
      <w:numFmt w:val="decimal"/>
      <w:start w:val="1"/>
    </w:lvl>
  </w:abstractNum>
  <w:abstractNum w:abstractNumId="92">
    <w:nsid w:val="45E6D486"/>
    <w:multiLevelType w:val="hybridMultilevel"/>
    <w:lvl w:ilvl="0">
      <w:lvlJc w:val="left"/>
      <w:lvlText w:val="%1."/>
      <w:numFmt w:val="decimal"/>
      <w:start w:val="2"/>
    </w:lvl>
  </w:abstractNum>
  <w:abstractNum w:abstractNumId="93">
    <w:nsid w:val="5C10FE21"/>
    <w:multiLevelType w:val="hybridMultilevel"/>
    <w:lvl w:ilvl="0">
      <w:lvlJc w:val="left"/>
      <w:lvlText w:val="%1."/>
      <w:numFmt w:val="decimal"/>
      <w:start w:val="3"/>
    </w:lvl>
  </w:abstractNum>
  <w:abstractNum w:abstractNumId="94">
    <w:nsid w:val="E7FFA2B"/>
    <w:multiLevelType w:val="hybridMultilevel"/>
    <w:lvl w:ilvl="0">
      <w:lvlJc w:val="left"/>
      <w:lvlText w:val="%1."/>
      <w:numFmt w:val="decimal"/>
      <w:start w:val="5"/>
    </w:lvl>
  </w:abstractNum>
  <w:abstractNum w:abstractNumId="95">
    <w:nsid w:val="3C5991AA"/>
    <w:multiLevelType w:val="hybridMultilevel"/>
    <w:lvl w:ilvl="0">
      <w:lvlJc w:val="left"/>
      <w:lvlText w:val="%1."/>
      <w:numFmt w:val="decimal"/>
      <w:start w:val="6"/>
    </w:lvl>
  </w:abstractNum>
  <w:abstractNum w:abstractNumId="96">
    <w:nsid w:val="4BD8591A"/>
    <w:multiLevelType w:val="hybridMultilevel"/>
    <w:lvl w:ilvl="0">
      <w:lvlJc w:val="left"/>
      <w:lvlText w:val="%1."/>
      <w:numFmt w:val="decimal"/>
      <w:start w:val="7"/>
    </w:lvl>
  </w:abstractNum>
  <w:abstractNum w:abstractNumId="97">
    <w:nsid w:val="78DF6A55"/>
    <w:multiLevelType w:val="hybridMultilevel"/>
    <w:lvl w:ilvl="0">
      <w:lvlJc w:val="left"/>
      <w:lvlText w:val="%1."/>
      <w:numFmt w:val="decimal"/>
      <w:start w:val="1"/>
    </w:lvl>
  </w:abstractNum>
  <w:abstractNum w:abstractNumId="98">
    <w:nsid w:val="39B7AAA2"/>
    <w:multiLevelType w:val="hybridMultilevel"/>
    <w:lvl w:ilvl="0">
      <w:lvlJc w:val="left"/>
      <w:lvlText w:val="%1."/>
      <w:numFmt w:val="decimal"/>
      <w:start w:val="4"/>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lowerRoman"/>
      <w:start w:val="2"/>
    </w:lvl>
  </w:abstractNum>
  <w:abstractNum w:abstractNumId="101">
    <w:nsid w:val="379E21B5"/>
    <w:multiLevelType w:val="hybridMultilevel"/>
    <w:lvl w:ilvl="0">
      <w:lvlJc w:val="left"/>
      <w:lvlText w:val="%1."/>
      <w:numFmt w:val="decimal"/>
      <w:start w:val="6"/>
    </w:lvl>
    <w:lvl w:ilvl="1">
      <w:lvlJc w:val="left"/>
      <w:lvlText w:val="(%2)"/>
      <w:numFmt w:val="lowerRoman"/>
      <w:start w:val="7"/>
    </w:lvl>
  </w:abstractNum>
  <w:abstractNum w:abstractNumId="102">
    <w:nsid w:val="69E373"/>
    <w:multiLevelType w:val="hybridMultilevel"/>
    <w:lvl w:ilvl="0">
      <w:lvlJc w:val="left"/>
      <w:lvlText w:val="(%1)"/>
      <w:numFmt w:val="decimal"/>
      <w:start w:val="30"/>
    </w:lvl>
  </w:abstractNum>
  <w:abstractNum w:abstractNumId="103">
    <w:nsid w:val="2C27173B"/>
    <w:multiLevelType w:val="hybridMultilevel"/>
    <w:lvl w:ilvl="0">
      <w:lvlJc w:val="left"/>
      <w:lvlText w:val="%1."/>
      <w:numFmt w:val="decimal"/>
      <w:start w:val="8"/>
    </w:lvl>
  </w:abstractNum>
  <w:abstractNum w:abstractNumId="104">
    <w:nsid w:val="4C9B0904"/>
    <w:multiLevelType w:val="hybridMultilevel"/>
    <w:lvl w:ilvl="0">
      <w:lvlJc w:val="left"/>
      <w:lvlText w:val="%1."/>
      <w:numFmt w:val="decimal"/>
      <w:start w:val="9"/>
    </w:lvl>
  </w:abstractNum>
  <w:abstractNum w:abstractNumId="105">
    <w:nsid w:val="6AA7B75C"/>
    <w:multiLevelType w:val="hybridMultilevel"/>
    <w:lvl w:ilvl="0">
      <w:lvlJc w:val="left"/>
      <w:lvlText w:val="%1."/>
      <w:numFmt w:val="upperLetter"/>
      <w:start w:val="1"/>
    </w:lvl>
  </w:abstractNum>
  <w:abstractNum w:abstractNumId="106">
    <w:nsid w:val="1DF029D3"/>
    <w:multiLevelType w:val="hybridMultilevel"/>
    <w:lvl w:ilvl="0">
      <w:lvlJc w:val="left"/>
      <w:lvlText w:val="%1"/>
      <w:numFmt w:val="lowerLetter"/>
      <w:start w:val="1"/>
    </w:lvl>
    <w:lvl w:ilvl="1">
      <w:lvlJc w:val="left"/>
      <w:lvlText w:val="%2."/>
      <w:numFmt w:val="decimal"/>
      <w:start w:val="1"/>
    </w:lvl>
  </w:abstractNum>
  <w:abstractNum w:abstractNumId="107">
    <w:nsid w:val="5675FF36"/>
    <w:multiLevelType w:val="hybridMultilevel"/>
    <w:lvl w:ilvl="0">
      <w:lvlJc w:val="left"/>
      <w:lvlText w:val="(%1)"/>
      <w:numFmt w:val="lowerLetter"/>
      <w:start w:val="2"/>
    </w:lvl>
    <w:lvl w:ilvl="1">
      <w:lvlJc w:val="left"/>
      <w:lvlText w:val="%2"/>
      <w:numFmt w:val="decimal"/>
      <w:start w:val="1"/>
    </w:lvl>
  </w:abstractNum>
  <w:abstractNum w:abstractNumId="108">
    <w:nsid w:val="3DD15094"/>
    <w:multiLevelType w:val="hybridMultilevel"/>
    <w:lvl w:ilvl="0">
      <w:lvlJc w:val="left"/>
      <w:lvlText w:val="%1."/>
      <w:numFmt w:val="upperLetter"/>
      <w:start w:val="1"/>
    </w:lvl>
  </w:abstractNum>
  <w:abstractNum w:abstractNumId="109">
    <w:nsid w:val="3DB012B3"/>
    <w:multiLevelType w:val="hybridMultilevel"/>
    <w:lvl w:ilvl="0">
      <w:lvlJc w:val="left"/>
      <w:lvlText w:val="%1."/>
      <w:numFmt w:val="decimal"/>
      <w:start w:val="1"/>
    </w:lvl>
    <w:lvl w:ilvl="1">
      <w:lvlJc w:val="left"/>
      <w:lvlText w:val="(%2)"/>
      <w:numFmt w:val="lowerLetter"/>
      <w:start w:val="1"/>
    </w:lvl>
  </w:abstractNum>
  <w:abstractNum w:abstractNumId="110">
    <w:nsid w:val="2708C9AF"/>
    <w:multiLevelType w:val="hybridMultilevel"/>
    <w:lvl w:ilvl="0">
      <w:lvlJc w:val="left"/>
      <w:lvlText w:val="%1"/>
      <w:numFmt w:val="lowerRoman"/>
      <w:start w:val="1"/>
    </w:lvl>
    <w:lvl w:ilvl="1">
      <w:lvlJc w:val="left"/>
      <w:lvlText w:val="(%2)"/>
      <w:numFmt w:val="lowerLetter"/>
      <w:start w:val="5"/>
    </w:lvl>
  </w:abstractNum>
  <w:abstractNum w:abstractNumId="111">
    <w:nsid w:val="5B25ACE2"/>
    <w:multiLevelType w:val="hybridMultilevel"/>
    <w:lvl w:ilvl="0">
      <w:lvlJc w:val="left"/>
      <w:lvlText w:val="(%1)"/>
      <w:numFmt w:val="lowerRoman"/>
      <w:start w:val="1"/>
    </w:lvl>
    <w:lvl w:ilvl="1">
      <w:lvlJc w:val="left"/>
      <w:lvlText w:val="(%2)"/>
      <w:numFmt w:val="lowerLetter"/>
      <w:start w:val="6"/>
    </w:lvl>
  </w:abstractNum>
  <w:abstractNum w:abstractNumId="112">
    <w:nsid w:val="175DFCF0"/>
    <w:multiLevelType w:val="hybridMultilevel"/>
    <w:lvl w:ilvl="0">
      <w:lvlJc w:val="left"/>
      <w:lvlText w:val="%1"/>
      <w:numFmt w:val="lowerRoman"/>
      <w:start w:val="1"/>
    </w:lvl>
    <w:lvl w:ilvl="1">
      <w:lvlJc w:val="left"/>
      <w:lvlText w:val="(%2)"/>
      <w:numFmt w:val="lowerLetter"/>
      <w:start w:val="8"/>
    </w:lvl>
  </w:abstractNum>
  <w:abstractNum w:abstractNumId="113">
    <w:nsid w:val="4F97E3E4"/>
    <w:multiLevelType w:val="hybridMultilevel"/>
    <w:lvl w:ilvl="0">
      <w:lvlJc w:val="left"/>
      <w:lvlText w:val="(%1)"/>
      <w:numFmt w:val="lowerRoman"/>
      <w:start w:val="1"/>
    </w:lvl>
    <w:lvl w:ilvl="1">
      <w:lvlJc w:val="left"/>
      <w:lvlText w:val="%2"/>
      <w:numFmt w:val="lowerLetter"/>
      <w:start w:val="1"/>
    </w:lvl>
  </w:abstractNum>
  <w:abstractNum w:abstractNumId="114">
    <w:nsid w:val="53B0A9E"/>
    <w:multiLevelType w:val="hybridMultilevel"/>
    <w:lvl w:ilvl="0">
      <w:lvlJc w:val="left"/>
      <w:lvlText w:val="(%1)"/>
      <w:numFmt w:val="lowerRoman"/>
      <w:start w:val="3"/>
    </w:lvl>
  </w:abstractNum>
  <w:abstractNum w:abstractNumId="115">
    <w:nsid w:val="34FD6B4F"/>
    <w:multiLevelType w:val="hybridMultilevel"/>
    <w:lvl w:ilvl="0">
      <w:lvlJc w:val="left"/>
      <w:lvlText w:val="(%1)"/>
      <w:numFmt w:val="lowerRoman"/>
      <w:start w:val="4"/>
    </w:lvl>
  </w:abstractNum>
  <w:abstractNum w:abstractNumId="116">
    <w:nsid w:val="5915FF32"/>
    <w:multiLevelType w:val="hybridMultilevel"/>
    <w:lvl w:ilvl="0">
      <w:lvlJc w:val="left"/>
      <w:lvlText w:val="(%1)"/>
      <w:numFmt w:val="lowerLetter"/>
      <w:start w:val="13"/>
    </w:lvl>
  </w:abstractNum>
  <w:abstractNum w:abstractNumId="117">
    <w:nsid w:val="56438D15"/>
    <w:multiLevelType w:val="hybridMultilevel"/>
    <w:lvl w:ilvl="0">
      <w:lvlJc w:val="left"/>
      <w:lvlText w:val="(%1)"/>
      <w:numFmt w:val="lowerLetter"/>
      <w:start w:val="18"/>
    </w:lvl>
  </w:abstractNum>
  <w:abstractNum w:abstractNumId="118">
    <w:nsid w:val="519E3149"/>
    <w:multiLevelType w:val="hybridMultilevel"/>
    <w:lvl w:ilvl="0">
      <w:lvlJc w:val="left"/>
      <w:lvlText w:val="%1"/>
      <w:numFmt w:val="decimal"/>
      <w:start w:val="1"/>
    </w:lvl>
    <w:lvl w:ilvl="1">
      <w:lvlJc w:val="left"/>
      <w:lvlText w:val="(%2)"/>
      <w:numFmt w:val="lowerLetter"/>
      <w:start w:val="27"/>
    </w:lvl>
  </w:abstractNum>
  <w:abstractNum w:abstractNumId="119">
    <w:nsid w:val="2C6E4AFD"/>
    <w:multiLevelType w:val="hybridMultilevel"/>
    <w:lvl w:ilvl="0">
      <w:lvlJc w:val="left"/>
      <w:lvlText w:val="%1."/>
      <w:numFmt w:val="decimal"/>
      <w:start w:val="2"/>
    </w:lvl>
    <w:lvl w:ilvl="1">
      <w:lvlJc w:val="left"/>
      <w:lvlText w:val="%2"/>
      <w:numFmt w:val="lowerLetter"/>
      <w:start w:val="1"/>
    </w:lvl>
  </w:abstractNum>
  <w:abstractNum w:abstractNumId="120">
    <w:nsid w:val="17A1B58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21">
    <w:nsid w:val="4DF72E4E"/>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2"/>
    </w:lvl>
  </w:abstractNum>
  <w:abstractNum w:abstractNumId="122">
    <w:nsid w:val="5046B5A9"/>
    <w:multiLevelType w:val="hybridMultilevel"/>
    <w:lvl w:ilvl="0">
      <w:lvlJc w:val="left"/>
      <w:lvlText w:val="%1"/>
      <w:numFmt w:val="decimal"/>
      <w:start w:val="1"/>
    </w:lvl>
    <w:lvl w:ilvl="1">
      <w:lvlJc w:val="left"/>
      <w:lvlText w:val="(%2)"/>
      <w:numFmt w:val="lowerLetter"/>
      <w:start w:val="4"/>
    </w:lvl>
  </w:abstractNum>
  <w:abstractNum w:abstractNumId="123">
    <w:nsid w:val="5D888A08"/>
    <w:multiLevelType w:val="hybridMultilevel"/>
    <w:lvl w:ilvl="0">
      <w:lvlJc w:val="left"/>
      <w:lvlText w:val="%1."/>
      <w:numFmt w:val="decimal"/>
      <w:start w:val="5"/>
    </w:lvl>
    <w:lvl w:ilvl="1">
      <w:lvlJc w:val="left"/>
      <w:lvlText w:val="%2"/>
      <w:numFmt w:val="lowerLetter"/>
      <w:start w:val="1"/>
    </w:lvl>
  </w:abstractNum>
  <w:abstractNum w:abstractNumId="124">
    <w:nsid w:val="2A082C70"/>
    <w:multiLevelType w:val="hybridMultilevel"/>
    <w:lvl w:ilvl="0">
      <w:lvlJc w:val="left"/>
      <w:lvlText w:val="%1"/>
      <w:numFmt w:val="decimal"/>
      <w:start w:val="1"/>
    </w:lvl>
    <w:lvl w:ilvl="1">
      <w:lvlJc w:val="left"/>
      <w:lvlText w:val="(%2)"/>
      <w:numFmt w:val="lowerLetter"/>
      <w:start w:val="2"/>
    </w:lvl>
  </w:abstractNum>
  <w:abstractNum w:abstractNumId="125">
    <w:nsid w:val="5EC6AFD4"/>
    <w:multiLevelType w:val="hybridMultilevel"/>
    <w:lvl w:ilvl="0">
      <w:lvlJc w:val="left"/>
      <w:lvlText w:val="%1."/>
      <w:numFmt w:val="decimal"/>
      <w:start w:val="7"/>
    </w:lvl>
    <w:lvl w:ilvl="1">
      <w:lvlJc w:val="left"/>
      <w:lvlText w:val="(%2)"/>
      <w:numFmt w:val="lowerLetter"/>
      <w:start w:val="2"/>
    </w:lvl>
  </w:abstractNum>
  <w:abstractNum w:abstractNumId="126">
    <w:nsid w:val="19E21BB2"/>
    <w:multiLevelType w:val="hybridMultilevel"/>
    <w:lvl w:ilvl="0">
      <w:lvlJc w:val="left"/>
      <w:lvlText w:val="%1."/>
      <w:numFmt w:val="decimal"/>
      <w:start w:val="9"/>
    </w:lvl>
    <w:lvl w:ilvl="1">
      <w:lvlJc w:val="left"/>
      <w:lvlText w:val="(%2)"/>
      <w:numFmt w:val="lowerLetter"/>
      <w:start w:val="2"/>
    </w:lvl>
  </w:abstractNum>
  <w:abstractNum w:abstractNumId="127">
    <w:nsid w:val="75E0858A"/>
    <w:multiLevelType w:val="hybridMultilevel"/>
    <w:lvl w:ilvl="0">
      <w:lvlJc w:val="left"/>
      <w:lvlText w:val="%1."/>
      <w:numFmt w:val="decimal"/>
      <w:start w:val="10"/>
    </w:lvl>
    <w:lvl w:ilvl="1">
      <w:lvlJc w:val="left"/>
      <w:lvlText w:val="(%2)"/>
      <w:numFmt w:val="lowerLetter"/>
      <w:start w:val="2"/>
    </w:lvl>
  </w:abstractNum>
  <w:abstractNum w:abstractNumId="128">
    <w:nsid w:val="57A61A29"/>
    <w:multiLevelType w:val="hybridMultilevel"/>
    <w:lvl w:ilvl="0">
      <w:lvlJc w:val="left"/>
      <w:lvlText w:val="%1."/>
      <w:numFmt w:val="decimal"/>
      <w:start w:val="15"/>
    </w:lvl>
  </w:abstractNum>
  <w:abstractNum w:abstractNumId="129">
    <w:nsid w:val="5399C654"/>
    <w:multiLevelType w:val="hybridMultilevel"/>
    <w:lvl w:ilvl="0">
      <w:lvlJc w:val="left"/>
      <w:lvlText w:val="(%1)"/>
      <w:numFmt w:val="decimal"/>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2" Type="http://schemas.openxmlformats.org/officeDocument/2006/relationships/image" Target="media/image74.png"/><Relationship Id="rId123" Type="http://schemas.openxmlformats.org/officeDocument/2006/relationships/image" Target="media/image75.png"/><Relationship Id="rId124" Type="http://schemas.openxmlformats.org/officeDocument/2006/relationships/image" Target="media/image76.png"/><Relationship Id="rId125" Type="http://schemas.openxmlformats.org/officeDocument/2006/relationships/image" Target="media/image77.png"/><Relationship Id="rId126" Type="http://schemas.openxmlformats.org/officeDocument/2006/relationships/image" Target="media/image78.png"/><Relationship Id="rId81" Type="http://schemas.openxmlformats.org/officeDocument/2006/relationships/hyperlink" Target="http://www.sec.gov/Archives/edgar/data/771497/000157104917006648/t1702122_ex2-1.htm" TargetMode="External"/><Relationship Id="rId82" Type="http://schemas.openxmlformats.org/officeDocument/2006/relationships/hyperlink" Target="http://www.sec.gov/Archives/edgar/data/771497/000095014904000137/f95384exv3w1.txt" TargetMode="External"/><Relationship Id="rId83" Type="http://schemas.openxmlformats.org/officeDocument/2006/relationships/hyperlink" Target="http://www.sec.gov/Archives/edgar/data/771497/000157104917000711/t1700228_ex3-1.htm" TargetMode="External"/><Relationship Id="rId84" Type="http://schemas.openxmlformats.org/officeDocument/2006/relationships/hyperlink" Target="http://www.sec.gov/Archives/edgar/data/771497/000157104917007803/t1702518_ex10-1.htm" TargetMode="External"/><Relationship Id="rId85" Type="http://schemas.openxmlformats.org/officeDocument/2006/relationships/hyperlink" Target="http://www.sec.gov/Archives/edgar/data/771497/000157104917007803/t1702518_ex10-2.htm" TargetMode="External"/><Relationship Id="rId86" Type="http://schemas.openxmlformats.org/officeDocument/2006/relationships/hyperlink" Target="http://www.sec.gov/Archives/edgar/data/771497/000095013405000777/f04468exv10w17.htm" TargetMode="External"/><Relationship Id="rId87" Type="http://schemas.openxmlformats.org/officeDocument/2006/relationships/hyperlink" Target="http://www.sec.gov/Archives/edgar/data/771497/000095013406017513/f23539exv10w1.htm" TargetMode="External"/><Relationship Id="rId88" Type="http://schemas.openxmlformats.org/officeDocument/2006/relationships/hyperlink" Target="http://www.sec.gov/Archives/edgar/data/771497/000095012310116105/y87222exv10w7.htm" TargetMode="External"/><Relationship Id="rId89" Type="http://schemas.openxmlformats.org/officeDocument/2006/relationships/hyperlink" Target="http://www.sec.gov/Archives/edgar/data/771497/000157104915007327/t1502081_ex10-1.htm" TargetMode="External"/><Relationship Id="rId90" Type="http://schemas.openxmlformats.org/officeDocument/2006/relationships/hyperlink" Target="http://www.sec.gov/Archives/edgar/data/771497/000095012308010739/y71046exv10w6.htm" TargetMode="External"/><Relationship Id="rId91" Type="http://schemas.openxmlformats.org/officeDocument/2006/relationships/hyperlink" Target="http://www.sec.gov/Archives/edgar/data/771497/000162828016022122/exhibit1013.htm" TargetMode="External"/><Relationship Id="rId93" Type="http://schemas.openxmlformats.org/officeDocument/2006/relationships/hyperlink" Target="http://www.sec.gov/Archives/edgar/data/771497/000119312513471774/d643440dex101.htm" TargetMode="External"/><Relationship Id="rId94" Type="http://schemas.openxmlformats.org/officeDocument/2006/relationships/hyperlink" Target="http://www.sec.gov/Archives/edgar/data/771497/000162828015004719/abm4302015ex102.htm" TargetMode="External"/><Relationship Id="rId95" Type="http://schemas.openxmlformats.org/officeDocument/2006/relationships/hyperlink" Target="http://www.sec.gov/Archives/edgar/data/771497/000119312513477634/d599535dex1016.htm" TargetMode="External"/><Relationship Id="rId96" Type="http://schemas.openxmlformats.org/officeDocument/2006/relationships/hyperlink" Target="http://www.sec.gov/Archives/edgar/data/771497/000162828015004719/abm4302015ex103.htm" TargetMode="External"/><Relationship Id="rId97" Type="http://schemas.openxmlformats.org/officeDocument/2006/relationships/hyperlink" Target="http://www.sec.gov/Archives/edgar/data/771497/000095012310116105/y87222exv10w13.htm" TargetMode="External"/><Relationship Id="rId98" Type="http://schemas.openxmlformats.org/officeDocument/2006/relationships/hyperlink" Target="http://www.sec.gov/Archives/edgar/data/771497/000095012310055999/c00586exv10w4.htm" TargetMode="External"/><Relationship Id="rId99" Type="http://schemas.openxmlformats.org/officeDocument/2006/relationships/hyperlink" Target="http://www.sec.gov/Archives/edgar/data/771497/000095012310055999/c00586exv10w5.htm" TargetMode="External"/><Relationship Id="rId100" Type="http://schemas.openxmlformats.org/officeDocument/2006/relationships/hyperlink" Target="http://www.sec.gov/Archives/edgar/data/771497/000119312513477634/d599535dex1020.htm" TargetMode="External"/><Relationship Id="rId101" Type="http://schemas.openxmlformats.org/officeDocument/2006/relationships/hyperlink" Target="http://www.sec.gov/Archives/edgar/data/771497/000157104915000264/t1500089_ex10-5.htm" TargetMode="External"/><Relationship Id="rId102" Type="http://schemas.openxmlformats.org/officeDocument/2006/relationships/hyperlink" Target="http://www.sec.gov/Archives/edgar/data/771497/000119312512382523/d383898dex101.htm" TargetMode="External"/><Relationship Id="rId103" Type="http://schemas.openxmlformats.org/officeDocument/2006/relationships/hyperlink" Target="http://www.sec.gov/Archives/edgar/data/771497/000095013407019787/f33604exv10w2.htm" TargetMode="External"/><Relationship Id="rId104" Type="http://schemas.openxmlformats.org/officeDocument/2006/relationships/hyperlink" Target="http://www.sec.gov/Archives/edgar/data/771497/000095013407019787/f33604exv10w3.htm" TargetMode="External"/><Relationship Id="rId105" Type="http://schemas.openxmlformats.org/officeDocument/2006/relationships/hyperlink" Target="http://www.sec.gov/Archives/edgar/data/771497/000095013407019787/f33604exv10w4.htm" TargetMode="External"/><Relationship Id="rId106" Type="http://schemas.openxmlformats.org/officeDocument/2006/relationships/hyperlink" Target="http://www.sec.gov/Archives/edgar/data/771497/000095012310116105/y87222exv10w22.htm" TargetMode="External"/><Relationship Id="rId107" Type="http://schemas.openxmlformats.org/officeDocument/2006/relationships/hyperlink" Target="http://www.sec.gov/Archives/edgar/data/771497/000095012310031766/c98775exv10w3.htm" TargetMode="External"/><Relationship Id="rId108" Type="http://schemas.openxmlformats.org/officeDocument/2006/relationships/hyperlink" Target="http://www.sec.gov/Archives/edgar/data/771497/000095012308010739/y71046exv10w4.htm" TargetMode="External"/><Relationship Id="rId109" Type="http://schemas.openxmlformats.org/officeDocument/2006/relationships/hyperlink" Target="http://www.sec.gov/Archives/edgar/data/771497/000095012308010739/y71046exv10w5.htm" TargetMode="External"/><Relationship Id="rId110" Type="http://schemas.openxmlformats.org/officeDocument/2006/relationships/hyperlink" Target="http://www.sec.gov/Archives/edgar/data/771497/000095012311023988/c12908exv10w1.htm" TargetMode="External"/><Relationship Id="rId111" Type="http://schemas.openxmlformats.org/officeDocument/2006/relationships/hyperlink" Target="http://www.sec.gov/Archives/edgar/data/771497/000157104915000264/t1500089_ex10-2.htm" TargetMode="External"/><Relationship Id="rId112" Type="http://schemas.openxmlformats.org/officeDocument/2006/relationships/hyperlink" Target="http://www.sec.gov/Archives/edgar/data/771497/000157104915000264/t1500089_ex10-3.htm" TargetMode="External"/><Relationship Id="rId113" Type="http://schemas.openxmlformats.org/officeDocument/2006/relationships/hyperlink" Target="http://www.sec.gov/Archives/edgar/data/771497/000162828015001452/abm1312015ex102.htm" TargetMode="External"/><Relationship Id="rId114" Type="http://schemas.openxmlformats.org/officeDocument/2006/relationships/hyperlink" Target="http://www.sec.gov/Archives/edgar/data/771497/000095012308018635/y73611exv10w1.htm" TargetMode="External"/><Relationship Id="rId115" Type="http://schemas.openxmlformats.org/officeDocument/2006/relationships/hyperlink" Target="http://www.sec.gov/Archives/edgar/data/771497/000157104915002732/t1500791_ex10-1.htm" TargetMode="External"/><Relationship Id="rId116" Type="http://schemas.openxmlformats.org/officeDocument/2006/relationships/hyperlink" Target="http://www.sec.gov/Archives/edgar/data/771497/000157104915002732/t1500791_ex10-2.htm" TargetMode="External"/><Relationship Id="rId117" Type="http://schemas.openxmlformats.org/officeDocument/2006/relationships/hyperlink" Target="http://www.sec.gov/Archives/edgar/data/771497/000157104914005340/t1401994_ex10-1.htm" TargetMode="External"/><Relationship Id="rId118" Type="http://schemas.openxmlformats.org/officeDocument/2006/relationships/hyperlink" Target="http://www.sec.gov/Archives/edgar/data/771497/000095012309072792/y81068exv10w32.htm" TargetMode="External"/><Relationship Id="rId119" Type="http://schemas.openxmlformats.org/officeDocument/2006/relationships/hyperlink" Target="http://www.sec.gov/Archives/edgar/data/771497/000162828016012475/abm1312016ex101.htm" TargetMode="External"/><Relationship Id="rId120" Type="http://schemas.openxmlformats.org/officeDocument/2006/relationships/hyperlink" Target="http://www.sec.gov/Archives/edgar/data/771497/000162828016012475/abm1312016ex102.htm" TargetMode="External"/><Relationship Id="rId121" Type="http://schemas.openxmlformats.org/officeDocument/2006/relationships/hyperlink" Target="http://www.sec.gov/Archives/edgar/data/771497/000162828017006316/abm4302017ex101.htm" TargetMode="External"/><Relationship Id="rId122" Type="http://schemas.openxmlformats.org/officeDocument/2006/relationships/hyperlink" Target="http://www.sec.gov/Archives/edgar/data/771497/000119312512509900/d435349d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2019-12-29T02:16:31Z</dcterms:created>
  <dcterms:modified xsi:type="dcterms:W3CDTF">2019-12-29T02:16:31Z</dcterms:modified>
</cp:coreProperties>
</file>