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1495425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1409700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54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49" w:lineRule="exact"/>
        <w:rPr>
          <w:sz w:val="24"/>
          <w:szCs w:val="24"/>
          <w:color w:val="auto"/>
        </w:rPr>
      </w:pPr>
    </w:p>
    <w:p>
      <w:pPr>
        <w:ind w:left="720" w:right="20" w:hanging="685"/>
        <w:spacing w:after="0" w:line="260"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22"/>
          <w:szCs w:val="22"/>
          <w:b w:val="1"/>
          <w:bCs w:val="1"/>
          <w:color w:val="auto"/>
        </w:rPr>
        <w:t xml:space="preserve">For the fiscal year ended </w:t>
      </w:r>
      <w:r>
        <w:rPr>
          <w:rFonts w:ascii="Arial" w:cs="Arial" w:eastAsia="Arial" w:hAnsi="Arial"/>
          <w:sz w:val="22"/>
          <w:szCs w:val="22"/>
          <w:b w:val="1"/>
          <w:bCs w:val="1"/>
          <w:u w:val="single" w:color="auto"/>
          <w:color w:val="auto"/>
        </w:rPr>
        <w:t>October 31, 2016</w:t>
      </w:r>
    </w:p>
    <w:p>
      <w:pPr>
        <w:spacing w:after="0" w:line="12" w:lineRule="exact"/>
        <w:rPr>
          <w:sz w:val="24"/>
          <w:szCs w:val="24"/>
          <w:color w:val="auto"/>
        </w:rPr>
      </w:pPr>
    </w:p>
    <w:p>
      <w:pPr>
        <w:ind w:left="5620"/>
        <w:spacing w:after="0"/>
        <w:rPr>
          <w:sz w:val="20"/>
          <w:szCs w:val="20"/>
          <w:color w:val="auto"/>
        </w:rPr>
      </w:pPr>
      <w:r>
        <w:rPr>
          <w:rFonts w:ascii="Arial" w:cs="Arial" w:eastAsia="Arial" w:hAnsi="Arial"/>
          <w:sz w:val="22"/>
          <w:szCs w:val="22"/>
          <w:color w:val="auto"/>
        </w:rPr>
        <w:t>or</w:t>
      </w:r>
    </w:p>
    <w:p>
      <w:pPr>
        <w:spacing w:after="0" w:line="122" w:lineRule="exact"/>
        <w:rPr>
          <w:sz w:val="24"/>
          <w:szCs w:val="24"/>
          <w:color w:val="auto"/>
        </w:rPr>
      </w:pPr>
    </w:p>
    <w:p>
      <w:pPr>
        <w:ind w:left="720" w:right="40" w:hanging="685"/>
        <w:spacing w:after="0" w:line="274"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368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3980815</wp:posOffset>
            </wp:positionH>
            <wp:positionV relativeFrom="paragraph">
              <wp:posOffset>-3810</wp:posOffset>
            </wp:positionV>
            <wp:extent cx="933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15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1-8929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124460</wp:posOffset>
            </wp:positionV>
            <wp:extent cx="1449070" cy="823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ABM INDUSTRIES INCORPORATED</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09"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4380" w:type="dxa"/>
            <w:vAlign w:val="bottom"/>
          </w:tcPr>
          <w:p>
            <w:pPr>
              <w:jc w:val="center"/>
              <w:ind w:right="1070"/>
              <w:spacing w:after="0"/>
              <w:rPr>
                <w:sz w:val="20"/>
                <w:szCs w:val="20"/>
                <w:color w:val="auto"/>
              </w:rPr>
            </w:pPr>
            <w:r>
              <w:rPr>
                <w:rFonts w:ascii="Arial" w:cs="Arial" w:eastAsia="Arial" w:hAnsi="Arial"/>
                <w:sz w:val="18"/>
                <w:szCs w:val="18"/>
                <w:b w:val="1"/>
                <w:bCs w:val="1"/>
                <w:color w:val="auto"/>
                <w:w w:val="98"/>
              </w:rPr>
              <w:t>Delaware</w:t>
            </w:r>
          </w:p>
        </w:tc>
        <w:tc>
          <w:tcPr>
            <w:tcW w:w="7040" w:type="dxa"/>
            <w:vAlign w:val="bottom"/>
            <w:gridSpan w:val="5"/>
          </w:tcPr>
          <w:p>
            <w:pPr>
              <w:jc w:val="center"/>
              <w:ind w:left="3870"/>
              <w:spacing w:after="0"/>
              <w:rPr>
                <w:sz w:val="20"/>
                <w:szCs w:val="20"/>
                <w:color w:val="auto"/>
              </w:rPr>
            </w:pPr>
            <w:r>
              <w:rPr>
                <w:rFonts w:ascii="Arial" w:cs="Arial" w:eastAsia="Arial" w:hAnsi="Arial"/>
                <w:sz w:val="18"/>
                <w:szCs w:val="18"/>
                <w:b w:val="1"/>
                <w:bCs w:val="1"/>
                <w:color w:val="auto"/>
                <w:w w:val="99"/>
              </w:rPr>
              <w:t>94-1369354</w:t>
            </w:r>
          </w:p>
        </w:tc>
      </w:tr>
      <w:tr>
        <w:trPr>
          <w:trHeight w:val="316"/>
        </w:trPr>
        <w:tc>
          <w:tcPr>
            <w:tcW w:w="4380" w:type="dxa"/>
            <w:vAlign w:val="bottom"/>
          </w:tcPr>
          <w:p>
            <w:pPr>
              <w:jc w:val="center"/>
              <w:ind w:right="1070"/>
              <w:spacing w:after="0"/>
              <w:rPr>
                <w:sz w:val="20"/>
                <w:szCs w:val="20"/>
                <w:color w:val="auto"/>
              </w:rPr>
            </w:pPr>
            <w:r>
              <w:rPr>
                <w:rFonts w:ascii="Arial" w:cs="Arial" w:eastAsia="Arial" w:hAnsi="Arial"/>
                <w:sz w:val="18"/>
                <w:szCs w:val="18"/>
                <w:color w:val="auto"/>
              </w:rPr>
              <w:t>(State or other jurisdiction of</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9"/>
              </w:rPr>
              <w:t>(I.R.S. Employer</w:t>
            </w:r>
          </w:p>
        </w:tc>
      </w:tr>
      <w:tr>
        <w:trPr>
          <w:trHeight w:val="243"/>
        </w:trPr>
        <w:tc>
          <w:tcPr>
            <w:tcW w:w="4380" w:type="dxa"/>
            <w:vAlign w:val="bottom"/>
          </w:tcPr>
          <w:p>
            <w:pPr>
              <w:jc w:val="center"/>
              <w:ind w:right="1070"/>
              <w:spacing w:after="0"/>
              <w:rPr>
                <w:sz w:val="20"/>
                <w:szCs w:val="20"/>
                <w:color w:val="auto"/>
              </w:rPr>
            </w:pPr>
            <w:r>
              <w:rPr>
                <w:rFonts w:ascii="Arial" w:cs="Arial" w:eastAsia="Arial" w:hAnsi="Arial"/>
                <w:sz w:val="18"/>
                <w:szCs w:val="18"/>
                <w:color w:val="auto"/>
                <w:w w:val="99"/>
              </w:rPr>
              <w:t>incorporation or organization)</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428"/>
        </w:trPr>
        <w:tc>
          <w:tcPr>
            <w:tcW w:w="4380" w:type="dxa"/>
            <w:vAlign w:val="bottom"/>
          </w:tcPr>
          <w:p>
            <w:pPr>
              <w:spacing w:after="0"/>
              <w:rPr>
                <w:sz w:val="24"/>
                <w:szCs w:val="24"/>
                <w:color w:val="auto"/>
              </w:rPr>
            </w:pPr>
          </w:p>
        </w:tc>
        <w:tc>
          <w:tcPr>
            <w:tcW w:w="2820" w:type="dxa"/>
            <w:vAlign w:val="bottom"/>
            <w:gridSpan w:val="3"/>
          </w:tcPr>
          <w:p>
            <w:pPr>
              <w:jc w:val="center"/>
              <w:ind w:right="70"/>
              <w:spacing w:after="0"/>
              <w:rPr>
                <w:sz w:val="20"/>
                <w:szCs w:val="20"/>
                <w:color w:val="auto"/>
              </w:rPr>
            </w:pPr>
            <w:r>
              <w:rPr>
                <w:rFonts w:ascii="Times New Roman" w:cs="Times New Roman" w:eastAsia="Times New Roman" w:hAnsi="Times New Roman"/>
                <w:sz w:val="18"/>
                <w:szCs w:val="18"/>
                <w:color w:val="auto"/>
                <w:w w:val="99"/>
              </w:rPr>
              <w:t>__________________________</w:t>
            </w:r>
          </w:p>
        </w:tc>
        <w:tc>
          <w:tcPr>
            <w:tcW w:w="12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99"/>
        </w:trPr>
        <w:tc>
          <w:tcPr>
            <w:tcW w:w="4380" w:type="dxa"/>
            <w:vAlign w:val="bottom"/>
          </w:tcPr>
          <w:p>
            <w:pPr>
              <w:spacing w:after="0"/>
              <w:rPr>
                <w:sz w:val="24"/>
                <w:szCs w:val="24"/>
                <w:color w:val="auto"/>
              </w:rPr>
            </w:pPr>
          </w:p>
        </w:tc>
        <w:tc>
          <w:tcPr>
            <w:tcW w:w="7040" w:type="dxa"/>
            <w:vAlign w:val="bottom"/>
            <w:gridSpan w:val="5"/>
          </w:tcPr>
          <w:p>
            <w:pPr>
              <w:jc w:val="center"/>
              <w:ind w:right="4270"/>
              <w:spacing w:after="0"/>
              <w:rPr>
                <w:sz w:val="20"/>
                <w:szCs w:val="20"/>
                <w:color w:val="auto"/>
              </w:rPr>
            </w:pPr>
            <w:r>
              <w:rPr>
                <w:rFonts w:ascii="Arial" w:cs="Arial" w:eastAsia="Arial" w:hAnsi="Arial"/>
                <w:sz w:val="18"/>
                <w:szCs w:val="18"/>
                <w:b w:val="1"/>
                <w:bCs w:val="1"/>
                <w:color w:val="auto"/>
                <w:w w:val="99"/>
              </w:rPr>
              <w:t>One Liberty Plaza, 7</w:t>
            </w:r>
            <w:r>
              <w:rPr>
                <w:rFonts w:ascii="Arial" w:cs="Arial" w:eastAsia="Arial" w:hAnsi="Arial"/>
                <w:sz w:val="21"/>
                <w:szCs w:val="21"/>
                <w:b w:val="1"/>
                <w:bCs w:val="1"/>
                <w:color w:val="auto"/>
                <w:w w:val="99"/>
                <w:vertAlign w:val="superscript"/>
              </w:rPr>
              <w:t>th</w:t>
            </w:r>
            <w:r>
              <w:rPr>
                <w:rFonts w:ascii="Arial" w:cs="Arial" w:eastAsia="Arial" w:hAnsi="Arial"/>
                <w:sz w:val="18"/>
                <w:szCs w:val="18"/>
                <w:b w:val="1"/>
                <w:bCs w:val="1"/>
                <w:color w:val="auto"/>
                <w:w w:val="99"/>
              </w:rPr>
              <w:t xml:space="preserve"> Floor</w:t>
            </w:r>
          </w:p>
        </w:tc>
      </w:tr>
      <w:tr>
        <w:trPr>
          <w:trHeight w:val="253"/>
        </w:trPr>
        <w:tc>
          <w:tcPr>
            <w:tcW w:w="4380" w:type="dxa"/>
            <w:vAlign w:val="bottom"/>
          </w:tcPr>
          <w:p>
            <w:pPr>
              <w:spacing w:after="0"/>
              <w:rPr>
                <w:sz w:val="21"/>
                <w:szCs w:val="21"/>
                <w:color w:val="auto"/>
              </w:rPr>
            </w:pPr>
          </w:p>
        </w:tc>
        <w:tc>
          <w:tcPr>
            <w:tcW w:w="7040" w:type="dxa"/>
            <w:vAlign w:val="bottom"/>
            <w:gridSpan w:val="5"/>
          </w:tcPr>
          <w:p>
            <w:pPr>
              <w:jc w:val="center"/>
              <w:ind w:right="4290"/>
              <w:spacing w:after="0"/>
              <w:rPr>
                <w:sz w:val="20"/>
                <w:szCs w:val="20"/>
                <w:color w:val="auto"/>
              </w:rPr>
            </w:pPr>
            <w:r>
              <w:rPr>
                <w:rFonts w:ascii="Arial" w:cs="Arial" w:eastAsia="Arial" w:hAnsi="Arial"/>
                <w:sz w:val="18"/>
                <w:szCs w:val="18"/>
                <w:b w:val="1"/>
                <w:bCs w:val="1"/>
                <w:color w:val="auto"/>
                <w:w w:val="98"/>
              </w:rPr>
              <w:t>New York, New York 10006</w:t>
            </w:r>
          </w:p>
        </w:tc>
      </w:tr>
      <w:tr>
        <w:trPr>
          <w:trHeight w:val="316"/>
        </w:trPr>
        <w:tc>
          <w:tcPr>
            <w:tcW w:w="11420" w:type="dxa"/>
            <w:vAlign w:val="bottom"/>
            <w:gridSpan w:val="6"/>
          </w:tcPr>
          <w:p>
            <w:pPr>
              <w:jc w:val="center"/>
              <w:spacing w:after="0"/>
              <w:rPr>
                <w:sz w:val="20"/>
                <w:szCs w:val="20"/>
                <w:color w:val="auto"/>
              </w:rPr>
            </w:pPr>
            <w:r>
              <w:rPr>
                <w:rFonts w:ascii="Arial" w:cs="Arial" w:eastAsia="Arial" w:hAnsi="Arial"/>
                <w:sz w:val="18"/>
                <w:szCs w:val="18"/>
                <w:color w:val="auto"/>
                <w:w w:val="99"/>
              </w:rPr>
              <w:t>(Address of principal executive offices)</w:t>
            </w:r>
          </w:p>
        </w:tc>
      </w:tr>
      <w:tr>
        <w:trPr>
          <w:trHeight w:val="334"/>
        </w:trPr>
        <w:tc>
          <w:tcPr>
            <w:tcW w:w="11420" w:type="dxa"/>
            <w:vAlign w:val="bottom"/>
            <w:gridSpan w:val="6"/>
          </w:tcPr>
          <w:p>
            <w:pPr>
              <w:jc w:val="center"/>
              <w:spacing w:after="0"/>
              <w:rPr>
                <w:sz w:val="20"/>
                <w:szCs w:val="20"/>
                <w:color w:val="auto"/>
              </w:rPr>
            </w:pPr>
            <w:r>
              <w:rPr>
                <w:rFonts w:ascii="Arial" w:cs="Arial" w:eastAsia="Arial" w:hAnsi="Arial"/>
                <w:sz w:val="18"/>
                <w:szCs w:val="18"/>
                <w:color w:val="auto"/>
                <w:w w:val="99"/>
              </w:rPr>
              <w:t xml:space="preserve">Registrant’s telephone number, including area code: </w:t>
            </w:r>
            <w:r>
              <w:rPr>
                <w:rFonts w:ascii="Arial" w:cs="Arial" w:eastAsia="Arial" w:hAnsi="Arial"/>
                <w:sz w:val="18"/>
                <w:szCs w:val="18"/>
                <w:b w:val="1"/>
                <w:bCs w:val="1"/>
                <w:color w:val="auto"/>
                <w:w w:val="99"/>
              </w:rPr>
              <w:t>(212) 297-0200</w:t>
            </w:r>
          </w:p>
        </w:tc>
      </w:tr>
      <w:tr>
        <w:trPr>
          <w:trHeight w:val="453"/>
        </w:trPr>
        <w:tc>
          <w:tcPr>
            <w:tcW w:w="4380" w:type="dxa"/>
            <w:vAlign w:val="bottom"/>
          </w:tcPr>
          <w:p>
            <w:pPr>
              <w:spacing w:after="0"/>
              <w:rPr>
                <w:sz w:val="24"/>
                <w:szCs w:val="24"/>
                <w:color w:val="auto"/>
              </w:rPr>
            </w:pPr>
          </w:p>
        </w:tc>
        <w:tc>
          <w:tcPr>
            <w:tcW w:w="2820" w:type="dxa"/>
            <w:vAlign w:val="bottom"/>
            <w:gridSpan w:val="3"/>
          </w:tcPr>
          <w:p>
            <w:pPr>
              <w:jc w:val="center"/>
              <w:ind w:right="70"/>
              <w:spacing w:after="0"/>
              <w:rPr>
                <w:sz w:val="20"/>
                <w:szCs w:val="20"/>
                <w:color w:val="auto"/>
              </w:rPr>
            </w:pPr>
            <w:r>
              <w:rPr>
                <w:rFonts w:ascii="Times New Roman" w:cs="Times New Roman" w:eastAsia="Times New Roman" w:hAnsi="Times New Roman"/>
                <w:sz w:val="18"/>
                <w:szCs w:val="18"/>
                <w:color w:val="auto"/>
                <w:w w:val="99"/>
              </w:rPr>
              <w:t>__________________________</w:t>
            </w:r>
          </w:p>
        </w:tc>
        <w:tc>
          <w:tcPr>
            <w:tcW w:w="1220" w:type="dxa"/>
            <w:vAlign w:val="bottom"/>
            <w:tcBorders>
              <w:top w:val="single" w:sz="8" w:color="auto"/>
            </w:tcBorders>
          </w:tcPr>
          <w:p>
            <w:pPr>
              <w:spacing w:after="0"/>
              <w:rPr>
                <w:sz w:val="24"/>
                <w:szCs w:val="24"/>
                <w:color w:val="auto"/>
              </w:rPr>
            </w:pPr>
          </w:p>
        </w:tc>
        <w:tc>
          <w:tcPr>
            <w:tcW w:w="3000" w:type="dxa"/>
            <w:vAlign w:val="bottom"/>
          </w:tcPr>
          <w:p>
            <w:pPr>
              <w:spacing w:after="0"/>
              <w:rPr>
                <w:sz w:val="24"/>
                <w:szCs w:val="24"/>
                <w:color w:val="auto"/>
              </w:rPr>
            </w:pPr>
          </w:p>
        </w:tc>
      </w:tr>
      <w:tr>
        <w:trPr>
          <w:trHeight w:val="436"/>
        </w:trPr>
        <w:tc>
          <w:tcPr>
            <w:tcW w:w="11420" w:type="dxa"/>
            <w:vAlign w:val="bottom"/>
            <w:gridSpan w:val="6"/>
          </w:tcPr>
          <w:p>
            <w:pPr>
              <w:jc w:val="center"/>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545"/>
        </w:trPr>
        <w:tc>
          <w:tcPr>
            <w:tcW w:w="4380" w:type="dxa"/>
            <w:vAlign w:val="bottom"/>
            <w:tcBorders>
              <w:bottom w:val="single" w:sz="8" w:color="auto"/>
            </w:tcBorders>
          </w:tcPr>
          <w:p>
            <w:pPr>
              <w:jc w:val="center"/>
              <w:ind w:left="1250"/>
              <w:spacing w:after="0"/>
              <w:rPr>
                <w:sz w:val="20"/>
                <w:szCs w:val="20"/>
                <w:color w:val="auto"/>
              </w:rPr>
            </w:pPr>
            <w:r>
              <w:rPr>
                <w:rFonts w:ascii="Arial" w:cs="Arial" w:eastAsia="Arial" w:hAnsi="Arial"/>
                <w:sz w:val="18"/>
                <w:szCs w:val="18"/>
                <w:color w:val="auto"/>
                <w:w w:val="99"/>
              </w:rPr>
              <w:t>Title of each class</w:t>
            </w: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53"/>
        </w:trPr>
        <w:tc>
          <w:tcPr>
            <w:tcW w:w="4380" w:type="dxa"/>
            <w:vAlign w:val="bottom"/>
          </w:tcPr>
          <w:p>
            <w:pPr>
              <w:jc w:val="center"/>
              <w:ind w:left="1250"/>
              <w:spacing w:after="0"/>
              <w:rPr>
                <w:sz w:val="20"/>
                <w:szCs w:val="20"/>
                <w:color w:val="auto"/>
              </w:rPr>
            </w:pPr>
            <w:r>
              <w:rPr>
                <w:rFonts w:ascii="Arial" w:cs="Arial" w:eastAsia="Arial" w:hAnsi="Arial"/>
                <w:sz w:val="18"/>
                <w:szCs w:val="18"/>
                <w:b w:val="1"/>
                <w:bCs w:val="1"/>
                <w:color w:val="auto"/>
              </w:rPr>
              <w:t>Common Stock, $0.01 par value</w:t>
            </w: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220" w:type="dxa"/>
            <w:vAlign w:val="bottom"/>
            <w:gridSpan w:val="2"/>
          </w:tcPr>
          <w:p>
            <w:pPr>
              <w:jc w:val="center"/>
              <w:ind w:right="1290"/>
              <w:spacing w:after="0"/>
              <w:rPr>
                <w:sz w:val="20"/>
                <w:szCs w:val="20"/>
                <w:color w:val="auto"/>
              </w:rPr>
            </w:pPr>
            <w:r>
              <w:rPr>
                <w:rFonts w:ascii="Arial" w:cs="Arial" w:eastAsia="Arial" w:hAnsi="Arial"/>
                <w:sz w:val="18"/>
                <w:szCs w:val="18"/>
                <w:b w:val="1"/>
                <w:bCs w:val="1"/>
                <w:color w:val="auto"/>
                <w:w w:val="99"/>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3366770</wp:posOffset>
            </wp:positionH>
            <wp:positionV relativeFrom="paragraph">
              <wp:posOffset>-2631440</wp:posOffset>
            </wp:positionV>
            <wp:extent cx="608965" cy="617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965" cy="617220"/>
                    </a:xfrm>
                    <a:prstGeom prst="rect">
                      <a:avLst/>
                    </a:prstGeom>
                    <a:noFill/>
                  </pic:spPr>
                </pic:pic>
              </a:graphicData>
            </a:graphic>
          </wp:anchor>
        </w:drawing>
      </w:r>
    </w:p>
    <w:p>
      <w:pPr>
        <w:spacing w:after="0" w:line="125"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 None</w:t>
      </w:r>
    </w:p>
    <w:p>
      <w:pPr>
        <w:sectPr>
          <w:pgSz w:w="11900" w:h="16838" w:orient="portrait"/>
          <w:cols w:equalWidth="0" w:num="1">
            <w:col w:w="11420"/>
          </w:cols>
          <w:pgMar w:left="240" w:top="1440" w:right="239" w:bottom="1440" w:gutter="0" w:footer="0" w:header="0"/>
        </w:sectPr>
      </w:pPr>
    </w:p>
    <w:bookmarkStart w:id="1" w:name="page2"/>
    <w:bookmarkEnd w:id="1"/>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color w:val="auto"/>
        </w:rPr>
        <w:t>Yes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t>
      </w:r>
    </w:p>
    <w:p>
      <w:pPr>
        <w:spacing w:after="0" w:line="197" w:lineRule="exact"/>
        <w:rPr>
          <w:sz w:val="20"/>
          <w:szCs w:val="20"/>
          <w:color w:val="auto"/>
        </w:rPr>
      </w:pPr>
    </w:p>
    <w:p>
      <w:pPr>
        <w:sectPr>
          <w:pgSz w:w="11900" w:h="16838" w:orient="portrait"/>
          <w:cols w:equalWidth="0" w:num="5">
            <w:col w:w="9300" w:space="200"/>
            <w:col w:w="300" w:space="100"/>
            <w:col w:w="160" w:space="200"/>
            <w:col w:w="220" w:space="100"/>
            <w:col w:w="840"/>
          </w:cols>
          <w:pgMar w:left="240" w:top="1440" w:right="239" w:bottom="1440" w:gutter="0" w:footer="0" w:header="0"/>
        </w:sectPr>
      </w:pP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Yes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5" w:lineRule="exact"/>
        <w:rPr>
          <w:sz w:val="20"/>
          <w:szCs w:val="20"/>
          <w:color w:val="auto"/>
        </w:rPr>
      </w:pPr>
    </w:p>
    <w:p>
      <w:pPr>
        <w:sectPr>
          <w:pgSz w:w="11900" w:h="16838" w:orient="portrait"/>
          <w:cols w:equalWidth="0" w:num="5">
            <w:col w:w="9420" w:space="180"/>
            <w:col w:w="300" w:space="100"/>
            <w:col w:w="100" w:space="200"/>
            <w:col w:w="220" w:space="100"/>
            <w:col w:w="800"/>
          </w:cols>
          <w:pgMar w:left="240" w:top="1440" w:right="239" w:bottom="1440" w:gutter="0" w:footer="0" w:header="0"/>
          <w:type w:val="continuous"/>
        </w:sectPr>
      </w:pPr>
    </w:p>
    <w:p>
      <w:pPr>
        <w:spacing w:after="0" w:line="21" w:lineRule="exact"/>
        <w:rPr>
          <w:sz w:val="20"/>
          <w:szCs w:val="20"/>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Times New Roman" w:cs="Times New Roman" w:eastAsia="Times New Roman" w:hAnsi="Times New Roman"/>
          <w:sz w:val="18"/>
          <w:szCs w:val="18"/>
          <w:color w:val="auto"/>
        </w:rPr>
        <w:t>o</w:t>
      </w:r>
    </w:p>
    <w:p>
      <w:pPr>
        <w:spacing w:after="0" w:line="175" w:lineRule="exact"/>
        <w:rPr>
          <w:sz w:val="20"/>
          <w:szCs w:val="20"/>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Times New Roman" w:cs="Times New Roman" w:eastAsia="Times New Roman" w:hAnsi="Times New Roman"/>
          <w:sz w:val="18"/>
          <w:szCs w:val="18"/>
          <w:color w:val="auto"/>
        </w:rPr>
        <w:t>o</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Times New Roman" w:cs="Times New Roman" w:eastAsia="Times New Roman" w:hAnsi="Times New Roman"/>
          <w:sz w:val="18"/>
          <w:szCs w:val="18"/>
          <w:color w:val="auto"/>
        </w:rPr>
        <w:t>o</w:t>
      </w:r>
    </w:p>
    <w:p>
      <w:pPr>
        <w:spacing w:after="0" w:line="16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440" w:right="239" w:bottom="1440" w:gutter="0" w:footer="0" w:header="0"/>
          <w:type w:val="continuous"/>
        </w:sectPr>
      </w:pPr>
    </w:p>
    <w:p>
      <w:pPr>
        <w:spacing w:after="0" w:line="104" w:lineRule="exact"/>
        <w:rPr>
          <w:sz w:val="20"/>
          <w:szCs w:val="20"/>
          <w:color w:val="auto"/>
        </w:rPr>
      </w:pPr>
    </w:p>
    <w:p>
      <w:pPr>
        <w:ind w:left="40"/>
        <w:spacing w:after="0"/>
        <w:rPr>
          <w:sz w:val="20"/>
          <w:szCs w:val="20"/>
          <w:color w:val="auto"/>
        </w:rPr>
      </w:pPr>
      <w:r>
        <w:rPr>
          <w:rFonts w:ascii="Arial" w:cs="Arial" w:eastAsia="Arial" w:hAnsi="Arial"/>
          <w:sz w:val="17"/>
          <w:szCs w:val="17"/>
          <w:color w:val="auto"/>
        </w:rPr>
        <w:t>Large accelerated filer</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Non-accelerated filer</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Smaller reporting company</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t>
      </w:r>
    </w:p>
    <w:p>
      <w:pPr>
        <w:spacing w:after="0" w:line="61" w:lineRule="exact"/>
        <w:rPr>
          <w:sz w:val="20"/>
          <w:szCs w:val="20"/>
          <w:color w:val="auto"/>
        </w:rPr>
      </w:pPr>
    </w:p>
    <w:p>
      <w:pPr>
        <w:sectPr>
          <w:pgSz w:w="11900" w:h="16838" w:orient="portrait"/>
          <w:cols w:equalWidth="0" w:num="8">
            <w:col w:w="1820" w:space="520"/>
            <w:col w:w="160" w:space="300"/>
            <w:col w:w="1340" w:space="720"/>
            <w:col w:w="80" w:space="380"/>
            <w:col w:w="1660" w:space="720"/>
            <w:col w:w="100" w:space="360"/>
            <w:col w:w="2140" w:space="700"/>
            <w:col w:w="420"/>
          </w:cols>
          <w:pgMar w:left="240" w:top="1440"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Yes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5" w:lineRule="exact"/>
        <w:rPr>
          <w:sz w:val="20"/>
          <w:szCs w:val="20"/>
          <w:color w:val="auto"/>
        </w:rPr>
      </w:pPr>
    </w:p>
    <w:p>
      <w:pPr>
        <w:sectPr>
          <w:pgSz w:w="11900" w:h="16838" w:orient="portrait"/>
          <w:cols w:equalWidth="0" w:num="5">
            <w:col w:w="8160" w:space="180"/>
            <w:col w:w="300" w:space="100"/>
            <w:col w:w="100" w:space="200"/>
            <w:col w:w="220" w:space="100"/>
            <w:col w:w="2060"/>
          </w:cols>
          <w:pgMar w:left="240" w:top="1440" w:right="239" w:bottom="1440" w:gutter="0" w:footer="0" w:header="0"/>
          <w:type w:val="continuous"/>
        </w:sectPr>
      </w:pPr>
    </w:p>
    <w:p>
      <w:pPr>
        <w:spacing w:after="0" w:line="21"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Aggregate market value of the registrant’s common stock held by non-affiliates of the registrant, based upon the closing price of a share of the registrant’s common stock on April 30, 2016 as reported on the New York Stock Exchange on that date: $1,777,132,715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the registrant’s common stock outstanding as of December 14, 2016: 55,555,719</w:t>
      </w:r>
    </w:p>
    <w:p>
      <w:pPr>
        <w:spacing w:after="0" w:line="3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65"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Parts of the registrant’s Definitive Proxy Statement relating to the registrant’s 2017 Annual Meeting of Shareholders, to be held on March 8, 2017,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53"/>
        </w:trPr>
        <w:tc>
          <w:tcPr>
            <w:tcW w:w="11180" w:type="dxa"/>
            <w:vAlign w:val="bottom"/>
          </w:tcPr>
          <w:p>
            <w:pPr>
              <w:ind w:left="3260"/>
              <w:spacing w:after="0"/>
              <w:rPr>
                <w:sz w:val="20"/>
                <w:szCs w:val="20"/>
                <w:color w:val="auto"/>
              </w:rPr>
            </w:pPr>
            <w:r>
              <w:rPr>
                <w:rFonts w:ascii="Arial" w:cs="Arial" w:eastAsia="Arial" w:hAnsi="Arial"/>
                <w:sz w:val="18"/>
                <w:szCs w:val="18"/>
                <w:b w:val="1"/>
                <w:bCs w:val="1"/>
                <w:color w:val="auto"/>
              </w:rPr>
              <w:t>ABM INDUSTRIES INCORPORATED AND SUBSIDIARIES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51"/>
        </w:trPr>
        <w:tc>
          <w:tcPr>
            <w:tcW w:w="11180" w:type="dxa"/>
            <w:vAlign w:val="bottom"/>
          </w:tcPr>
          <w:p>
            <w:pPr>
              <w:ind w:left="472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1"/>
        </w:trPr>
        <w:tc>
          <w:tcPr>
            <w:tcW w:w="11180" w:type="dxa"/>
            <w:vAlign w:val="bottom"/>
          </w:tcPr>
          <w:p>
            <w:pPr>
              <w:spacing w:after="0"/>
              <w:rPr>
                <w:sz w:val="20"/>
                <w:szCs w:val="20"/>
                <w:color w:val="auto"/>
              </w:rPr>
            </w:pPr>
            <w:r>
              <w:rPr>
                <w:rFonts w:ascii="Arial" w:cs="Arial" w:eastAsia="Arial" w:hAnsi="Arial"/>
                <w:sz w:val="14"/>
                <w:szCs w:val="14"/>
                <w:b w:val="1"/>
                <w:bCs w:val="1"/>
                <w:color w:val="auto"/>
              </w:rPr>
              <w:t>FORWARD-LOOKING STATEMENTS</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4">
              <w:r>
                <w:rPr>
                  <w:rFonts w:ascii="Arial" w:cs="Arial" w:eastAsia="Arial" w:hAnsi="Arial"/>
                  <w:sz w:val="15"/>
                  <w:szCs w:val="15"/>
                  <w:color w:val="0000EE"/>
                  <w:w w:val="95"/>
                </w:rPr>
                <w:t>1</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b w:val="1"/>
                <w:bCs w:val="1"/>
                <w:color w:val="auto"/>
              </w:rPr>
              <w:t>PART I</w:t>
            </w:r>
          </w:p>
        </w:tc>
        <w:tc>
          <w:tcPr>
            <w:tcW w:w="80" w:type="dxa"/>
            <w:vAlign w:val="bottom"/>
          </w:tcPr>
          <w:p>
            <w:pPr>
              <w:spacing w:after="0"/>
              <w:rPr>
                <w:sz w:val="17"/>
                <w:szCs w:val="17"/>
                <w:color w:val="auto"/>
              </w:rPr>
            </w:pPr>
          </w:p>
        </w:tc>
        <w:tc>
          <w:tcPr>
            <w:tcW w:w="100" w:type="dxa"/>
            <w:vAlign w:val="bottom"/>
            <w:tcBorders>
              <w:bottom w:val="single" w:sz="8" w:color="0000FF"/>
            </w:tcBorders>
          </w:tcPr>
          <w:p>
            <w:pPr>
              <w:jc w:val="right"/>
              <w:spacing w:after="0"/>
              <w:rPr>
                <w:rFonts w:ascii="Arial" w:cs="Arial" w:eastAsia="Arial" w:hAnsi="Arial"/>
                <w:sz w:val="15"/>
                <w:szCs w:val="15"/>
                <w:color w:val="0000FF"/>
                <w:w w:val="95"/>
              </w:rPr>
            </w:pPr>
            <w:hyperlink w:anchor="page5">
              <w:r>
                <w:rPr>
                  <w:rFonts w:ascii="Arial" w:cs="Arial" w:eastAsia="Arial" w:hAnsi="Arial"/>
                  <w:sz w:val="15"/>
                  <w:szCs w:val="15"/>
                  <w:color w:val="0000FF"/>
                  <w:w w:val="95"/>
                </w:rPr>
                <w:t>2</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1. Business.</w:t>
            </w:r>
          </w:p>
        </w:tc>
        <w:tc>
          <w:tcPr>
            <w:tcW w:w="80" w:type="dxa"/>
            <w:vAlign w:val="bottom"/>
          </w:tcPr>
          <w:p>
            <w:pPr>
              <w:spacing w:after="0"/>
              <w:rPr>
                <w:sz w:val="17"/>
                <w:szCs w:val="17"/>
                <w:color w:val="auto"/>
              </w:rPr>
            </w:pPr>
          </w:p>
        </w:tc>
        <w:tc>
          <w:tcPr>
            <w:tcW w:w="100" w:type="dxa"/>
            <w:vAlign w:val="bottom"/>
            <w:tcBorders>
              <w:bottom w:val="single" w:sz="8" w:color="0000FF"/>
            </w:tcBorders>
          </w:tcPr>
          <w:p>
            <w:pPr>
              <w:jc w:val="right"/>
              <w:spacing w:after="0"/>
              <w:rPr>
                <w:rFonts w:ascii="Arial" w:cs="Arial" w:eastAsia="Arial" w:hAnsi="Arial"/>
                <w:sz w:val="15"/>
                <w:szCs w:val="15"/>
                <w:color w:val="0000FF"/>
                <w:w w:val="95"/>
              </w:rPr>
            </w:pPr>
            <w:hyperlink w:anchor="page5">
              <w:r>
                <w:rPr>
                  <w:rFonts w:ascii="Arial" w:cs="Arial" w:eastAsia="Arial" w:hAnsi="Arial"/>
                  <w:sz w:val="15"/>
                  <w:szCs w:val="15"/>
                  <w:color w:val="0000FF"/>
                  <w:w w:val="95"/>
                </w:rPr>
                <w:t>2</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1A. Risk Factors.</w:t>
            </w:r>
          </w:p>
        </w:tc>
        <w:tc>
          <w:tcPr>
            <w:tcW w:w="80" w:type="dxa"/>
            <w:vAlign w:val="bottom"/>
          </w:tcPr>
          <w:p>
            <w:pPr>
              <w:spacing w:after="0"/>
              <w:rPr>
                <w:sz w:val="17"/>
                <w:szCs w:val="17"/>
                <w:color w:val="auto"/>
              </w:rPr>
            </w:pPr>
          </w:p>
        </w:tc>
        <w:tc>
          <w:tcPr>
            <w:tcW w:w="100" w:type="dxa"/>
            <w:vAlign w:val="bottom"/>
            <w:tcBorders>
              <w:bottom w:val="single" w:sz="8" w:color="0000FF"/>
            </w:tcBorders>
          </w:tcPr>
          <w:p>
            <w:pPr>
              <w:jc w:val="right"/>
              <w:spacing w:after="0"/>
              <w:rPr>
                <w:rFonts w:ascii="Arial" w:cs="Arial" w:eastAsia="Arial" w:hAnsi="Arial"/>
                <w:sz w:val="15"/>
                <w:szCs w:val="15"/>
                <w:color w:val="0000FF"/>
                <w:w w:val="95"/>
              </w:rPr>
            </w:pPr>
            <w:hyperlink w:anchor="page12">
              <w:r>
                <w:rPr>
                  <w:rFonts w:ascii="Arial" w:cs="Arial" w:eastAsia="Arial" w:hAnsi="Arial"/>
                  <w:sz w:val="15"/>
                  <w:szCs w:val="15"/>
                  <w:color w:val="0000FF"/>
                  <w:w w:val="95"/>
                </w:rPr>
                <w:t>9</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1B. Unresolved Staff Comments.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7">
              <w:r>
                <w:rPr>
                  <w:rFonts w:ascii="Arial" w:cs="Arial" w:eastAsia="Arial" w:hAnsi="Arial"/>
                  <w:sz w:val="15"/>
                  <w:szCs w:val="15"/>
                  <w:color w:val="0000FF"/>
                  <w:w w:val="95"/>
                </w:rPr>
                <w:t>14</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2. Properties.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8">
              <w:r>
                <w:rPr>
                  <w:rFonts w:ascii="Arial" w:cs="Arial" w:eastAsia="Arial" w:hAnsi="Arial"/>
                  <w:sz w:val="15"/>
                  <w:szCs w:val="15"/>
                  <w:color w:val="0000FF"/>
                  <w:w w:val="95"/>
                </w:rPr>
                <w:t>15</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3. Legal Proceedings.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8">
              <w:r>
                <w:rPr>
                  <w:rFonts w:ascii="Arial" w:cs="Arial" w:eastAsia="Arial" w:hAnsi="Arial"/>
                  <w:sz w:val="15"/>
                  <w:szCs w:val="15"/>
                  <w:color w:val="0000FF"/>
                  <w:w w:val="95"/>
                </w:rPr>
                <w:t>15</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4. Mine Safety Disclosures.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9">
              <w:r>
                <w:rPr>
                  <w:rFonts w:ascii="Arial" w:cs="Arial" w:eastAsia="Arial" w:hAnsi="Arial"/>
                  <w:sz w:val="15"/>
                  <w:szCs w:val="15"/>
                  <w:color w:val="0000FF"/>
                  <w:w w:val="95"/>
                </w:rPr>
                <w:t>16</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b w:val="1"/>
                <w:bCs w:val="1"/>
                <w:color w:val="auto"/>
              </w:rPr>
              <w:t>PART II</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20">
              <w:r>
                <w:rPr>
                  <w:rFonts w:ascii="Arial" w:cs="Arial" w:eastAsia="Arial" w:hAnsi="Arial"/>
                  <w:sz w:val="15"/>
                  <w:szCs w:val="15"/>
                  <w:color w:val="0000FF"/>
                  <w:w w:val="95"/>
                </w:rPr>
                <w:t>17</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5. Market for Registrant’s Common Equity, Related Stockholder Matters and Issuer Purchases of Equity Securities.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20">
              <w:r>
                <w:rPr>
                  <w:rFonts w:ascii="Arial" w:cs="Arial" w:eastAsia="Arial" w:hAnsi="Arial"/>
                  <w:sz w:val="15"/>
                  <w:szCs w:val="15"/>
                  <w:color w:val="0000FF"/>
                  <w:w w:val="95"/>
                </w:rPr>
                <w:t>17</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6. Selected Financial Data.</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22">
              <w:r>
                <w:rPr>
                  <w:rFonts w:ascii="Arial" w:cs="Arial" w:eastAsia="Arial" w:hAnsi="Arial"/>
                  <w:sz w:val="15"/>
                  <w:szCs w:val="15"/>
                  <w:color w:val="0000FF"/>
                  <w:w w:val="95"/>
                </w:rPr>
                <w:t>19</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7. Management’s Discussion and Analysis of Financial Condition and Results of Operations.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24">
              <w:r>
                <w:rPr>
                  <w:rFonts w:ascii="Arial" w:cs="Arial" w:eastAsia="Arial" w:hAnsi="Arial"/>
                  <w:sz w:val="15"/>
                  <w:szCs w:val="15"/>
                  <w:color w:val="0000FF"/>
                  <w:w w:val="95"/>
                </w:rPr>
                <w:t>21</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7A. Quantitative and Qualitative Disclosures About Market Risk.</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52">
              <w:r>
                <w:rPr>
                  <w:rFonts w:ascii="Arial" w:cs="Arial" w:eastAsia="Arial" w:hAnsi="Arial"/>
                  <w:sz w:val="15"/>
                  <w:szCs w:val="15"/>
                  <w:color w:val="0000FF"/>
                  <w:w w:val="95"/>
                </w:rPr>
                <w:t>49</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8. Financial Statements and Supplementary Data.</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53">
              <w:r>
                <w:rPr>
                  <w:rFonts w:ascii="Arial" w:cs="Arial" w:eastAsia="Arial" w:hAnsi="Arial"/>
                  <w:sz w:val="15"/>
                  <w:szCs w:val="15"/>
                  <w:color w:val="0000FF"/>
                  <w:w w:val="95"/>
                </w:rPr>
                <w:t>50</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9. Changes in and Disagreements With Accountants on Accounting and Financial Disclosure.</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96">
              <w:r>
                <w:rPr>
                  <w:rFonts w:ascii="Arial" w:cs="Arial" w:eastAsia="Arial" w:hAnsi="Arial"/>
                  <w:sz w:val="15"/>
                  <w:szCs w:val="15"/>
                  <w:color w:val="0000FF"/>
                  <w:w w:val="95"/>
                </w:rPr>
                <w:t>92</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9A. Controls and Procedures.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96">
              <w:r>
                <w:rPr>
                  <w:rFonts w:ascii="Arial" w:cs="Arial" w:eastAsia="Arial" w:hAnsi="Arial"/>
                  <w:sz w:val="15"/>
                  <w:szCs w:val="15"/>
                  <w:color w:val="0000FF"/>
                  <w:w w:val="95"/>
                </w:rPr>
                <w:t>92</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9B. Other Information.</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96">
              <w:r>
                <w:rPr>
                  <w:rFonts w:ascii="Arial" w:cs="Arial" w:eastAsia="Arial" w:hAnsi="Arial"/>
                  <w:sz w:val="15"/>
                  <w:szCs w:val="15"/>
                  <w:color w:val="0000FF"/>
                  <w:w w:val="95"/>
                </w:rPr>
                <w:t>92</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b w:val="1"/>
                <w:bCs w:val="1"/>
                <w:color w:val="auto"/>
              </w:rPr>
              <w:t>PART III</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97">
              <w:r>
                <w:rPr>
                  <w:rFonts w:ascii="Arial" w:cs="Arial" w:eastAsia="Arial" w:hAnsi="Arial"/>
                  <w:sz w:val="15"/>
                  <w:szCs w:val="15"/>
                  <w:color w:val="0000FF"/>
                  <w:w w:val="95"/>
                </w:rPr>
                <w:t>93</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10. Directors, Executive Officers and Corporate Governance.</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97">
              <w:r>
                <w:rPr>
                  <w:rFonts w:ascii="Arial" w:cs="Arial" w:eastAsia="Arial" w:hAnsi="Arial"/>
                  <w:sz w:val="15"/>
                  <w:szCs w:val="15"/>
                  <w:color w:val="0000FF"/>
                  <w:w w:val="95"/>
                </w:rPr>
                <w:t>93</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11. Executive Compensation.</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97">
              <w:r>
                <w:rPr>
                  <w:rFonts w:ascii="Arial" w:cs="Arial" w:eastAsia="Arial" w:hAnsi="Arial"/>
                  <w:sz w:val="15"/>
                  <w:szCs w:val="15"/>
                  <w:color w:val="0000FF"/>
                  <w:w w:val="95"/>
                </w:rPr>
                <w:t>93</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12. Security Ownership of Certain Beneficial Owners and Management and Related Stockholder Matters.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97">
              <w:r>
                <w:rPr>
                  <w:rFonts w:ascii="Arial" w:cs="Arial" w:eastAsia="Arial" w:hAnsi="Arial"/>
                  <w:sz w:val="15"/>
                  <w:szCs w:val="15"/>
                  <w:color w:val="0000FF"/>
                  <w:w w:val="95"/>
                </w:rPr>
                <w:t>93</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13. Certain Relationships and Related Transactions, and Director Independence.</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97">
              <w:r>
                <w:rPr>
                  <w:rFonts w:ascii="Arial" w:cs="Arial" w:eastAsia="Arial" w:hAnsi="Arial"/>
                  <w:sz w:val="15"/>
                  <w:szCs w:val="15"/>
                  <w:color w:val="0000FF"/>
                  <w:w w:val="95"/>
                </w:rPr>
                <w:t>93</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14. Principal Accounting Fees and Services.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97">
              <w:r>
                <w:rPr>
                  <w:rFonts w:ascii="Arial" w:cs="Arial" w:eastAsia="Arial" w:hAnsi="Arial"/>
                  <w:sz w:val="15"/>
                  <w:szCs w:val="15"/>
                  <w:color w:val="0000FF"/>
                  <w:w w:val="95"/>
                </w:rPr>
                <w:t>93</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b w:val="1"/>
                <w:bCs w:val="1"/>
                <w:color w:val="auto"/>
              </w:rPr>
              <w:t>PART IV</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98">
              <w:r>
                <w:rPr>
                  <w:rFonts w:ascii="Arial" w:cs="Arial" w:eastAsia="Arial" w:hAnsi="Arial"/>
                  <w:sz w:val="15"/>
                  <w:szCs w:val="15"/>
                  <w:color w:val="0000FF"/>
                  <w:w w:val="95"/>
                </w:rPr>
                <w:t>94</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15. Exhibits, Financial Statement Schedules.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98">
              <w:r>
                <w:rPr>
                  <w:rFonts w:ascii="Arial" w:cs="Arial" w:eastAsia="Arial" w:hAnsi="Arial"/>
                  <w:sz w:val="15"/>
                  <w:szCs w:val="15"/>
                  <w:color w:val="0000FF"/>
                  <w:w w:val="95"/>
                </w:rPr>
                <w:t>94</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b w:val="1"/>
                <w:bCs w:val="1"/>
                <w:color w:val="auto"/>
              </w:rPr>
              <w:t>SIGNATURES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99">
              <w:r>
                <w:rPr>
                  <w:rFonts w:ascii="Arial" w:cs="Arial" w:eastAsia="Arial" w:hAnsi="Arial"/>
                  <w:sz w:val="15"/>
                  <w:szCs w:val="15"/>
                  <w:color w:val="0000FF"/>
                  <w:w w:val="95"/>
                </w:rPr>
                <w:t>95</w:t>
              </w:r>
            </w:hyperlink>
          </w:p>
        </w:tc>
      </w:tr>
    </w:tbl>
    <w:p>
      <w:pPr>
        <w:sectPr>
          <w:pgSz w:w="11900" w:h="16838" w:orient="portrait"/>
          <w:cols w:equalWidth="0" w:num="1">
            <w:col w:w="11360"/>
          </w:cols>
          <w:pgMar w:left="280" w:top="493"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This Form 10-K contains both historical and forward-looking statements regarding ABM Industries Incorporated (“ABM”) and its subsidiaries (collectively referred to as “ABM,” “we,” “us,” “our,” or the “Company”). We make forward-looking statements, within the meaning of the U.S. Private Securities Litigation Reform Act of 1995,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For us, particular uncertainties that could cause our actual results to be materially different from those expressed in our forward-looking statements include statements regarding: the implementation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 xml:space="preserve">Vision </w:t>
      </w:r>
      <w:r>
        <w:rPr>
          <w:rFonts w:ascii="Arial" w:cs="Arial" w:eastAsia="Arial" w:hAnsi="Arial"/>
          <w:sz w:val="18"/>
          <w:szCs w:val="18"/>
          <w:color w:val="000000"/>
        </w:rPr>
        <w:t>strategic transformation initiative; the cost savings we expect to achieve by the realignment of our business operations to better support</w:t>
      </w:r>
      <w:r>
        <w:rPr>
          <w:rFonts w:ascii="Arial" w:cs="Arial" w:eastAsia="Arial" w:hAnsi="Arial"/>
          <w:sz w:val="18"/>
          <w:szCs w:val="18"/>
          <w:b w:val="1"/>
          <w:bCs w:val="1"/>
          <w:color w:val="0070C0"/>
        </w:rPr>
        <w:t xml:space="preserve"> </w:t>
      </w:r>
      <w:r>
        <w:rPr>
          <w:rFonts w:ascii="Arial" w:cs="Arial" w:eastAsia="Arial" w:hAnsi="Arial"/>
          <w:sz w:val="18"/>
          <w:szCs w:val="18"/>
          <w:color w:val="000000"/>
        </w:rPr>
        <w:t>specific industries; the effectiveness of our risk management and safety programs; the strategic direction of our Government Services business; our future operating and financial performance; our plans to return capital to stockholders, whether through stock repurchases, cash dividends, or otherwise; and the other factors that are described in Item 1A, “Risk Factors.”</w:t>
      </w:r>
    </w:p>
    <w:p>
      <w:pPr>
        <w:spacing w:after="0" w:line="11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2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ABM Industries Incorporated, which operates through its subsidiaries (collectively referred to as “ABM,” “we,” “us,” “our,” or the “Company”), is a leading provider of integrated facility solutions, customized by industry, that enable our clients to deliver exceptional facilities experiences. Our mission is to take care of the people, places, and spaces that matter to our clients. ABM’s comprehensive services include electrical and lighting, energy solutions, facilities engineering, HVAC and mechanical, janitorial, landscape and turf, mission critical solutions, and parking, which we provide </w:t>
      </w:r>
      <w:r>
        <w:rPr>
          <w:rFonts w:ascii="Arial" w:cs="Arial" w:eastAsia="Arial" w:hAnsi="Arial"/>
          <w:sz w:val="18"/>
          <w:szCs w:val="18"/>
          <w:color w:val="333333"/>
        </w:rPr>
        <w:t>through stand-alone or integrated solutions</w:t>
      </w:r>
      <w:r>
        <w:rPr>
          <w:rFonts w:ascii="Arial" w:cs="Arial" w:eastAsia="Arial" w:hAnsi="Arial"/>
          <w:sz w:val="18"/>
          <w:szCs w:val="18"/>
          <w:color w:val="auto"/>
        </w:rPr>
        <w:t>. We serve urban, suburban, and rural areas and properties of all sizes—from schools and commercial buildings to airports, data centers, hospitals, and manufacturing plants.</w:t>
      </w:r>
    </w:p>
    <w:p>
      <w:pPr>
        <w:spacing w:after="0" w:line="12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Our history dates back to 1909, when American Building Maintenance Company began as a window washing company in San Francisco with one employee. In 1985, we were incorporated in Delaware under the name American Building Maintenance Industries, Inc., as the successor to the business originally founded in 1909. In 1994, we changed our name to ABM Industries Incorporated. Our common stock is listed on the New York Stock Exchange under the ticker symbol ABM. Unless otherwise indicated, all references to years are to our fiscal year, which ends on October 31.</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Strategic Developments: </w:t>
      </w:r>
      <w:r>
        <w:rPr>
          <w:rFonts w:ascii="Arial" w:cs="Arial" w:eastAsia="Arial" w:hAnsi="Arial"/>
          <w:sz w:val="18"/>
          <w:szCs w:val="18"/>
          <w:b w:val="1"/>
          <w:bCs w:val="1"/>
          <w:color w:val="FF9900"/>
        </w:rPr>
        <w:t>2020</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0070C0"/>
        </w:rPr>
        <w:t>Vision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September 2015, we announced our comprehensive transformation initiative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intended to drive long-term profitable growth through an industry-based go-to-market approach.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involves a three-phase approach: Phase 1, which we completed on November 1, 2016, involved a realignment of our organization; Phase 2 focuses on improvements to our operational framework to promote efficiencies and process enhancements; and in Phase 3, on the foundation of benefits realized from Phases 1 and 2, we anticipate accelerating growth with our industry-based go-to-market service model. During 2016, we made initial progress on the following four operating priorities, which we outlined at the onset of our journey.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Organizational Realignment</w:t>
      </w:r>
    </w:p>
    <w:p>
      <w:pPr>
        <w:spacing w:after="0" w:line="171"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On November 1, 2016, we completed Phase 1 of our transformation initiative, establishing five industry groups and one Technical Solutions group, which spans the five industry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71755</wp:posOffset>
            </wp:positionV>
            <wp:extent cx="5848985" cy="8661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8985"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Through these groups, we will be able to offer a full complement of solutions, including janitorial, facilities engineering, and parking, on a stand-alone basis or in combination with each other or with specialized mechanical and electrical technical services.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Consistent Excellence</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As Phase 2 of our transformation initiative matures, we will continue to identify, design, codify, and implement standard operating procedures (“SOPs”) that we anticipate will enable us to achieve more profitable growth across all of our industry groups and our Technical Solutions business. Our initial focus will be in the areas of account management, labor management, manager development, and safety and risk management. To achieve our objective of more profitable growth and best-in-class client service, we have created a Center of Excellence (“COE”) that will support the process of continuous improvement through best practices and drive these throughout our organization.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2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Cost Optimization</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2016, we began to consolidate certain of our back office functions in our shared services center. As of November 1, 2016, we had transferred a portion of our back office functions to the shared services center, resulting in the cost savings described in Item 7., “Management’s Discussion and Analysis of Financial Condition and Results of Operations.” We are also pursuing additional initiatives to reduce costs, such as a consolidated procurement process.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Talent Development</w:t>
      </w:r>
    </w:p>
    <w:p>
      <w:pPr>
        <w:spacing w:after="0" w:line="183"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8"/>
          <w:szCs w:val="18"/>
          <w:color w:val="auto"/>
        </w:rPr>
        <w:t xml:space="preserve">One of the key underpinnings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is the investment in people and the development of personnel. To that end, we have created a Talent Management Group that will be responsible for driving best-in-class talent development throughout the organization.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FF9900"/>
        </w:rPr>
        <w:t xml:space="preserve">2020 </w:t>
      </w:r>
      <w:r>
        <w:rPr>
          <w:rFonts w:ascii="Arial" w:cs="Arial" w:eastAsia="Arial" w:hAnsi="Arial"/>
          <w:sz w:val="18"/>
          <w:szCs w:val="18"/>
          <w:b w:val="1"/>
          <w:bCs w:val="1"/>
          <w:color w:val="0070C0"/>
        </w:rPr>
        <w:t>Vision</w:t>
      </w:r>
      <w:r>
        <w:rPr>
          <w:rFonts w:ascii="Arial" w:cs="Arial" w:eastAsia="Arial" w:hAnsi="Arial"/>
          <w:sz w:val="18"/>
          <w:szCs w:val="18"/>
          <w:b w:val="1"/>
          <w:bCs w:val="1"/>
          <w:color w:val="000000"/>
        </w:rPr>
        <w:t>: Strategic Acquisitions and Divestitures</w:t>
      </w:r>
    </w:p>
    <w:p>
      <w:pPr>
        <w:spacing w:after="0" w:line="22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Our acquisitions of Air Serv Corporation (“Air Serv”) and HHA Services, Inc. (“HHA”), both on November 1, 2012, represented significant movement towards an industry-based approach to the delivery of facility solutions. Air Serv is a provider of facility solutions for airlines, airports, and freight companies, while HHA is a provider of food services, housekeeping, patient assistance, and plant maintenance to healthcare systems, hospitals, long-term care facilities, and retirement communities. In 2016, we acquired Westway Services Holdings (2014) Ltd. (“Westway”), a provider of technical services in the United Kingdom, which expanded our geographic range of these offerings.</w:t>
      </w:r>
    </w:p>
    <w:p>
      <w:pPr>
        <w:spacing w:after="0" w:line="1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In October 2015, we divested our Security business in a sale of substantially all of the assets of this business to Universal Protection Service, L.P. for cash proceeds of $131.0 million. This business was identified as strategically not aligned with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In the fourth quarter of 2016, we exited our GreenHomes America franchising business and decided to sell our Government Services business. Our Government Services business provides specialty solutions in support of U.S. government entities, such as construction management and mission support. This business is currently part of our Building &amp; Energy Solutions segment, as described below, and under future segment reporting it will be a separate segment until it is sold.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FF9900"/>
        </w:rPr>
        <w:t xml:space="preserve">2020 </w:t>
      </w:r>
      <w:r>
        <w:rPr>
          <w:rFonts w:ascii="Arial" w:cs="Arial" w:eastAsia="Arial" w:hAnsi="Arial"/>
          <w:sz w:val="18"/>
          <w:szCs w:val="18"/>
          <w:b w:val="1"/>
          <w:bCs w:val="1"/>
          <w:color w:val="0070C0"/>
        </w:rPr>
        <w:t>Vision</w:t>
      </w:r>
      <w:r>
        <w:rPr>
          <w:rFonts w:ascii="Arial" w:cs="Arial" w:eastAsia="Arial" w:hAnsi="Arial"/>
          <w:sz w:val="18"/>
          <w:szCs w:val="18"/>
          <w:b w:val="1"/>
          <w:bCs w:val="1"/>
          <w:color w:val="000000"/>
        </w:rPr>
        <w:t>: 2017 and Beyond</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We expect to continue making progress on Phase 2 of our transformation initiative during 2017. During this time, our key priorities will be completing the migration of our back office functions to the shared services center, driving cost optimization initiatives through our procurement program, and implementing enterprise-wide SOPs through our Consistent Excellence work streams, including extending the use of external advisors for initial pricing and furthering of procurement efforts. By prioritizing these initiatives, we believe that we are building a foundation that should enable us to deliver leading industry-based facility solutions.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Financial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Segment Reporting</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For management and financial reporting purposes, our businesses are currently separated into five segments: Janitorial, Facility Services, Parking, Building &amp; Energy Solutions, and Other (which includes our Air Serv business). Our principal operations are in the United States, and in 2016, our U.S. operations generated approximately 94% of our revenues. For segment and geographical financial information, see Note 20, “Segment and Geographic Information,” in the Notes to Consolidated Financial Statements. In addition, for a discussion of risks attendant to our foreign operations, see “Risk Factors,” in Item 1A.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Offerings within Segments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Janitorial</w:t>
      </w:r>
    </w:p>
    <w:p>
      <w:pPr>
        <w:spacing w:after="0" w:line="1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Janitorial segment provides a wide range of essential cleaning services for commercial office buildings, data centers, educational institutions, government buildings, health facilities, industrial buildings, retail stores, sport event facilities, and transportation hubs. These services include carpet cleaning and dusting, floor cleaning and finishing, window washing, and other building cleaning services. We typically provide our services pursuant to contracts with clients, usually obtained through a competitive bid process. Contracts in our Janitorial segment generally fall into the following categories: fixed-price arrangements, cost-plus arrangements, and arrangements relating to one-time supplemental services (known as tag services). The majority of the Janitorial segment</w:t>
      </w:r>
      <w:r>
        <w:rPr>
          <w:rFonts w:ascii="Times New Roman" w:cs="Times New Roman" w:eastAsia="Times New Roman" w:hAnsi="Times New Roman"/>
          <w:sz w:val="18"/>
          <w:szCs w:val="18"/>
          <w:color w:val="auto"/>
        </w:rPr>
        <w:t>’</w:t>
      </w:r>
      <w:r>
        <w:rPr>
          <w:rFonts w:ascii="Arial" w:cs="Arial" w:eastAsia="Arial" w:hAnsi="Arial"/>
          <w:sz w:val="18"/>
          <w:szCs w:val="18"/>
          <w:color w:val="auto"/>
        </w:rPr>
        <w:t>s contracts are fixed-price arrangements, which are more at risk to profit margin compression than cost-plus arrangements. In addition, profit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22" w:right="239" w:bottom="1440" w:gutter="0" w:footer="0" w:header="0"/>
        </w:sectPr>
      </w:pPr>
    </w:p>
    <w:bookmarkStart w:id="6" w:name="page7"/>
    <w:bookmarkEnd w:id="6"/>
    <w:p>
      <w:pPr>
        <w:jc w:val="both"/>
        <w:spacing w:after="0" w:line="292" w:lineRule="auto"/>
        <w:rPr>
          <w:sz w:val="20"/>
          <w:szCs w:val="20"/>
          <w:color w:val="auto"/>
        </w:rPr>
      </w:pPr>
      <w:r>
        <w:rPr>
          <w:rFonts w:ascii="Arial" w:cs="Arial" w:eastAsia="Arial" w:hAnsi="Arial"/>
          <w:sz w:val="18"/>
          <w:szCs w:val="18"/>
          <w:color w:val="auto"/>
        </w:rPr>
        <w:t>margins on contracts tend to be inversely proportional to the size of the contract, as large-scale contracts tend to be more competitively priced than small or stand-alone agreements.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Facility Services</w:t>
      </w:r>
    </w:p>
    <w:p>
      <w:pPr>
        <w:spacing w:after="0" w:line="16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Our Facility Services segment provides onsite mechanical engineering and technical services and solutions relating to a broad range of facilities and infrastructure systems. Facilities we service include commercial office buildings, data centers, educational institutions, high technology manufacturing facilities, shopping centers, and transportation hubs. These services are designed to extend the useful life of facility fixed assets, improve equipment operating efficiencies, reduce energy consumption, lower overall operational costs for clients, and enhance the sustainability of client locations. The majority of our Facility Services contracts are structured as cost-plus arrangements. Nearly all Facility Services contracts are obtained by competitive bidding.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Parking</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Parking segment provides parking and transportation services for clients at various locations, including commercial office buildings, educational institutions, health facilities, hotels, sport event facilities, and transportation hubs. We operate our clients’ parking facilities through three primary types of arrangements: parking reimbursement, leased location, and allowance location. Under the parking reimbursement arrangement, we manage the parking facility for a management fee and pass through the revenue and expenses associated with the facility to the owner. These revenues and expenses are reported in equal amounts for costs reimbursed from our managed locations. Under leased location arrangements, we generally pay to the property owner a fixed amount of rent, plus a percentage of revenues derived from monthly and transient parkers. We retain all revenues and we are responsible for most operating expenses incurred. Under allowance location arrangements, we are paid a fixed or hourly fee to provide parking services, and we are responsible for certain operating expenses, as specified in the contract.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Building &amp; Energy Solutions</w:t>
      </w:r>
    </w:p>
    <w:p>
      <w:pPr>
        <w:spacing w:after="0" w:line="1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Our Building &amp; Energy Solutions segment provides custom energy solutions, electrical, HVAC, lighting, and other general maintenance and repair services for clients in the public and private sectors. These services, which include bundled energy solutions, energy efficiency upgrades, installations, preventative maintenance, retro-commissioning, and retrofits, are designed to extend the useful life of facility fixed assets, improve equipment operating efficiencies, reduce energy consumption, lower overall operational costs for clients, and enhance the sustainability of client locations. The operations of the recently acquired Westway business are included in this segment.</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Building &amp; Energy Solutions also provides specialty solutions in support of U.S. government entities, such as: construction management; energy efficiency upgrades; healthcare support; leadership development; military base operations; and other mission support. As referenced in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Strategic Acquisitions and Divestitures,</w:t>
      </w:r>
      <w:r>
        <w:rPr>
          <w:rFonts w:ascii="Arial" w:cs="Arial" w:eastAsia="Arial" w:hAnsi="Arial"/>
          <w:sz w:val="18"/>
          <w:szCs w:val="18"/>
          <w:i w:val="1"/>
          <w:iCs w:val="1"/>
          <w:color w:val="auto"/>
        </w:rPr>
        <w:t>”</w:t>
      </w:r>
      <w:r>
        <w:rPr>
          <w:rFonts w:ascii="Arial" w:cs="Arial" w:eastAsia="Arial" w:hAnsi="Arial"/>
          <w:sz w:val="18"/>
          <w:szCs w:val="18"/>
          <w:color w:val="auto"/>
        </w:rPr>
        <w:t xml:space="preserve"> we decided to sell our Government Services business and classified it as held for sale in the fourth quarter of 2016.</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segment also provides facility management and environmental services, food and nutrition services, healthcare technology management services, and patient and guest services in support of healthcare systems and hospitals. Furthermore, it franchises certain operations under franchise agreements relating to our Linc Service and TEGG brands. In 2016, 3% of this segment’s revenue was attributable to these franchised operations.</w:t>
      </w:r>
    </w:p>
    <w:p>
      <w:pPr>
        <w:spacing w:after="0" w:line="1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Contracts for this segment are structured as cost-plus arrangements, fixed-price arrangements, fixed-price repair and refurbishment arrangements, and franchise arrangements. These contracts can vary widely from industry to industry. We also offer certain clients guaranteed energy savings on installed equipment, including Energy Savings Performance Contracts (“ESPC”) with the federal government. Under these arrangements, we agree to develop, design, engineer, and construct a project and guarantee that the project will satisfy agreed-upon performance standards. Historically, we have not incurred any material losses in connection with these guarantees.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2016, sales to the U.S. government accounted for approximately 22% of revenues in the Building &amp; Energy Solutions segment.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Other segment provides facility solutions to airlines and airports related to access control, aircraft cabin cleaning, certain shuttle bus operations, and passenger assistance. Two clients accounted for approximately 50% of revenues for this segment in 2016. We typically provide services to clients in this segment under master services agreements. These agreements are typically re-bid upon renewal and are generally structured as fixed-price</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522" w:right="239" w:bottom="1440" w:gutter="0" w:footer="0" w:header="0"/>
        </w:sectPr>
      </w:pPr>
    </w:p>
    <w:bookmarkStart w:id="7" w:name="page8"/>
    <w:bookmarkEnd w:id="7"/>
    <w:p>
      <w:pPr>
        <w:jc w:val="both"/>
        <w:spacing w:after="0" w:line="292" w:lineRule="auto"/>
        <w:rPr>
          <w:sz w:val="20"/>
          <w:szCs w:val="20"/>
          <w:color w:val="auto"/>
        </w:rPr>
      </w:pPr>
      <w:r>
        <w:rPr>
          <w:rFonts w:ascii="Arial" w:cs="Arial" w:eastAsia="Arial" w:hAnsi="Arial"/>
          <w:sz w:val="18"/>
          <w:szCs w:val="18"/>
          <w:color w:val="auto"/>
        </w:rPr>
        <w:t>arrangements, transaction-price arrangements, and hourly arrangements. Some contracts include both a fixed fee component and a variable pricing component.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Future Segment Reporting Under Our </w:t>
      </w:r>
      <w:r>
        <w:rPr>
          <w:rFonts w:ascii="Arial" w:cs="Arial" w:eastAsia="Arial" w:hAnsi="Arial"/>
          <w:sz w:val="18"/>
          <w:szCs w:val="18"/>
          <w:b w:val="1"/>
          <w:bCs w:val="1"/>
          <w:i w:val="1"/>
          <w:iCs w:val="1"/>
          <w:color w:val="FF9900"/>
        </w:rPr>
        <w:t>2020</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i w:val="1"/>
          <w:iCs w:val="1"/>
          <w:color w:val="0070C0"/>
        </w:rPr>
        <w:t>Vision</w:t>
      </w:r>
    </w:p>
    <w:p>
      <w:pPr>
        <w:spacing w:after="0" w:line="16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 xml:space="preserve">The changes described above relating to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and our strategic transformation will result in changes to our reportable segments in 2017. These new segments, described below, align with our new organizational structure.</w:t>
      </w:r>
    </w:p>
    <w:p>
      <w:pPr>
        <w:spacing w:after="0" w:line="227" w:lineRule="exact"/>
        <w:rPr>
          <w:sz w:val="20"/>
          <w:szCs w:val="20"/>
          <w:color w:val="auto"/>
        </w:rPr>
      </w:pPr>
    </w:p>
    <w:tbl>
      <w:tblPr>
        <w:tblLayout w:type="fixed"/>
        <w:tblInd w:w="50" w:type="dxa"/>
        <w:tblCellMar>
          <w:top w:w="0" w:type="dxa"/>
          <w:left w:w="0" w:type="dxa"/>
          <w:bottom w:w="0" w:type="dxa"/>
          <w:right w:w="0" w:type="dxa"/>
        </w:tblCellMar>
      </w:tblPr>
      <w:tr>
        <w:trPr>
          <w:trHeight w:val="269"/>
        </w:trPr>
        <w:tc>
          <w:tcPr>
            <w:tcW w:w="2980" w:type="dxa"/>
            <w:vAlign w:val="bottom"/>
            <w:tcBorders>
              <w:top w:val="single" w:sz="8" w:color="auto"/>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Reportable Segment</w:t>
            </w:r>
          </w:p>
        </w:tc>
        <w:tc>
          <w:tcPr>
            <w:tcW w:w="8400" w:type="dxa"/>
            <w:vAlign w:val="bottom"/>
            <w:tcBorders>
              <w:top w:val="single" w:sz="8" w:color="auto"/>
              <w:bottom w:val="single" w:sz="8" w:color="auto"/>
              <w:right w:val="single" w:sz="8" w:color="auto"/>
            </w:tcBorders>
            <w:shd w:val="clear" w:color="auto" w:fill="CCEEFF"/>
          </w:tcPr>
          <w:p>
            <w:pPr>
              <w:ind w:left="36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1"/>
        </w:trPr>
        <w:tc>
          <w:tcPr>
            <w:tcW w:w="2980" w:type="dxa"/>
            <w:vAlign w:val="bottom"/>
            <w:tcBorders>
              <w:left w:val="single" w:sz="8" w:color="auto"/>
              <w:right w:val="single" w:sz="8" w:color="auto"/>
            </w:tcBorders>
          </w:tcPr>
          <w:p>
            <w:pPr>
              <w:spacing w:after="0"/>
              <w:rPr>
                <w:sz w:val="17"/>
                <w:szCs w:val="17"/>
                <w:color w:val="auto"/>
              </w:rPr>
            </w:pPr>
          </w:p>
        </w:tc>
        <w:tc>
          <w:tcPr>
            <w:tcW w:w="840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B&amp;I represents our largest reportable segment. It encompasses janitorial, facilities engineering, and</w:t>
            </w:r>
          </w:p>
        </w:tc>
        <w:tc>
          <w:tcPr>
            <w:tcW w:w="0" w:type="dxa"/>
            <w:vAlign w:val="bottom"/>
          </w:tcPr>
          <w:p>
            <w:pPr>
              <w:spacing w:after="0"/>
              <w:rPr>
                <w:sz w:val="1"/>
                <w:szCs w:val="1"/>
                <w:color w:val="auto"/>
              </w:rPr>
            </w:pPr>
          </w:p>
        </w:tc>
      </w:tr>
      <w:tr>
        <w:trPr>
          <w:trHeight w:val="203"/>
        </w:trPr>
        <w:tc>
          <w:tcPr>
            <w:tcW w:w="298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Business &amp; Industry (“B&amp;I”)</w:t>
            </w:r>
          </w:p>
        </w:tc>
        <w:tc>
          <w:tcPr>
            <w:tcW w:w="84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parking services to commercial real estate industries, including sports and entertainment venues as well</w:t>
            </w:r>
          </w:p>
        </w:tc>
        <w:tc>
          <w:tcPr>
            <w:tcW w:w="0" w:type="dxa"/>
            <w:vAlign w:val="bottom"/>
          </w:tcPr>
          <w:p>
            <w:pPr>
              <w:spacing w:after="0"/>
              <w:rPr>
                <w:sz w:val="1"/>
                <w:szCs w:val="1"/>
                <w:color w:val="auto"/>
              </w:rPr>
            </w:pPr>
          </w:p>
        </w:tc>
      </w:tr>
      <w:tr>
        <w:trPr>
          <w:trHeight w:val="248"/>
        </w:trPr>
        <w:tc>
          <w:tcPr>
            <w:tcW w:w="2980" w:type="dxa"/>
            <w:vAlign w:val="bottom"/>
            <w:tcBorders>
              <w:left w:val="single" w:sz="8" w:color="auto"/>
              <w:bottom w:val="single" w:sz="8" w:color="auto"/>
              <w:right w:val="single" w:sz="8" w:color="auto"/>
            </w:tcBorders>
          </w:tcPr>
          <w:p>
            <w:pPr>
              <w:spacing w:after="0"/>
              <w:rPr>
                <w:sz w:val="21"/>
                <w:szCs w:val="21"/>
                <w:color w:val="auto"/>
              </w:rPr>
            </w:pPr>
          </w:p>
        </w:tc>
        <w:tc>
          <w:tcPr>
            <w:tcW w:w="8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 industrial and manufacturing sites.</w:t>
            </w:r>
          </w:p>
        </w:tc>
        <w:tc>
          <w:tcPr>
            <w:tcW w:w="0" w:type="dxa"/>
            <w:vAlign w:val="bottom"/>
          </w:tcPr>
          <w:p>
            <w:pPr>
              <w:spacing w:after="0"/>
              <w:rPr>
                <w:sz w:val="1"/>
                <w:szCs w:val="1"/>
                <w:color w:val="auto"/>
              </w:rPr>
            </w:pPr>
          </w:p>
        </w:tc>
      </w:tr>
      <w:tr>
        <w:trPr>
          <w:trHeight w:val="205"/>
        </w:trPr>
        <w:tc>
          <w:tcPr>
            <w:tcW w:w="2980" w:type="dxa"/>
            <w:vAlign w:val="bottom"/>
            <w:tcBorders>
              <w:left w:val="single" w:sz="8" w:color="auto"/>
              <w:right w:val="single" w:sz="8" w:color="auto"/>
            </w:tcBorders>
          </w:tcPr>
          <w:p>
            <w:pPr>
              <w:spacing w:after="0"/>
              <w:rPr>
                <w:sz w:val="17"/>
                <w:szCs w:val="17"/>
                <w:color w:val="auto"/>
              </w:rPr>
            </w:pPr>
          </w:p>
        </w:tc>
        <w:tc>
          <w:tcPr>
            <w:tcW w:w="840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Aviation includes Air Serv (our Other segment) and our services supporting airlines and airports. A wide</w:t>
            </w:r>
          </w:p>
        </w:tc>
        <w:tc>
          <w:tcPr>
            <w:tcW w:w="0" w:type="dxa"/>
            <w:vAlign w:val="bottom"/>
          </w:tcPr>
          <w:p>
            <w:pPr>
              <w:spacing w:after="0"/>
              <w:rPr>
                <w:sz w:val="1"/>
                <w:szCs w:val="1"/>
                <w:color w:val="auto"/>
              </w:rPr>
            </w:pPr>
          </w:p>
        </w:tc>
      </w:tr>
      <w:tr>
        <w:trPr>
          <w:trHeight w:val="203"/>
        </w:trPr>
        <w:tc>
          <w:tcPr>
            <w:tcW w:w="298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Aviation</w:t>
            </w:r>
          </w:p>
        </w:tc>
        <w:tc>
          <w:tcPr>
            <w:tcW w:w="84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array of services that support the needs of our clients are included in this segment, ranging from parking</w:t>
            </w:r>
          </w:p>
        </w:tc>
        <w:tc>
          <w:tcPr>
            <w:tcW w:w="0" w:type="dxa"/>
            <w:vAlign w:val="bottom"/>
          </w:tcPr>
          <w:p>
            <w:pPr>
              <w:spacing w:after="0"/>
              <w:rPr>
                <w:sz w:val="1"/>
                <w:szCs w:val="1"/>
                <w:color w:val="auto"/>
              </w:rPr>
            </w:pPr>
          </w:p>
        </w:tc>
      </w:tr>
      <w:tr>
        <w:trPr>
          <w:trHeight w:val="248"/>
        </w:trPr>
        <w:tc>
          <w:tcPr>
            <w:tcW w:w="2980" w:type="dxa"/>
            <w:vAlign w:val="bottom"/>
            <w:tcBorders>
              <w:left w:val="single" w:sz="8" w:color="auto"/>
              <w:bottom w:val="single" w:sz="8" w:color="auto"/>
              <w:right w:val="single" w:sz="8" w:color="auto"/>
            </w:tcBorders>
          </w:tcPr>
          <w:p>
            <w:pPr>
              <w:spacing w:after="0"/>
              <w:rPr>
                <w:sz w:val="21"/>
                <w:szCs w:val="21"/>
                <w:color w:val="auto"/>
              </w:rPr>
            </w:pPr>
          </w:p>
        </w:tc>
        <w:tc>
          <w:tcPr>
            <w:tcW w:w="8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and janitorial to passenger assistance, air cabin maintenance, and transportation.</w:t>
            </w:r>
          </w:p>
        </w:tc>
        <w:tc>
          <w:tcPr>
            <w:tcW w:w="0" w:type="dxa"/>
            <w:vAlign w:val="bottom"/>
          </w:tcPr>
          <w:p>
            <w:pPr>
              <w:spacing w:after="0"/>
              <w:rPr>
                <w:sz w:val="1"/>
                <w:szCs w:val="1"/>
                <w:color w:val="auto"/>
              </w:rPr>
            </w:pPr>
          </w:p>
        </w:tc>
      </w:tr>
      <w:tr>
        <w:trPr>
          <w:trHeight w:val="205"/>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Emerging Industries Group</w:t>
            </w:r>
          </w:p>
        </w:tc>
        <w:tc>
          <w:tcPr>
            <w:tcW w:w="840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Our Emerging Industries Group encompasses janitorial, facilities engineering, and parking services for</w:t>
            </w:r>
          </w:p>
        </w:tc>
        <w:tc>
          <w:tcPr>
            <w:tcW w:w="0" w:type="dxa"/>
            <w:vAlign w:val="bottom"/>
          </w:tcPr>
          <w:p>
            <w:pPr>
              <w:spacing w:after="0"/>
              <w:rPr>
                <w:sz w:val="1"/>
                <w:szCs w:val="1"/>
                <w:color w:val="auto"/>
              </w:rPr>
            </w:pPr>
          </w:p>
        </w:tc>
      </w:tr>
      <w:tr>
        <w:trPr>
          <w:trHeight w:val="135"/>
        </w:trPr>
        <w:tc>
          <w:tcPr>
            <w:tcW w:w="2980" w:type="dxa"/>
            <w:vAlign w:val="bottom"/>
            <w:tcBorders>
              <w:left w:val="single" w:sz="8" w:color="auto"/>
              <w:right w:val="single" w:sz="8" w:color="auto"/>
            </w:tcBorders>
            <w:vMerge w:val="continue"/>
          </w:tcPr>
          <w:p>
            <w:pPr>
              <w:spacing w:after="0"/>
              <w:rPr>
                <w:sz w:val="11"/>
                <w:szCs w:val="11"/>
                <w:color w:val="auto"/>
              </w:rPr>
            </w:pPr>
          </w:p>
        </w:tc>
        <w:tc>
          <w:tcPr>
            <w:tcW w:w="8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Education, High Tech, and Healthcare industries.</w:t>
            </w:r>
          </w:p>
        </w:tc>
        <w:tc>
          <w:tcPr>
            <w:tcW w:w="0" w:type="dxa"/>
            <w:vAlign w:val="bottom"/>
          </w:tcPr>
          <w:p>
            <w:pPr>
              <w:spacing w:after="0"/>
              <w:rPr>
                <w:sz w:val="1"/>
                <w:szCs w:val="1"/>
                <w:color w:val="auto"/>
              </w:rPr>
            </w:pPr>
          </w:p>
        </w:tc>
      </w:tr>
      <w:tr>
        <w:trPr>
          <w:trHeight w:val="113"/>
        </w:trPr>
        <w:tc>
          <w:tcPr>
            <w:tcW w:w="2980" w:type="dxa"/>
            <w:vAlign w:val="bottom"/>
            <w:tcBorders>
              <w:left w:val="single" w:sz="8" w:color="auto"/>
              <w:bottom w:val="single" w:sz="8" w:color="auto"/>
              <w:right w:val="single" w:sz="8" w:color="auto"/>
            </w:tcBorders>
          </w:tcPr>
          <w:p>
            <w:pPr>
              <w:spacing w:after="0"/>
              <w:rPr>
                <w:sz w:val="9"/>
                <w:szCs w:val="9"/>
                <w:color w:val="auto"/>
              </w:rPr>
            </w:pPr>
          </w:p>
        </w:tc>
        <w:tc>
          <w:tcPr>
            <w:tcW w:w="84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2980" w:type="dxa"/>
            <w:vAlign w:val="bottom"/>
            <w:tcBorders>
              <w:left w:val="single" w:sz="8" w:color="auto"/>
              <w:right w:val="single" w:sz="8" w:color="auto"/>
            </w:tcBorders>
          </w:tcPr>
          <w:p>
            <w:pPr>
              <w:spacing w:after="0"/>
              <w:rPr>
                <w:sz w:val="17"/>
                <w:szCs w:val="17"/>
                <w:color w:val="auto"/>
              </w:rPr>
            </w:pPr>
          </w:p>
        </w:tc>
        <w:tc>
          <w:tcPr>
            <w:tcW w:w="840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Technical Solutions provides specialized mechanical and electrical services. These services can also be</w:t>
            </w:r>
          </w:p>
        </w:tc>
        <w:tc>
          <w:tcPr>
            <w:tcW w:w="0" w:type="dxa"/>
            <w:vAlign w:val="bottom"/>
          </w:tcPr>
          <w:p>
            <w:pPr>
              <w:spacing w:after="0"/>
              <w:rPr>
                <w:sz w:val="1"/>
                <w:szCs w:val="1"/>
                <w:color w:val="auto"/>
              </w:rPr>
            </w:pPr>
          </w:p>
        </w:tc>
      </w:tr>
      <w:tr>
        <w:trPr>
          <w:trHeight w:val="203"/>
        </w:trPr>
        <w:tc>
          <w:tcPr>
            <w:tcW w:w="298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Technical Solutions</w:t>
            </w:r>
          </w:p>
        </w:tc>
        <w:tc>
          <w:tcPr>
            <w:tcW w:w="84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leveraged for cross-selling within B&amp;I, Aviation, and Emerging Industry Groups, both domestically and</w:t>
            </w:r>
          </w:p>
        </w:tc>
        <w:tc>
          <w:tcPr>
            <w:tcW w:w="0" w:type="dxa"/>
            <w:vAlign w:val="bottom"/>
          </w:tcPr>
          <w:p>
            <w:pPr>
              <w:spacing w:after="0"/>
              <w:rPr>
                <w:sz w:val="1"/>
                <w:szCs w:val="1"/>
                <w:color w:val="auto"/>
              </w:rPr>
            </w:pPr>
          </w:p>
        </w:tc>
      </w:tr>
      <w:tr>
        <w:trPr>
          <w:trHeight w:val="248"/>
        </w:trPr>
        <w:tc>
          <w:tcPr>
            <w:tcW w:w="2980" w:type="dxa"/>
            <w:vAlign w:val="bottom"/>
            <w:tcBorders>
              <w:left w:val="single" w:sz="8" w:color="auto"/>
              <w:bottom w:val="single" w:sz="8" w:color="auto"/>
              <w:right w:val="single" w:sz="8" w:color="auto"/>
            </w:tcBorders>
          </w:tcPr>
          <w:p>
            <w:pPr>
              <w:spacing w:after="0"/>
              <w:rPr>
                <w:sz w:val="21"/>
                <w:szCs w:val="21"/>
                <w:color w:val="auto"/>
              </w:rPr>
            </w:pPr>
          </w:p>
        </w:tc>
        <w:tc>
          <w:tcPr>
            <w:tcW w:w="8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internationally (through our U.K.-based acquisition of Westway).</w:t>
            </w:r>
          </w:p>
        </w:tc>
        <w:tc>
          <w:tcPr>
            <w:tcW w:w="0" w:type="dxa"/>
            <w:vAlign w:val="bottom"/>
          </w:tcPr>
          <w:p>
            <w:pPr>
              <w:spacing w:after="0"/>
              <w:rPr>
                <w:sz w:val="1"/>
                <w:szCs w:val="1"/>
                <w:color w:val="auto"/>
              </w:rPr>
            </w:pPr>
          </w:p>
        </w:tc>
      </w:tr>
      <w:tr>
        <w:trPr>
          <w:trHeight w:val="205"/>
        </w:trPr>
        <w:tc>
          <w:tcPr>
            <w:tcW w:w="2980" w:type="dxa"/>
            <w:vAlign w:val="bottom"/>
            <w:tcBorders>
              <w:left w:val="single" w:sz="8" w:color="auto"/>
              <w:right w:val="single" w:sz="8" w:color="auto"/>
            </w:tcBorders>
          </w:tcPr>
          <w:p>
            <w:pPr>
              <w:spacing w:after="0"/>
              <w:rPr>
                <w:sz w:val="17"/>
                <w:szCs w:val="17"/>
                <w:color w:val="auto"/>
              </w:rPr>
            </w:pPr>
          </w:p>
        </w:tc>
        <w:tc>
          <w:tcPr>
            <w:tcW w:w="840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Our held-for-sale Government Services business provides specialty solutions in support of U.S.</w:t>
            </w:r>
          </w:p>
        </w:tc>
        <w:tc>
          <w:tcPr>
            <w:tcW w:w="0" w:type="dxa"/>
            <w:vAlign w:val="bottom"/>
          </w:tcPr>
          <w:p>
            <w:pPr>
              <w:spacing w:after="0"/>
              <w:rPr>
                <w:sz w:val="1"/>
                <w:szCs w:val="1"/>
                <w:color w:val="auto"/>
              </w:rPr>
            </w:pPr>
          </w:p>
        </w:tc>
      </w:tr>
      <w:tr>
        <w:trPr>
          <w:trHeight w:val="203"/>
        </w:trPr>
        <w:tc>
          <w:tcPr>
            <w:tcW w:w="298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Government Services</w:t>
            </w:r>
          </w:p>
        </w:tc>
        <w:tc>
          <w:tcPr>
            <w:tcW w:w="84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government  entities,  such  as:  construction  management;  energy  efficiency  upgrades;  healthcare</w:t>
            </w:r>
          </w:p>
        </w:tc>
        <w:tc>
          <w:tcPr>
            <w:tcW w:w="0" w:type="dxa"/>
            <w:vAlign w:val="bottom"/>
          </w:tcPr>
          <w:p>
            <w:pPr>
              <w:spacing w:after="0"/>
              <w:rPr>
                <w:sz w:val="1"/>
                <w:szCs w:val="1"/>
                <w:color w:val="auto"/>
              </w:rPr>
            </w:pPr>
          </w:p>
        </w:tc>
      </w:tr>
      <w:tr>
        <w:trPr>
          <w:trHeight w:val="248"/>
        </w:trPr>
        <w:tc>
          <w:tcPr>
            <w:tcW w:w="2980" w:type="dxa"/>
            <w:vAlign w:val="bottom"/>
            <w:tcBorders>
              <w:left w:val="single" w:sz="8" w:color="auto"/>
              <w:bottom w:val="single" w:sz="8" w:color="auto"/>
              <w:right w:val="single" w:sz="8" w:color="auto"/>
            </w:tcBorders>
          </w:tcPr>
          <w:p>
            <w:pPr>
              <w:spacing w:after="0"/>
              <w:rPr>
                <w:sz w:val="21"/>
                <w:szCs w:val="21"/>
                <w:color w:val="auto"/>
              </w:rPr>
            </w:pPr>
          </w:p>
        </w:tc>
        <w:tc>
          <w:tcPr>
            <w:tcW w:w="8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support; leadership development; military base operations; and other mission support services.</w:t>
            </w:r>
          </w:p>
        </w:tc>
        <w:tc>
          <w:tcPr>
            <w:tcW w:w="0" w:type="dxa"/>
            <w:vAlign w:val="bottom"/>
          </w:tcPr>
          <w:p>
            <w:pPr>
              <w:spacing w:after="0"/>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Marks, Trademarks, and Trade Names</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hold various service marks, trademarks, and trade names, such as “ABM,” “ABM Building Value,” “ABM Greencare,” “ABM MPower,” “Linc Service,” and “TEGG,” which we deem important to our marketing activities, our business, and, with respect to certain of these, the franchising activities conducted by our Building &amp; Energy Solutions segment.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Dependence on Significant Client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client accounted for more than 10% of our consolidated revenues during 2016, 2015, or 2014.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each aspect of our business is highly competitive and that such competition is based primarily on price, quality of service, and ability to anticipate and respond to industry changes. A majority of our revenue is derived from projects requiring competitive bids; however, an invitation to bid is often conditioned upon prior experience, industry expertise, and financial strength. The low cost of entry in the facility services business results in a very competitive market. We mainly compete with regional and local owner-operated companies that may have more acute vision into local markets and significantly lower labor and overhead costs, providing them with a competitive advantage. We also compete indirectly with companies that can perform for themselves one or more of the services we provide. The competitive environment for each of our businesses is described below. For a discussion of risks associated with competition, see “Risk Factors,” in Item 1A.</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Janitorial</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Our Janitorial business competes with local, regional, and national providers. On a national basis, we compete with the operating divisions of a few large, diversified facility services companies. We also compete indirectly with building owners and tenants who can internally perform one or more of the services we provide. These building owners and tenants have an increased advantage in locations where outsourced services are subject to sales tax. Competitors of our Janitorial business include: Able Building Maintenance; Aramark; Cushman &amp; Wakefield; GCA Services Group, Inc.; Harvard Maintenance; and ISS.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2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Facility Services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Competition related to our Facility Services segment is based on technical expertise, price, and quality of service. Our ability to attract and retain qualified personnel depends on workforce availability and our ability to successfully compete for persons having the necessary skills and experience. On a national basis, we compete with the operating divisions of many large, diversified facility services companies. Competitors of our Facility Services business include: Able Building Maintenance; Aramark; CBRE Group, Inc.; and Cushman &amp; Wakefield.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Parking</w:t>
      </w:r>
    </w:p>
    <w:p>
      <w:pPr>
        <w:spacing w:after="0" w:line="17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Our Parking business competes with local, regional, and national parking management companies. On a national basis, we compete with a small number of parking management companies, including LAZ Parking and SP Plus Corporation. We compete directly with many local and regional parking companies. We also compete indirectly with aviation service companies, hotels, municipalities, and other entities that manage their own parking facilities, potentially eliminating those facilities as management or lease opportunities. We also face significant competition in our efforts to provide ancillary services, such as shuttle transportation services and parking enforcement, because several large companies specialize in these services.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Building &amp; Energy Solutions</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Competition related to our Building &amp; Energy Solutions segment is based on technical expertise, the availability of qualified personnel and managers, service innovation, reputation, past contract performance, industry experience, geographic reach, mobility, price, and quality of service. Our ability to attract and retain qualified personnel depends on workforce availability and our ability to successfully compete for persons having the necessary skills and experience. We compete with the operating divisions of many large, diversified facility services companies. We also compete with smaller, more specialized companies that concentrate their resources on particular geographic areas.</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face intense competition for available U.S. government business. Current trends in the U.S. government contracting process, which include fewer sole source awards, more emphasis on cost competitiveness, and increased set-aside awards for small and/or disadvantaged businesses, have increased competition for U.S. government contracts and increased pricing pressure. The U.S. government’s use of set-aside awards makes it advantageous for us to increase the percentage of business we pursue through strategic joint ventures.</w:t>
      </w:r>
    </w:p>
    <w:p>
      <w:pPr>
        <w:spacing w:after="0" w:line="11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Within our healthcare support services business, we face significant competition from several large, global competitors as well as hospitals and health systems providing “in-house services.”</w:t>
      </w:r>
    </w:p>
    <w:p>
      <w:pPr>
        <w:spacing w:after="0" w:line="91"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Competitors of our Building &amp; Energy Solutions business include: Aramark; Comfort Systems USA, Inc.; Delta Tucker Holdings, Inc.; Emcor Group, Inc.; IAP Worldwide Services, Inc.; J&amp;J Worldwide Services; and Siemens AG.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Competition related to the Air Serv business is based on reputation, expertise, price, and quality of service. We experience competition on a local, regional, national, and international basis with a large and diverse set of aviation services companies. We also compete indirectly with airlines that manage their own aviation services on an “insourced basis,” as that eliminates those operations as opportunities for us. Competitors of our Air Serv business include: Command Security Corporation; G2 Secure Staff, LLC; ISS; John Menzies plc; Mitie Group plc; OCS Group Limited; Prospect Aviation Corporation; SMS Holdings Corp; and Swissport International, LTD.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Our sales and marketing activities include direct interactions with prospective and existing clients, pricing, proposal management, and customer relationship management by dedicated business development teams, operations personnel, and management. These activities are executed by branch and regional teams assigned to our industry groups and are supported by centralized sales support teams, inside sales teams, corporate marketing personnel, and our COE teams with marketing campaigns, lead management, training, sales tools, and proposal systems, all governed by standard operating procedures.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 and Environmental Compliance</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Our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 From time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22" w:right="239" w:bottom="1440" w:gutter="0" w:footer="0" w:header="0"/>
        </w:sectPr>
      </w:pPr>
    </w:p>
    <w:bookmarkStart w:id="9" w:name="page10"/>
    <w:bookmarkEnd w:id="9"/>
    <w:p>
      <w:pPr>
        <w:jc w:val="both"/>
        <w:spacing w:after="0" w:line="271" w:lineRule="auto"/>
        <w:rPr>
          <w:sz w:val="20"/>
          <w:szCs w:val="20"/>
          <w:color w:val="auto"/>
        </w:rPr>
      </w:pPr>
      <w:r>
        <w:rPr>
          <w:rFonts w:ascii="Arial" w:cs="Arial" w:eastAsia="Arial" w:hAnsi="Arial"/>
          <w:sz w:val="18"/>
          <w:szCs w:val="18"/>
          <w:color w:val="auto"/>
        </w:rPr>
        <w:t>to time we are involved in environmental matters at certain of our locations or in connection with our operations. Historically, the cost of complying with environmental laws or resolving environmental issues relating to locations or operations in the United States or abroad has not had a material adverse effect on our financial position, results of operations, or cash flows.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October 31, 2016, we employed approximately 110,000 employees.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We are required to file Annual Reports on Form 10-K, Quarterly Reports on Form 10-Q, Current Reports on Form 8-K, and other information with the Securities and Exchange Commission (“SEC”). The public may read and copy any materials that we file with the SEC at the SEC’s Public Reference Room at 100 F Street, NE, Washington, D.C. 20549. Information on the operation of the Public Reference Room may be obtained by calling the SEC at 1-800-SEC-0330. In addition, the SEC maintains an internet site at www.sec.gov that contains reports, proxy and information statements, and other information regarding issuers that file electronically with the SEC.</w:t>
      </w:r>
    </w:p>
    <w:p>
      <w:pPr>
        <w:spacing w:after="0" w:line="12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Our Annual Reports on Form 10-K, Quarterly Reports on Form 10-Q, Current Reports on Form 8-K, proxy statements, and amendments to those reports filed or furnished pursuant to Section 13(a) or 15(d) of the Securities Exchange Act of 1934 are also available free of charge on our internet site at www.abm.com as soon as reasonably practicable after such reports are electronically filed with or furnished to the SEC. We provide references to our website for your convenience, but our website does not constitute, and should not be viewed as, a part of this Annual Report, and our website is not incorporated into this or any of our other filings with the SEC.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52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Executive Officers of Registrant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on December 21, 2016</w:t>
      </w:r>
    </w:p>
    <w:p>
      <w:pPr>
        <w:sectPr>
          <w:pgSz w:w="11900" w:h="16838" w:orient="portrait"/>
          <w:cols w:equalWidth="0" w:num="1">
            <w:col w:w="11420"/>
          </w:cols>
          <w:pgMar w:left="240" w:top="520" w:right="239" w:bottom="1440" w:gutter="0" w:footer="0" w:header="0"/>
        </w:sectPr>
      </w:pP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Name</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color w:val="auto"/>
        </w:rPr>
        <w:t>Scott Salmirs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Age</w:t>
      </w:r>
      <w:r>
        <w:rPr>
          <w:sz w:val="20"/>
          <w:szCs w:val="20"/>
          <w:color w:val="auto"/>
        </w:rPr>
        <w:tab/>
      </w:r>
      <w:r>
        <w:rPr>
          <w:rFonts w:ascii="Arial" w:cs="Arial" w:eastAsia="Arial" w:hAnsi="Arial"/>
          <w:sz w:val="16"/>
          <w:szCs w:val="16"/>
          <w:b w:val="1"/>
          <w:bCs w:val="1"/>
          <w:color w:val="auto"/>
        </w:rPr>
        <w:t>Principal Occupations and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29845</wp:posOffset>
            </wp:positionV>
            <wp:extent cx="7246620" cy="643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643255"/>
                    </a:xfrm>
                    <a:prstGeom prst="rect">
                      <a:avLst/>
                    </a:prstGeom>
                    <a:noFill/>
                  </pic:spPr>
                </pic:pic>
              </a:graphicData>
            </a:graphic>
          </wp:anchor>
        </w:drawing>
      </w:r>
    </w:p>
    <w:p>
      <w:pPr>
        <w:spacing w:after="0" w:line="50" w:lineRule="exact"/>
        <w:rPr>
          <w:sz w:val="20"/>
          <w:szCs w:val="20"/>
          <w:color w:val="auto"/>
        </w:rPr>
      </w:pPr>
    </w:p>
    <w:p>
      <w:pPr>
        <w:jc w:val="both"/>
        <w:ind w:left="880" w:right="40" w:hanging="795"/>
        <w:spacing w:after="0" w:line="257"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President and Chief Executive Officer of ABM since March 2015; Executive Vice President of ABM from September 2014 to March 2015, with global responsibility for ABM’s aviation division and all international activities; Executive Vice President of ABM’s Onsite Services division focused on the Northeast from 2003 to September 2014; Member of the Board of Directors of ABM since January 2015.</w:t>
      </w:r>
    </w:p>
    <w:p>
      <w:pPr>
        <w:spacing w:after="0" w:line="14" w:lineRule="exact"/>
        <w:rPr>
          <w:sz w:val="20"/>
          <w:szCs w:val="20"/>
          <w:color w:val="auto"/>
        </w:rPr>
      </w:pPr>
    </w:p>
    <w:p>
      <w:pPr>
        <w:sectPr>
          <w:pgSz w:w="11900" w:h="16838" w:orient="portrait"/>
          <w:cols w:equalWidth="0" w:num="2">
            <w:col w:w="2780" w:space="720"/>
            <w:col w:w="7920"/>
          </w:cols>
          <w:pgMar w:left="240" w:top="520" w:right="2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2760" w:type="dxa"/>
            <w:vAlign w:val="bottom"/>
          </w:tcPr>
          <w:p>
            <w:pPr>
              <w:ind w:left="40"/>
              <w:spacing w:after="0"/>
              <w:rPr>
                <w:sz w:val="20"/>
                <w:szCs w:val="20"/>
                <w:color w:val="auto"/>
              </w:rPr>
            </w:pPr>
            <w:r>
              <w:rPr>
                <w:rFonts w:ascii="Arial" w:cs="Arial" w:eastAsia="Arial" w:hAnsi="Arial"/>
                <w:sz w:val="16"/>
                <w:szCs w:val="16"/>
                <w:color w:val="auto"/>
              </w:rPr>
              <w:t>D. Anthony Scaglione</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44</w:t>
            </w:r>
          </w:p>
        </w:tc>
        <w:tc>
          <w:tcPr>
            <w:tcW w:w="7340" w:type="dxa"/>
            <w:vAlign w:val="bottom"/>
          </w:tcPr>
          <w:p>
            <w:pPr>
              <w:ind w:left="300"/>
              <w:spacing w:after="0"/>
              <w:rPr>
                <w:sz w:val="20"/>
                <w:szCs w:val="20"/>
                <w:color w:val="auto"/>
              </w:rPr>
            </w:pPr>
            <w:r>
              <w:rPr>
                <w:rFonts w:ascii="Arial" w:cs="Arial" w:eastAsia="Arial" w:hAnsi="Arial"/>
                <w:sz w:val="16"/>
                <w:szCs w:val="16"/>
                <w:color w:val="auto"/>
              </w:rPr>
              <w:t>Executive Vice President and Chief Financial Officer of ABM since April 2015; Senior Vice</w:t>
            </w:r>
          </w:p>
        </w:tc>
      </w:tr>
      <w:tr>
        <w:trPr>
          <w:trHeight w:val="189"/>
        </w:trPr>
        <w:tc>
          <w:tcPr>
            <w:tcW w:w="2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340" w:type="dxa"/>
            <w:vAlign w:val="bottom"/>
          </w:tcPr>
          <w:p>
            <w:pPr>
              <w:ind w:left="300"/>
              <w:spacing w:after="0"/>
              <w:rPr>
                <w:sz w:val="20"/>
                <w:szCs w:val="20"/>
                <w:color w:val="auto"/>
              </w:rPr>
            </w:pPr>
            <w:r>
              <w:rPr>
                <w:rFonts w:ascii="Arial" w:cs="Arial" w:eastAsia="Arial" w:hAnsi="Arial"/>
                <w:sz w:val="16"/>
                <w:szCs w:val="16"/>
                <w:color w:val="auto"/>
              </w:rPr>
              <w:t>President, Treasurer, and Head of Mergers and Acquisitions of ABM from January 2012 to April</w:t>
            </w:r>
          </w:p>
        </w:tc>
      </w:tr>
      <w:tr>
        <w:trPr>
          <w:trHeight w:val="189"/>
        </w:trPr>
        <w:tc>
          <w:tcPr>
            <w:tcW w:w="2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340" w:type="dxa"/>
            <w:vAlign w:val="bottom"/>
          </w:tcPr>
          <w:p>
            <w:pPr>
              <w:ind w:left="300"/>
              <w:spacing w:after="0"/>
              <w:rPr>
                <w:sz w:val="20"/>
                <w:szCs w:val="20"/>
                <w:color w:val="auto"/>
              </w:rPr>
            </w:pPr>
            <w:r>
              <w:rPr>
                <w:rFonts w:ascii="Arial" w:cs="Arial" w:eastAsia="Arial" w:hAnsi="Arial"/>
                <w:sz w:val="16"/>
                <w:szCs w:val="16"/>
                <w:color w:val="auto"/>
              </w:rPr>
              <w:t>2015; Vice President and Treasurer of ABM from June 2009 to January 2012; Chairman of the</w:t>
            </w:r>
          </w:p>
        </w:tc>
      </w:tr>
      <w:tr>
        <w:trPr>
          <w:trHeight w:val="189"/>
        </w:trPr>
        <w:tc>
          <w:tcPr>
            <w:tcW w:w="2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340" w:type="dxa"/>
            <w:vAlign w:val="bottom"/>
          </w:tcPr>
          <w:p>
            <w:pPr>
              <w:ind w:left="300"/>
              <w:spacing w:after="0"/>
              <w:rPr>
                <w:sz w:val="20"/>
                <w:szCs w:val="20"/>
                <w:color w:val="auto"/>
              </w:rPr>
            </w:pPr>
            <w:r>
              <w:rPr>
                <w:rFonts w:ascii="Arial" w:cs="Arial" w:eastAsia="Arial" w:hAnsi="Arial"/>
                <w:sz w:val="16"/>
                <w:szCs w:val="16"/>
                <w:color w:val="auto"/>
              </w:rPr>
              <w:t>Board  of  the  Association  for  Financial  Professionals  (AFP),  the  professional  society  that</w:t>
            </w:r>
          </w:p>
        </w:tc>
      </w:tr>
      <w:tr>
        <w:trPr>
          <w:trHeight w:val="226"/>
        </w:trPr>
        <w:tc>
          <w:tcPr>
            <w:tcW w:w="27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340" w:type="dxa"/>
            <w:vAlign w:val="bottom"/>
          </w:tcPr>
          <w:p>
            <w:pPr>
              <w:ind w:left="300"/>
              <w:spacing w:after="0"/>
              <w:rPr>
                <w:sz w:val="20"/>
                <w:szCs w:val="20"/>
                <w:color w:val="auto"/>
              </w:rPr>
            </w:pPr>
            <w:r>
              <w:rPr>
                <w:rFonts w:ascii="Arial" w:cs="Arial" w:eastAsia="Arial" w:hAnsi="Arial"/>
                <w:sz w:val="16"/>
                <w:szCs w:val="16"/>
                <w:color w:val="auto"/>
              </w:rPr>
              <w:t>represents finance executives across the globe, from November 2014 to October 2016.</w:t>
            </w:r>
          </w:p>
        </w:tc>
      </w:tr>
      <w:tr>
        <w:trPr>
          <w:trHeight w:val="206"/>
        </w:trPr>
        <w:tc>
          <w:tcPr>
            <w:tcW w:w="2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James P. McClure</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59</w:t>
            </w:r>
          </w:p>
        </w:tc>
        <w:tc>
          <w:tcPr>
            <w:tcW w:w="73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Chief Operating Officer of ABM since February 2016; Executive Vice President of ABM since</w:t>
            </w:r>
          </w:p>
        </w:tc>
      </w:tr>
      <w:tr>
        <w:trPr>
          <w:trHeight w:val="234"/>
        </w:trPr>
        <w:tc>
          <w:tcPr>
            <w:tcW w:w="27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73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September 2002.</w:t>
            </w:r>
          </w:p>
        </w:tc>
      </w:tr>
      <w:tr>
        <w:trPr>
          <w:trHeight w:val="198"/>
        </w:trPr>
        <w:tc>
          <w:tcPr>
            <w:tcW w:w="2760" w:type="dxa"/>
            <w:vAlign w:val="bottom"/>
          </w:tcPr>
          <w:p>
            <w:pPr>
              <w:ind w:left="40"/>
              <w:spacing w:after="0"/>
              <w:rPr>
                <w:sz w:val="20"/>
                <w:szCs w:val="20"/>
                <w:color w:val="auto"/>
              </w:rPr>
            </w:pPr>
            <w:r>
              <w:rPr>
                <w:rFonts w:ascii="Arial" w:cs="Arial" w:eastAsia="Arial" w:hAnsi="Arial"/>
                <w:sz w:val="16"/>
                <w:szCs w:val="16"/>
                <w:color w:val="auto"/>
              </w:rPr>
              <w:t>Sarah Hlavinka McConnell</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52</w:t>
            </w:r>
          </w:p>
        </w:tc>
        <w:tc>
          <w:tcPr>
            <w:tcW w:w="7340" w:type="dxa"/>
            <w:vAlign w:val="bottom"/>
          </w:tcPr>
          <w:p>
            <w:pPr>
              <w:ind w:left="300"/>
              <w:spacing w:after="0"/>
              <w:rPr>
                <w:sz w:val="20"/>
                <w:szCs w:val="20"/>
                <w:color w:val="auto"/>
              </w:rPr>
            </w:pPr>
            <w:r>
              <w:rPr>
                <w:rFonts w:ascii="Arial" w:cs="Arial" w:eastAsia="Arial" w:hAnsi="Arial"/>
                <w:sz w:val="16"/>
                <w:szCs w:val="16"/>
                <w:color w:val="auto"/>
              </w:rPr>
              <w:t>Executive Vice President, General Counsel, and Corporate Secretary of ABM since September</w:t>
            </w:r>
          </w:p>
        </w:tc>
      </w:tr>
      <w:tr>
        <w:trPr>
          <w:trHeight w:val="189"/>
        </w:trPr>
        <w:tc>
          <w:tcPr>
            <w:tcW w:w="2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340" w:type="dxa"/>
            <w:vAlign w:val="bottom"/>
          </w:tcPr>
          <w:p>
            <w:pPr>
              <w:ind w:left="300"/>
              <w:spacing w:after="0"/>
              <w:rPr>
                <w:sz w:val="20"/>
                <w:szCs w:val="20"/>
                <w:color w:val="auto"/>
              </w:rPr>
            </w:pPr>
            <w:r>
              <w:rPr>
                <w:rFonts w:ascii="Arial" w:cs="Arial" w:eastAsia="Arial" w:hAnsi="Arial"/>
                <w:sz w:val="16"/>
                <w:szCs w:val="16"/>
                <w:color w:val="auto"/>
              </w:rPr>
              <w:t>2014; Senior Vice President, General Counsel, and Corporate Secretary of ABM from May 2008</w:t>
            </w:r>
          </w:p>
        </w:tc>
      </w:tr>
      <w:tr>
        <w:trPr>
          <w:trHeight w:val="189"/>
        </w:trPr>
        <w:tc>
          <w:tcPr>
            <w:tcW w:w="2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340" w:type="dxa"/>
            <w:vAlign w:val="bottom"/>
          </w:tcPr>
          <w:p>
            <w:pPr>
              <w:ind w:left="300"/>
              <w:spacing w:after="0"/>
              <w:rPr>
                <w:sz w:val="20"/>
                <w:szCs w:val="20"/>
                <w:color w:val="auto"/>
              </w:rPr>
            </w:pPr>
            <w:r>
              <w:rPr>
                <w:rFonts w:ascii="Arial" w:cs="Arial" w:eastAsia="Arial" w:hAnsi="Arial"/>
                <w:sz w:val="16"/>
                <w:szCs w:val="16"/>
                <w:color w:val="auto"/>
              </w:rPr>
              <w:t>to September 2014; Senior Vice President and Deputy General Counsel of ABM from September</w:t>
            </w:r>
          </w:p>
        </w:tc>
      </w:tr>
      <w:tr>
        <w:trPr>
          <w:trHeight w:val="189"/>
        </w:trPr>
        <w:tc>
          <w:tcPr>
            <w:tcW w:w="2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340" w:type="dxa"/>
            <w:vAlign w:val="bottom"/>
          </w:tcPr>
          <w:p>
            <w:pPr>
              <w:ind w:left="300"/>
              <w:spacing w:after="0"/>
              <w:rPr>
                <w:sz w:val="20"/>
                <w:szCs w:val="20"/>
                <w:color w:val="auto"/>
              </w:rPr>
            </w:pPr>
            <w:r>
              <w:rPr>
                <w:rFonts w:ascii="Arial" w:cs="Arial" w:eastAsia="Arial" w:hAnsi="Arial"/>
                <w:sz w:val="16"/>
                <w:szCs w:val="16"/>
                <w:color w:val="auto"/>
              </w:rPr>
              <w:t>2007 to May 2008; Member of the Board of Directors of Cigna Life Insurance Company of New</w:t>
            </w:r>
          </w:p>
        </w:tc>
      </w:tr>
      <w:tr>
        <w:trPr>
          <w:trHeight w:val="189"/>
        </w:trPr>
        <w:tc>
          <w:tcPr>
            <w:tcW w:w="2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340" w:type="dxa"/>
            <w:vAlign w:val="bottom"/>
          </w:tcPr>
          <w:p>
            <w:pPr>
              <w:ind w:left="300"/>
              <w:spacing w:after="0"/>
              <w:rPr>
                <w:sz w:val="20"/>
                <w:szCs w:val="20"/>
                <w:color w:val="auto"/>
              </w:rPr>
            </w:pPr>
            <w:r>
              <w:rPr>
                <w:rFonts w:ascii="Arial" w:cs="Arial" w:eastAsia="Arial" w:hAnsi="Arial"/>
                <w:sz w:val="16"/>
                <w:szCs w:val="16"/>
                <w:color w:val="auto"/>
              </w:rPr>
              <w:t>York since February 2013. On December 14, 2016, Ms. McConnell informed the Company that</w:t>
            </w:r>
          </w:p>
        </w:tc>
      </w:tr>
      <w:tr>
        <w:trPr>
          <w:trHeight w:val="226"/>
        </w:trPr>
        <w:tc>
          <w:tcPr>
            <w:tcW w:w="27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340" w:type="dxa"/>
            <w:vAlign w:val="bottom"/>
          </w:tcPr>
          <w:p>
            <w:pPr>
              <w:ind w:left="300"/>
              <w:spacing w:after="0"/>
              <w:rPr>
                <w:sz w:val="20"/>
                <w:szCs w:val="20"/>
                <w:color w:val="auto"/>
              </w:rPr>
            </w:pPr>
            <w:r>
              <w:rPr>
                <w:rFonts w:ascii="Arial" w:cs="Arial" w:eastAsia="Arial" w:hAnsi="Arial"/>
                <w:sz w:val="16"/>
                <w:szCs w:val="16"/>
                <w:color w:val="auto"/>
              </w:rPr>
              <w:t>she will resign on January 17, 2017.</w:t>
            </w:r>
          </w:p>
        </w:tc>
      </w:tr>
      <w:tr>
        <w:trPr>
          <w:trHeight w:val="206"/>
        </w:trPr>
        <w:tc>
          <w:tcPr>
            <w:tcW w:w="2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Dean A. Chin</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48</w:t>
            </w:r>
          </w:p>
        </w:tc>
        <w:tc>
          <w:tcPr>
            <w:tcW w:w="73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Senior Vice President, Chief Accounting Officer, and Corporate Controller of ABM since June</w:t>
            </w:r>
          </w:p>
        </w:tc>
      </w:tr>
      <w:tr>
        <w:trPr>
          <w:trHeight w:val="234"/>
        </w:trPr>
        <w:tc>
          <w:tcPr>
            <w:tcW w:w="27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73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2010; Vice President and Assistant Controller of ABM from June 2008 to June 2010.</w:t>
            </w:r>
          </w:p>
        </w:tc>
      </w:tr>
      <w:tr>
        <w:trPr>
          <w:trHeight w:val="198"/>
        </w:trPr>
        <w:tc>
          <w:tcPr>
            <w:tcW w:w="2760" w:type="dxa"/>
            <w:vAlign w:val="bottom"/>
          </w:tcPr>
          <w:p>
            <w:pPr>
              <w:ind w:left="40"/>
              <w:spacing w:after="0"/>
              <w:rPr>
                <w:sz w:val="20"/>
                <w:szCs w:val="20"/>
                <w:color w:val="auto"/>
              </w:rPr>
            </w:pPr>
            <w:r>
              <w:rPr>
                <w:rFonts w:ascii="Arial" w:cs="Arial" w:eastAsia="Arial" w:hAnsi="Arial"/>
                <w:sz w:val="16"/>
                <w:szCs w:val="16"/>
                <w:color w:val="auto"/>
              </w:rPr>
              <w:t>David R. Goodes</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44</w:t>
            </w:r>
          </w:p>
        </w:tc>
        <w:tc>
          <w:tcPr>
            <w:tcW w:w="7340" w:type="dxa"/>
            <w:vAlign w:val="bottom"/>
          </w:tcPr>
          <w:p>
            <w:pPr>
              <w:ind w:left="300"/>
              <w:spacing w:after="0"/>
              <w:rPr>
                <w:sz w:val="20"/>
                <w:szCs w:val="20"/>
                <w:color w:val="auto"/>
              </w:rPr>
            </w:pPr>
            <w:r>
              <w:rPr>
                <w:rFonts w:ascii="Arial" w:cs="Arial" w:eastAsia="Arial" w:hAnsi="Arial"/>
                <w:sz w:val="16"/>
                <w:szCs w:val="16"/>
                <w:color w:val="auto"/>
              </w:rPr>
              <w:t>Senior Vice President and Chief Human Resources Officer of ABM since January 2016;</w:t>
            </w:r>
          </w:p>
        </w:tc>
      </w:tr>
      <w:tr>
        <w:trPr>
          <w:trHeight w:val="189"/>
        </w:trPr>
        <w:tc>
          <w:tcPr>
            <w:tcW w:w="2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340" w:type="dxa"/>
            <w:vAlign w:val="bottom"/>
          </w:tcPr>
          <w:p>
            <w:pPr>
              <w:ind w:left="300"/>
              <w:spacing w:after="0"/>
              <w:rPr>
                <w:sz w:val="20"/>
                <w:szCs w:val="20"/>
                <w:color w:val="auto"/>
              </w:rPr>
            </w:pPr>
            <w:r>
              <w:rPr>
                <w:rFonts w:ascii="Arial" w:cs="Arial" w:eastAsia="Arial" w:hAnsi="Arial"/>
                <w:sz w:val="16"/>
                <w:szCs w:val="16"/>
                <w:color w:val="auto"/>
              </w:rPr>
              <w:t>Executive Vice President Human Resources of Hess Retail Corporation during 2014; Vice</w:t>
            </w:r>
          </w:p>
        </w:tc>
      </w:tr>
      <w:tr>
        <w:trPr>
          <w:trHeight w:val="189"/>
        </w:trPr>
        <w:tc>
          <w:tcPr>
            <w:tcW w:w="2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340" w:type="dxa"/>
            <w:vAlign w:val="bottom"/>
          </w:tcPr>
          <w:p>
            <w:pPr>
              <w:ind w:left="300"/>
              <w:spacing w:after="0"/>
              <w:rPr>
                <w:sz w:val="20"/>
                <w:szCs w:val="20"/>
                <w:color w:val="auto"/>
              </w:rPr>
            </w:pPr>
            <w:r>
              <w:rPr>
                <w:rFonts w:ascii="Arial" w:cs="Arial" w:eastAsia="Arial" w:hAnsi="Arial"/>
                <w:sz w:val="16"/>
                <w:szCs w:val="16"/>
                <w:color w:val="auto"/>
              </w:rPr>
              <w:t>President, Human Resources, Marketing &amp; Refining of Hess Corporation from March 2011 to</w:t>
            </w:r>
          </w:p>
        </w:tc>
      </w:tr>
      <w:tr>
        <w:trPr>
          <w:trHeight w:val="189"/>
        </w:trPr>
        <w:tc>
          <w:tcPr>
            <w:tcW w:w="2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340" w:type="dxa"/>
            <w:vAlign w:val="bottom"/>
          </w:tcPr>
          <w:p>
            <w:pPr>
              <w:ind w:left="300"/>
              <w:spacing w:after="0"/>
              <w:rPr>
                <w:sz w:val="20"/>
                <w:szCs w:val="20"/>
                <w:color w:val="auto"/>
              </w:rPr>
            </w:pPr>
            <w:r>
              <w:rPr>
                <w:rFonts w:ascii="Arial" w:cs="Arial" w:eastAsia="Arial" w:hAnsi="Arial"/>
                <w:sz w:val="16"/>
                <w:szCs w:val="16"/>
                <w:color w:val="auto"/>
              </w:rPr>
              <w:t>December 2013; Director, Human Resources of Hess Corporation from October 2005 to March</w:t>
            </w:r>
          </w:p>
        </w:tc>
      </w:tr>
      <w:tr>
        <w:trPr>
          <w:trHeight w:val="226"/>
        </w:trPr>
        <w:tc>
          <w:tcPr>
            <w:tcW w:w="27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340" w:type="dxa"/>
            <w:vAlign w:val="bottom"/>
          </w:tcPr>
          <w:p>
            <w:pPr>
              <w:ind w:left="300"/>
              <w:spacing w:after="0"/>
              <w:rPr>
                <w:sz w:val="20"/>
                <w:szCs w:val="20"/>
                <w:color w:val="auto"/>
              </w:rPr>
            </w:pPr>
            <w:r>
              <w:rPr>
                <w:rFonts w:ascii="Arial" w:cs="Arial" w:eastAsia="Arial" w:hAnsi="Arial"/>
                <w:sz w:val="16"/>
                <w:szCs w:val="16"/>
                <w:color w:val="auto"/>
              </w:rPr>
              <w:t>2011.</w:t>
            </w:r>
          </w:p>
        </w:tc>
      </w:tr>
      <w:tr>
        <w:trPr>
          <w:trHeight w:val="258"/>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Scott Giacobbe</w:t>
            </w:r>
          </w:p>
        </w:tc>
        <w:tc>
          <w:tcPr>
            <w:tcW w:w="13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54</w:t>
            </w:r>
          </w:p>
        </w:tc>
        <w:tc>
          <w:tcPr>
            <w:tcW w:w="73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President of ABM’s U.S. Technical Solutions since November 2010.</w:t>
            </w:r>
          </w:p>
        </w:tc>
      </w:tr>
      <w:tr>
        <w:trPr>
          <w:trHeight w:val="198"/>
        </w:trPr>
        <w:tc>
          <w:tcPr>
            <w:tcW w:w="2760" w:type="dxa"/>
            <w:vAlign w:val="bottom"/>
          </w:tcPr>
          <w:p>
            <w:pPr>
              <w:ind w:left="40"/>
              <w:spacing w:after="0"/>
              <w:rPr>
                <w:sz w:val="20"/>
                <w:szCs w:val="20"/>
                <w:color w:val="auto"/>
              </w:rPr>
            </w:pPr>
            <w:r>
              <w:rPr>
                <w:rFonts w:ascii="Arial" w:cs="Arial" w:eastAsia="Arial" w:hAnsi="Arial"/>
                <w:sz w:val="16"/>
                <w:szCs w:val="16"/>
                <w:color w:val="auto"/>
              </w:rPr>
              <w:t>Rene Jacobsen</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55</w:t>
            </w:r>
          </w:p>
        </w:tc>
        <w:tc>
          <w:tcPr>
            <w:tcW w:w="7340" w:type="dxa"/>
            <w:vAlign w:val="bottom"/>
          </w:tcPr>
          <w:p>
            <w:pPr>
              <w:ind w:left="300"/>
              <w:spacing w:after="0"/>
              <w:rPr>
                <w:sz w:val="20"/>
                <w:szCs w:val="20"/>
                <w:color w:val="auto"/>
              </w:rPr>
            </w:pPr>
            <w:r>
              <w:rPr>
                <w:rFonts w:ascii="Arial" w:cs="Arial" w:eastAsia="Arial" w:hAnsi="Arial"/>
                <w:sz w:val="16"/>
                <w:szCs w:val="16"/>
                <w:color w:val="auto"/>
              </w:rPr>
              <w:t>President of ABM’s Business &amp; Industry Group since February 2016; Executive Vice President of</w:t>
            </w:r>
          </w:p>
        </w:tc>
      </w:tr>
      <w:tr>
        <w:trPr>
          <w:trHeight w:val="189"/>
        </w:trPr>
        <w:tc>
          <w:tcPr>
            <w:tcW w:w="2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340" w:type="dxa"/>
            <w:vAlign w:val="bottom"/>
          </w:tcPr>
          <w:p>
            <w:pPr>
              <w:ind w:left="300"/>
              <w:spacing w:after="0"/>
              <w:rPr>
                <w:sz w:val="20"/>
                <w:szCs w:val="20"/>
                <w:color w:val="auto"/>
              </w:rPr>
            </w:pPr>
            <w:r>
              <w:rPr>
                <w:rFonts w:ascii="Arial" w:cs="Arial" w:eastAsia="Arial" w:hAnsi="Arial"/>
                <w:sz w:val="16"/>
                <w:szCs w:val="16"/>
                <w:color w:val="auto"/>
              </w:rPr>
              <w:t>ABM’s West Region from April 2012 to February 2016; Executive Vice President and Chief</w:t>
            </w:r>
          </w:p>
        </w:tc>
      </w:tr>
      <w:tr>
        <w:trPr>
          <w:trHeight w:val="226"/>
        </w:trPr>
        <w:tc>
          <w:tcPr>
            <w:tcW w:w="27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340" w:type="dxa"/>
            <w:vAlign w:val="bottom"/>
          </w:tcPr>
          <w:p>
            <w:pPr>
              <w:ind w:left="300"/>
              <w:spacing w:after="0"/>
              <w:rPr>
                <w:sz w:val="20"/>
                <w:szCs w:val="20"/>
                <w:color w:val="auto"/>
              </w:rPr>
            </w:pPr>
            <w:r>
              <w:rPr>
                <w:rFonts w:ascii="Arial" w:cs="Arial" w:eastAsia="Arial" w:hAnsi="Arial"/>
                <w:sz w:val="16"/>
                <w:szCs w:val="16"/>
                <w:color w:val="auto"/>
              </w:rPr>
              <w:t>Operating Officer of Temco Service Industries from November 2007 to April 2012.</w:t>
            </w:r>
          </w:p>
        </w:tc>
      </w:tr>
      <w:tr>
        <w:trPr>
          <w:trHeight w:val="206"/>
        </w:trPr>
        <w:tc>
          <w:tcPr>
            <w:tcW w:w="2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Thomas J. Marano</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66</w:t>
            </w:r>
          </w:p>
        </w:tc>
        <w:tc>
          <w:tcPr>
            <w:tcW w:w="73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President of ABM’s Aviation Group since February 2016; Executive Vice President and President</w:t>
            </w:r>
          </w:p>
        </w:tc>
      </w:tr>
      <w:tr>
        <w:trPr>
          <w:trHeight w:val="189"/>
        </w:trPr>
        <w:tc>
          <w:tcPr>
            <w:tcW w:w="27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73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of ABM’s acquired Air Serv business from November 2012 to February 2016; Chief Executive</w:t>
            </w:r>
          </w:p>
        </w:tc>
      </w:tr>
      <w:tr>
        <w:trPr>
          <w:trHeight w:val="234"/>
        </w:trPr>
        <w:tc>
          <w:tcPr>
            <w:tcW w:w="27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73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Officer of Air Serv Corporation from January 2006 to November 2012.</w:t>
            </w:r>
          </w:p>
        </w:tc>
      </w:tr>
      <w:tr>
        <w:trPr>
          <w:trHeight w:val="459"/>
        </w:trPr>
        <w:tc>
          <w:tcPr>
            <w:tcW w:w="2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3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420"/>
          </w:cols>
          <w:pgMar w:left="240" w:top="520"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1A. 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 xml:space="preserve">Changes to our businesses, operating structure, financial reporting structure, or personnel relating to the implementation of our </w:t>
      </w:r>
      <w:r>
        <w:rPr>
          <w:rFonts w:ascii="Arial" w:cs="Arial" w:eastAsia="Arial" w:hAnsi="Arial"/>
          <w:sz w:val="18"/>
          <w:szCs w:val="18"/>
          <w:b w:val="1"/>
          <w:bCs w:val="1"/>
          <w:i w:val="1"/>
          <w:iCs w:val="1"/>
          <w:color w:val="FF9900"/>
        </w:rPr>
        <w:t xml:space="preserve">2020 </w:t>
      </w:r>
      <w:r>
        <w:rPr>
          <w:rFonts w:ascii="Arial" w:cs="Arial" w:eastAsia="Arial" w:hAnsi="Arial"/>
          <w:sz w:val="18"/>
          <w:szCs w:val="18"/>
          <w:b w:val="1"/>
          <w:bCs w:val="1"/>
          <w:i w:val="1"/>
          <w:iCs w:val="1"/>
          <w:color w:val="0070C0"/>
        </w:rPr>
        <w:t>Vision</w:t>
      </w:r>
      <w:r>
        <w:rPr>
          <w:rFonts w:ascii="Arial" w:cs="Arial" w:eastAsia="Arial" w:hAnsi="Arial"/>
          <w:sz w:val="18"/>
          <w:szCs w:val="18"/>
          <w:b w:val="1"/>
          <w:bCs w:val="1"/>
          <w:i w:val="1"/>
          <w:iCs w:val="1"/>
          <w:color w:val="FF9900"/>
        </w:rPr>
        <w:t xml:space="preserve"> </w:t>
      </w:r>
      <w:r>
        <w:rPr>
          <w:rFonts w:ascii="Arial" w:cs="Arial" w:eastAsia="Arial" w:hAnsi="Arial"/>
          <w:sz w:val="18"/>
          <w:szCs w:val="18"/>
          <w:b w:val="1"/>
          <w:bCs w:val="1"/>
          <w:i w:val="1"/>
          <w:iCs w:val="1"/>
          <w:color w:val="000000"/>
        </w:rPr>
        <w:t>strategic transformation initiative, including our move to a shared services center, may not have the desired effects on</w:t>
      </w:r>
      <w:r>
        <w:rPr>
          <w:rFonts w:ascii="Arial" w:cs="Arial" w:eastAsia="Arial" w:hAnsi="Arial"/>
          <w:sz w:val="18"/>
          <w:szCs w:val="18"/>
          <w:b w:val="1"/>
          <w:bCs w:val="1"/>
          <w:i w:val="1"/>
          <w:iCs w:val="1"/>
          <w:color w:val="FF9900"/>
        </w:rPr>
        <w:t xml:space="preserve"> </w:t>
      </w:r>
      <w:r>
        <w:rPr>
          <w:rFonts w:ascii="Arial" w:cs="Arial" w:eastAsia="Arial" w:hAnsi="Arial"/>
          <w:sz w:val="18"/>
          <w:szCs w:val="18"/>
          <w:b w:val="1"/>
          <w:bCs w:val="1"/>
          <w:i w:val="1"/>
          <w:iCs w:val="1"/>
          <w:color w:val="000000"/>
        </w:rPr>
        <w:t>our financial condition and results of operations.</w:t>
      </w:r>
    </w:p>
    <w:p>
      <w:pPr>
        <w:spacing w:after="0" w:line="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fourth quarter of 2015, we announced our transformation initiative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w:t>
      </w:r>
      <w:r>
        <w:rPr>
          <w:rFonts w:ascii="Times New Roman" w:cs="Times New Roman" w:eastAsia="Times New Roman" w:hAnsi="Times New Roman"/>
          <w:sz w:val="18"/>
          <w:szCs w:val="18"/>
          <w:i w:val="1"/>
          <w:iCs w:val="1"/>
          <w:color w:val="auto"/>
        </w:rPr>
        <w:t>,</w:t>
      </w:r>
      <w:r>
        <w:rPr>
          <w:rFonts w:ascii="Arial" w:cs="Arial" w:eastAsia="Arial" w:hAnsi="Arial"/>
          <w:sz w:val="18"/>
          <w:szCs w:val="18"/>
          <w:color w:val="auto"/>
        </w:rPr>
        <w:t xml:space="preserve"> which is intended to differentiate ABM in the marketplace, accelerate revenue growth for certain industry groups, and improve our margin profile. We may not be able to execute on this strategy as a result of numerous factors, such as client resistance to an integrated approach, inability to deliver requested end-to-end services, and difficulty penetrating certain markets. Even if we are able to execute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we may not realize the full benefits that we currently expect within the anticipated time frame or at all. For example, although we may be able to leverage scale to manage costs more efficiently and effectively, the realignment of our business operations may not provide us with the anticipated competitive advantage or revenue growth. Moreover, the execution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may result in substantial expenses in excess of what is currently forecast. While we anticipate that certain expenses will be incurred, such expenses are difficult to estimate accurately and may exceed current estimates. Accordingly, the benefits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may be offset by costs or delays incurred in its execution. In addition,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may cause substantial disruption to our operations and may not have the anticipated positive effects on our relationships with our employees, clients, and suppliers.</w:t>
      </w:r>
    </w:p>
    <w:p>
      <w:pPr>
        <w:spacing w:after="0" w:line="1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migration of many of our financial reporting and processes to our shared services center may not create the operational efficiencies that we expect. In addition, the move to a shared services environment may create risks relating to the processing of transactions and recording of financial information. During the transition period, we could experience a lapse in the operation of internal controls due to turnover, lack of legacy knowledge, and inappropriate training, which could result in significant deficiencies or material weaknesses.</w:t>
      </w:r>
    </w:p>
    <w:p>
      <w:pPr>
        <w:spacing w:after="0" w:line="1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We announced that we intend to sell our Government Services business in 2017. However, we cannot provide assurances about the timing of the sale or that such sale will ultimately occur. Any potential sale transaction is dependent upon a number of factors that may be beyond our control, including market conditions, industry trends, the interest of third parties in our Government Services business, board of directors approval, and the availability of financing to potential buyers. In addition, the costs that we may incur in connection with the planned sale may not be recovered if a sale is not consummated upon anticipated terms.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difficulties identifying, acquiring, and integrating businesses.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past, a significant portion of our growth has been generated by acquisitions, and we expect to continue to acquire businesses in the future as part of our growth strategy. If there is a slowdown in the pace or size of our acquisitions, we could experience a slower growth rate. In addition, there is no assurance that anticipated synergistic benefits will be achieved. The areas in which we may face risks in connection with any potential acquisition of a business include, but are not limited to:</w:t>
      </w:r>
    </w:p>
    <w:p>
      <w:pPr>
        <w:spacing w:after="0" w:line="11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time and focus may be diverted from operating our business to acquisition integration;</w:t>
      </w:r>
    </w:p>
    <w:p>
      <w:pPr>
        <w:spacing w:after="0" w:line="171"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clients or key employees of an acquired business may not remain, which could negatively impact our ability to grow that acquired business;</w:t>
      </w:r>
    </w:p>
    <w:p>
      <w:pPr>
        <w:spacing w:after="0" w:line="90"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integration of the acquired business’s accounting, information technology, human resources, and other administrative systems may fail to permit effective management and expense reduction;</w:t>
      </w:r>
    </w:p>
    <w:p>
      <w:pPr>
        <w:spacing w:after="0" w:line="90" w:lineRule="exact"/>
        <w:rPr>
          <w:rFonts w:ascii="Arial" w:cs="Arial" w:eastAsia="Arial" w:hAnsi="Arial"/>
          <w:sz w:val="18"/>
          <w:szCs w:val="18"/>
          <w:color w:val="auto"/>
        </w:rPr>
      </w:pPr>
    </w:p>
    <w:p>
      <w:pPr>
        <w:ind w:left="660" w:right="20" w:hanging="328"/>
        <w:spacing w:after="0" w:line="29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implementing internal controls, procedures, and policies appropriate for a public company may fail in an acquired business that lacks some of these controls, procedures, and policies;</w:t>
      </w:r>
    </w:p>
    <w:p>
      <w:pPr>
        <w:spacing w:after="0" w:line="90"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additional indebtedness incurred as a result of an acquisition may impact our financial position, results of operations, and cash flows;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or unknown liabilities may arise relating to the acquired business.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520" w:right="239" w:bottom="1440" w:gutter="0" w:footer="0" w:header="0"/>
        </w:sectPr>
      </w:pPr>
    </w:p>
    <w:bookmarkStart w:id="12" w:name="page13"/>
    <w:bookmarkEnd w:id="12"/>
    <w:p>
      <w:pPr>
        <w:jc w:val="both"/>
        <w:spacing w:after="0" w:line="301" w:lineRule="auto"/>
        <w:rPr>
          <w:sz w:val="20"/>
          <w:szCs w:val="20"/>
          <w:color w:val="auto"/>
        </w:rPr>
      </w:pPr>
      <w:r>
        <w:rPr>
          <w:rFonts w:ascii="Arial" w:cs="Arial" w:eastAsia="Arial" w:hAnsi="Arial"/>
          <w:sz w:val="18"/>
          <w:szCs w:val="18"/>
          <w:b w:val="1"/>
          <w:bCs w:val="1"/>
          <w:i w:val="1"/>
          <w:iCs w:val="1"/>
          <w:color w:val="auto"/>
        </w:rPr>
        <w:t>We have high deductibles for certain insurable risks, and therefore we are subject to volatility associated with those risks, including the possibility that changes in estimates of ultimate insurance losses could result in a material charge against our earnings.</w:t>
      </w:r>
    </w:p>
    <w:p>
      <w:pPr>
        <w:spacing w:after="0" w:line="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automobile liability, property damage, and other insurable risks. We are responsible for claims both within and in excess of our retained limits under our insurance policies, and while we endeavor to purchase insurance coverage that is appropriate to our assessment of risk, we are unable to predict with certainty the frequency, nature, or magnitude of claims for direct or consequential damages. If our insurance coverage proves to be inadequate or unavailable, our business may be negatively impacted.</w:t>
      </w:r>
    </w:p>
    <w:p>
      <w:pPr>
        <w:spacing w:after="0" w:line="1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Should we be unable to renew our excess, umbrella, or other commercial insurance policies at competitive rates, it could have a material adverse impact on our business, as would the incurrence of catastrophic uninsured claims or the inability or refusal of our insurance carriers to pay otherwise insured claims. Further, to the extent that we self-insure our losses, deterioration in our loss control and/or continuing claim management efforts could increase the overall cost of claims within our retained limits. A material change in our insurance costs due to changes in the frequency of claims, the severity of the claims, the costs of excess/umbrella premiums, or regulatory changes could have a material adverse effect on our financial position, results of operations, or cash flows.</w:t>
      </w:r>
    </w:p>
    <w:p>
      <w:pPr>
        <w:spacing w:after="0" w:line="12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The determination of required insurance reserves is dependent upon significant actuarial judgments. We use the results of actuarial studies to estimate insurance rates and insurance reserves for future periods and to adjust reserves, if appropriate, for prior years. Actual experience related to our insurance reserves can cause us to change our estimates for reserves and any such changes may materially impact results, causing significant volatility in our operating results. We have experienced material negative trends and may continue to experience these and other material negative trends in future periods.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risk management and safety programs may not have the intended effect of allowing us to reduce our insurance costs for casualty programs.</w:t>
      </w:r>
    </w:p>
    <w:p>
      <w:pPr>
        <w:spacing w:after="0" w:line="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attempt to mitigate the aforementioned risk that our insurance coverage may be inadequate or unavailable through the implementation of company-wide safety and loss control efforts designed to decrease the incidence of accidents or events that might increase our liability. Our claims data in 2016 is showing improvement, however this trend data is not yet fully mature and claims and severity data are subject to significant volatility and may not mitigate these risks.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success depends on our ability to attract and retain qualified personnel and senior management.</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future performance depends on the continuing services and contributions of our senior management to execute on our organic growth and acquisition strategy and to identify and pursue new opportunities. Our future success also depends, in large degree, on our continued ability to attract and retain qualified personnel. Any unplanned turnover in senior management or inability to attract and retain qualified personnel could have a negative effect on our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success depends on our ability to preserve long-term client relationships.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primarily provide services pursuant to agreements that are cancelable by either party upon 30 to 90 days’ notice. As we generally incur higher initial costs on new contracts until the labor management and facilities operations normalize, our business associated with long-term client relationships is generally more profitable than short-term client relationships. If we lose a significant number of long-term clients, our profitability could be negatively impacted, even if we gain equivalent revenues from new clients.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Losses or other incidents at facilities in which we operate could cause significant damage to our reputation and financial loss.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depend to a large extent on our relationships with our clients and our reputation for quality integrated facility solutions. As such, adverse publicity stemming from an accident or other incident involving our facility operations or food and nutrition services related to injury, illness, or death could harm our reputation and expose us to significant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522"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Our success depends on our ability to continue to gain profitable business despite competitive pressures.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that each aspect of our business is highly competitive and that such competition is based primarily on price, quality of service, and ability to anticipate and respond to industry changes. A majority of our revenue is derived from projects requiring competitive bids; however, an invitation to bid is often conditioned upon prior experience, industry expertise, and financial strength. The low cost of entry in the facility services business results in a very competitive market. We mainly compete with regional and local owner-operated companies that may have more acute vision into local markets and significantly lower labor and overhead costs, providing them with a competitive advantage. We also compete indirectly with companies that can perform for themselves one or more of the services we provide. Our parking business could be negatively impacted by the construction of new parking facilities near our existing facilities. In addition, we could experience reduced parking revenues related to market displacement by ride sharing companies. Further, if we are unable to respond adequately to changing technology, we may lose existing clients and fail to win future business opportunities. These strong competitive pressures could inhibit our success in bidding for profitable business and our ability to increase prices as costs rise, thereby reducing margins.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that we cannot pass through to clients could affect our profitability.</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Many of our contracts provide that our clients pay certain costs at specified rates, such as insurance, healthcare costs, salary and salary-related expenses, petroleum, and other costs. We may experience higher operating costs related to changes in federal, state, or local laws and regulations regarding the classification of employees and/or their eligibility for overtime. If actual costs exceed the rates specified in the contracts, our profitability may be negatively impacted unless we can negotiate price increases with the client.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negatively impacted by adverse weather conditions.</w:t>
      </w:r>
    </w:p>
    <w:p>
      <w:pPr>
        <w:spacing w:after="0" w:line="17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Weather conditions, such as snow storms, heavy flooding, hurricanes, and other fluctuations in temperatures, can negatively impact portions of our business. Within our Building &amp; Energy Solutions segment, cooler than normal temperatures in the summer could reduce the need for servicing of air conditioning units, resulting in reduced revenues and profitability. Within the Parking and Other segments, snow can lead to reduced travel activity, as well as increases in certain costs, both of which negatively affect gross profit. On the other hand, the absence of snow during the winter could cause us to experience reduced revenues in our Janitorial segment as many of our contracts specify additional payments for snow-related services.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or unexpected tax consequences could adversely affect our results of operations.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Adverse changes in the underlying profitability and financial outlook of our operations or changes in tax law could lead to changes in our valuation allowances against deferred tax assets on our consolidated balance sheets, which could materially affect our results of operations. In addition, we are also subject to tax audits by governmental authorities in the United States and United Kingdom. If we experience unfavorable results from one or more such tax audits, there could be an adverse effect on our tax rate and therefore our net income.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achieve the expected benefits from our captive insurance company.</w:t>
      </w:r>
    </w:p>
    <w:p>
      <w:pPr>
        <w:spacing w:after="0" w:line="17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In 2015, we formed IFM Assurance Company (“IFM”), a wholly-owned captive insurance company. IFM is part of our enterprise-wide, multi-year insurance strategy that is intended to better position our risk and safety programs and provide us with increased flexibility in the end-to-end management of our insurance programs as well as contribute to efficiencies relating to our insurance programs over time. There can be no assurance that IFM will bring about the intended benefits relating to our risk and safety programs or that it will provide us with increased flexibility in the management of our insurance programs, because we may experience unanticipated events that will reduce or eliminate expected benefits. In addition, expected cash tax savings related to coverage provided by IFM may not be as much as anticipated.</w:t>
      </w:r>
    </w:p>
    <w:p>
      <w:pPr>
        <w:spacing w:after="0" w:line="124"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Changes in energy prices and government regulations could adversely impact the results of operations of our Building &amp; Energy Solutions business.</w:t>
      </w:r>
    </w:p>
    <w:p>
      <w:pPr>
        <w:spacing w:after="0" w:line="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Energy efficiency projects are designed to reduce a client’s overall consumption of commodities such as electricity and natural gas. As such, downward fluctuations in commodity prices may reduce clients’ demand for our services. We also depend, in part, on federal and state legislation and policies that support energy efficiency projects. If current legislation or policies are amended, eliminated, or not extended beyond their current expiration dates, or if funding for energy incentives is reduced or delayed, it could also adversely affect our ability to obtain new business. In some instances, we offer certain of these clients guaranteed energy savings on installed equipment. In the event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522" w:right="239" w:bottom="1440" w:gutter="0" w:footer="0" w:header="0"/>
        </w:sectPr>
      </w:pPr>
    </w:p>
    <w:bookmarkStart w:id="14" w:name="page15"/>
    <w:bookmarkEnd w:id="14"/>
    <w:p>
      <w:pPr>
        <w:jc w:val="both"/>
        <w:ind w:right="20"/>
        <w:spacing w:after="0" w:line="292" w:lineRule="auto"/>
        <w:rPr>
          <w:sz w:val="20"/>
          <w:szCs w:val="20"/>
          <w:color w:val="auto"/>
        </w:rPr>
      </w:pPr>
      <w:r>
        <w:rPr>
          <w:rFonts w:ascii="Arial" w:cs="Arial" w:eastAsia="Arial" w:hAnsi="Arial"/>
          <w:sz w:val="18"/>
          <w:szCs w:val="18"/>
          <w:color w:val="auto"/>
        </w:rPr>
        <w:t>those guaranteed savings are not achieved, we may be required to pay liquidated or other damages. All of these factors could have an adverse effect on our financial position, results of operations, and cash flows.</w:t>
      </w:r>
    </w:p>
    <w:p>
      <w:pPr>
        <w:spacing w:after="0" w:line="91"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Significant delays or reductions in appropriations for our government contracts may negatively affect our business and could have an adverse effect on our financial position, results of operations, and cash flows.</w:t>
      </w:r>
    </w:p>
    <w:p>
      <w:pPr>
        <w:spacing w:after="0" w:line="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funding of U.S. government programs is subject to annual congressional budget authorization and appropriation processes. In many situations, Congress appropriates funds on a fiscal year basis even though the contract performance period may extend over several fiscal years. Accordingly, programs are often partially funded and additional funds are committed only as Congress makes further appropriations. If we incur costs in excess of funds committed on a contract, we may not receive reimbursement of those costs unless additional funds are appropriated. In the event that government funding for any of the programs relating to our U.S. government contracts is reduced or delayed, the U.S. government could terminate or adjust our contracts or subcontracts under such program, which could have an adverse effect on our financial position, results of operations, and cash flows.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do business may be affected by the failure of our joint venture partners to perform their obligations.</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success of our joint ventures depends, in large degree, on the satisfactory performance by our joint venture partners of their obligations, including any obligation to commit capital, equity, or credit support as required by the joint venture agreements. If a joint venture partner fails to perform its obligations as a result of financial or other difficulties or any other reason, the joint venture may be unable to perform or deliver its contracted services. In addition, we also participate in joint ventures where we are not a controlling party, and in these cases, we may have limited control over the joint venture. Any improper actions by our joint venture employees, partners, or agents, including, but not limited to, failure to comply with the U.S. Foreign Corrupt Practice Act or the U.K. Bribery Act, could result in civil or criminal investigations, monetary and non-monetary penalties, or suspension or debarment from government contracts, any of which could have an adverse effect on our financial position, results of operations, or cash flows as well as our reputation and ability to conduct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cyber-security risks, information technology interruptions, and business continuity risks.</w:t>
      </w:r>
    </w:p>
    <w:p>
      <w:pPr>
        <w:spacing w:after="0" w:line="17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Our information technology systems and those of our third-party providers could become subject to cyber attacks, hacking, or other intrusions, which could result in operational disruptions or information misappropriation, such as theft of intellectual property or inappropriate disclosure of confidential information. In addition, to the extent centralized administrative locations are disabled for a long period of time, key business processes, such as accounts payable, information technology, payroll, and general management operations, could be interrupted. Any such operational disruptions and/or misappropriation of information could result in lost sales, negative publicity, or business delays that could have a material adverse effect on our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in areas of military conflict expose us to additional risks.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Although substantially all of our operations are conducted in the United States, some of our international services are conducted in areas of military conflict or at military installations, which increases the risk of a situation causing injury or loss of life to our employees, subcontractors, or other third parties. In addition to the human costs, this could have an adverse effect on our financial position, results of operations, or cash flows and our ability to conduct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522"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Risks Related to Market and Economic Conditions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reductions in commercial office building occupancy could affect our revenues and profitability.</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In certain geographic areas and service lines, our most profitable revenues are related to services performed for tenants in buildings where we perform building services for the property owner or management company (“tag work”). A decline in occupancy rates could result in a decline in scope of work, including tag work, and depressed prices for our services. If this were to occur, we could experience lower revenues and pricing pressures resulting in lower margins. Additionally, further consolidation of property management companies, as well as adverse changes in occupancy rates, may further reduce demand, depress prices for our services, and cause clients to cancel our service agreements.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Deterioration of general economic conditions could reduce the demand for facility services and, as a result, reduce our earnings and adversely affect our financial condition.</w:t>
      </w:r>
    </w:p>
    <w:p>
      <w:pPr>
        <w:spacing w:after="0" w:line="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Slow domestic and international economic growth or other negative changes in global, national, and local economic conditions could have a negative impact on our business. Specifically, adverse economic conditions may result in clients cutting back on discretionary spending, such as tag work. Additionally, since a significant portion of our aviation services and parking revenues are tied to the number of airline passengers, hotel guests, and sports arena attendees, results for these businesses could be adversely affected by curtailment of business, personal travel, and discretionary spending.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Labor and Legal Proceedings</w:t>
      </w:r>
    </w:p>
    <w:p>
      <w:pPr>
        <w:spacing w:after="0" w:line="17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Unfavorable developments in our class and representative actions and other lawsuits alleging various claims could cause us to incur substantial liabilities.</w:t>
      </w:r>
    </w:p>
    <w:p>
      <w:pPr>
        <w:spacing w:after="0" w:line="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business involves employing tens of thousands of employees, many of whom work at our clients’ facilities. We incur risks relating to our employment of these workers, including, but not limited to: claims of misconduct or negligence on the part of our employees; claims related to the employment of undocumented workers or unlicensed personnel; and claims by our employees of discrimination, harassment, or violations of wage and hour requirements. Some or all of these claims may lead to litigation, including class action litigation, and these matters may cause us to incur negative publicity with respect to these alleged problems. It is not possible to predict the outcome of these lawsuits or any other proceeding, and our insurance may not cover all claims that may be asserted against us. These lawsuits and other proceedings may consume substantial amounts of our financial and managerial resources. An unfavorable outcome with respect to these lawsuits and any future lawsuits could, individually or in the aggregate, cause us to incur substantial liabilities that could have a material adverse effect upon our business, reputation, financial condition, or results of operations.</w:t>
      </w:r>
    </w:p>
    <w:p>
      <w:pPr>
        <w:spacing w:after="0" w:line="12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Changes in immigration laws or enforcement actions or investigations under such laws could significantly adversely affect our labor force, operations, and financial results.</w:t>
      </w:r>
    </w:p>
    <w:p>
      <w:pPr>
        <w:spacing w:after="0" w:line="7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As many of our jobs do not require our employees to be able to read or write the English language, we are an attractive employer for recent émigrés to this country. While immigration laws require us to take certain steps intended to confirm the legal status of our immigrant labor force, and while we bolster these steps with additional measures designed to reinforce compliance, we may nonetheless inadvertently employ workers who are or become undocumented. Violations of laws and regulations could subject us to substantial fines and penalties. To the extent that these laws and regulations and corresponding enforcement practices and compliance standards become more stringent, our results of operations could be negatively impacted.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participation in multiemployer pension plans could result in material liabilities.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participate in various multiemployer pension plans under union and industry-wide agreements, which provide defined pension benefits to employees covered by collective bargaining agreements. Because of the nature of multiemployer plans, there are risks associated with participation in these plans that differ from single-employer plans. Assets contributed by an employer to a multiemployer plan are not segregated into a separate account and are not restricted to provide benefits only to employees of that contributing employer. In the event another participating employer in a multiemployer plan no longer contributes to the plan, the unfunded obligations of the plan may be borne by the remaining participating employers, including us. In the event of the termination of a multiemployer pension plan or a withdrawal from a multiemployer pension plan, under applicable law we could incur material liabilities. We further</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520" w:right="239" w:bottom="1440" w:gutter="0" w:footer="0" w:header="0"/>
        </w:sectPr>
      </w:pPr>
    </w:p>
    <w:bookmarkStart w:id="16" w:name="page17"/>
    <w:bookmarkEnd w:id="16"/>
    <w:p>
      <w:pPr>
        <w:jc w:val="both"/>
        <w:spacing w:after="0" w:line="292" w:lineRule="auto"/>
        <w:rPr>
          <w:sz w:val="20"/>
          <w:szCs w:val="20"/>
          <w:color w:val="auto"/>
        </w:rPr>
      </w:pPr>
      <w:r>
        <w:rPr>
          <w:rFonts w:ascii="Arial" w:cs="Arial" w:eastAsia="Arial" w:hAnsi="Arial"/>
          <w:sz w:val="18"/>
          <w:szCs w:val="18"/>
          <w:color w:val="auto"/>
        </w:rPr>
        <w:t>discuss our participation in multiemployer pension and postretirement plans in Note 15, “Employee Benefit Plans,” in the Notes to Consolidated Financial Statements.</w:t>
      </w:r>
    </w:p>
    <w:p>
      <w:pPr>
        <w:spacing w:after="0" w:line="9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October 31, 2016, approximately 40% of our employees were subject to various local collective bargaining agreements, some of which will expire or become subject to renegotiation during 2017. In addition, at any given time we may face a number of union organizing drives. When one or more of our major collective bargaining agreements becomes subject to renegotiation or when we face union organizing drives, we and the union may disagree on important issues that could lead to a strike, work slowdown, or other job actions at one or more of our locations. In a market where we are unionized but competitors are not unionized, we could lose clients to such competitors. A strike, work slowdown, or other job action could disrupt our services, resulting in reduced revenues or contract cancellations. Moreover, negotiating a first time agreement or renegotiating an existing collective bargaining agreement could result in a substantial increase in labor and benefits expenses that we may be unable to pass through to clients.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Indebtedness and Impairment Charges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increases in the level of our borrowings or in interest rates could affect our results of operations.</w:t>
      </w:r>
    </w:p>
    <w:p>
      <w:pPr>
        <w:spacing w:after="0" w:line="17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Any future increase in the level of our borrowings will likely increase our interest expense. Unless the operating income associated with the use of these funds exceeds the borrowing expense, our profitability could be negatively impacted. In addition, a portion of cash flows from operating activities are dedicated to interest payments and repayment of borrowings, thereby reducing our ability to use our cash flow to fund operations or to capitalize on future business opportunities. As current interest rates on our line of credit are variable, an increase in prevailing rates would increase our interest costs. Further, our syndicated credit agreement contains both financial covenants and other covenants that limit our ability to engage in specified transactions, which may also constrain our flexibility.</w:t>
      </w:r>
    </w:p>
    <w:p>
      <w:pPr>
        <w:spacing w:after="0" w:line="124"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Impairment of goodwill and long-lived assets could have a material adverse effect on our financial condition and results of operations.</w:t>
      </w:r>
    </w:p>
    <w:p>
      <w:pPr>
        <w:spacing w:after="0" w:line="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evaluate goodwill for impairment annually, in the fourth quarter, or more often if impairment indicators exist. We also review long-lived assets for impairment whenever events or changes in circumstances indicate that the carrying amount of such assets may not be recoverable. If the fair value of one of our reporting units is less than its carrying value, or if as a result of a recoverability test we conclude that the projected undiscounted cash flows are less than the carrying amount, we would record an impairment charge related to goodwill or long-lived assets, respectively. The assumptions used to determine impairment require significant judgment and the amount of the impairment could have a material adverse effect on our reported financial results for the period in which the charge is taken. During 2016, we recorded impairment charges of $22.5 million related to our held-for-sale Government Services business, consisting of both goodwill and long-lived asset impairment charges. See Note 4, “Held for Sale,” in the Notes to Consolidated Financial Statements for further information.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Actions of activist investors could disrupt our business.</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 xml:space="preserve">Public companies have been the target of activist investors. In the event that a third party, such as an activist investor, proposes to change our governance policies, board of directors, or other aspects of our operations, our review and consideration of such proposals may create a significant distraction for our management and employees. This could negatively impact our ability to execute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and may require our management to expend significant time and resources. Such proposals may also create uncertainties with respect to our financial position and operations and may adversely affect our ability to attract and retain key employees.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disasters, and terrorist attacks could disrupt our services.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Catastrophic events, disasters, and acts of terrorism may result in reduced revenues, property damage, or economic dislocations throughout the country. These events may increase the volatility of financial results due to unforeseen costs with partial or no corresponding compensation from clients.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52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PROPERTIES.</w:t>
      </w:r>
    </w:p>
    <w:p>
      <w:pPr>
        <w:spacing w:after="0" w:line="17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As part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 2016 we began consolidating our operations to increase efficiency and effectiveness. In August 2016, we consolidated two of our New York offices into our new principal executive office at One Liberty Plaza, 7</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Floor, New York, New York 10006. We will continue office consolidations in 2017.</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Properties as of October 31, 2016</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9"/>
              </w:rPr>
              <w:t>Approximate Square</w:t>
            </w: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rPr>
              <w:t>Lease Expiration Date,</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180" w:type="dxa"/>
            <w:vAlign w:val="bottom"/>
            <w:tcBorders>
              <w:bottom w:val="single" w:sz="8" w:color="auto"/>
            </w:tcBorders>
          </w:tcPr>
          <w:p>
            <w:pPr>
              <w:jc w:val="center"/>
              <w:ind w:left="65"/>
              <w:spacing w:after="0"/>
              <w:rPr>
                <w:sz w:val="20"/>
                <w:szCs w:val="20"/>
                <w:color w:val="auto"/>
              </w:rPr>
            </w:pPr>
            <w:r>
              <w:rPr>
                <w:rFonts w:ascii="Arial" w:cs="Arial" w:eastAsia="Arial" w:hAnsi="Arial"/>
                <w:sz w:val="18"/>
                <w:szCs w:val="18"/>
                <w:b w:val="1"/>
                <w:bCs w:val="1"/>
                <w:color w:val="auto"/>
              </w:rPr>
              <w:t>Location</w:t>
            </w:r>
          </w:p>
        </w:tc>
        <w:tc>
          <w:tcPr>
            <w:tcW w:w="2520" w:type="dxa"/>
            <w:vAlign w:val="bottom"/>
            <w:tcBorders>
              <w:bottom w:val="single" w:sz="8" w:color="auto"/>
            </w:tcBorders>
          </w:tcPr>
          <w:p>
            <w:pPr>
              <w:jc w:val="center"/>
              <w:ind w:left="65"/>
              <w:spacing w:after="0"/>
              <w:rPr>
                <w:sz w:val="20"/>
                <w:szCs w:val="20"/>
                <w:color w:val="auto"/>
              </w:rPr>
            </w:pPr>
            <w:r>
              <w:rPr>
                <w:rFonts w:ascii="Arial" w:cs="Arial" w:eastAsia="Arial" w:hAnsi="Arial"/>
                <w:sz w:val="18"/>
                <w:szCs w:val="18"/>
                <w:b w:val="1"/>
                <w:bCs w:val="1"/>
                <w:color w:val="auto"/>
                <w:w w:val="99"/>
              </w:rPr>
              <w:t>Character of Office</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Feet</w:t>
            </w: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Unless Owned</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Segment</w:t>
            </w:r>
          </w:p>
        </w:tc>
        <w:tc>
          <w:tcPr>
            <w:tcW w:w="0" w:type="dxa"/>
            <w:vAlign w:val="bottom"/>
          </w:tcPr>
          <w:p>
            <w:pPr>
              <w:spacing w:after="0"/>
              <w:rPr>
                <w:sz w:val="1"/>
                <w:szCs w:val="1"/>
                <w:color w:val="auto"/>
              </w:rPr>
            </w:pPr>
          </w:p>
        </w:tc>
      </w:tr>
      <w:tr>
        <w:trPr>
          <w:trHeight w:val="244"/>
        </w:trPr>
        <w:tc>
          <w:tcPr>
            <w:tcW w:w="2180" w:type="dxa"/>
            <w:vAlign w:val="bottom"/>
            <w:tcBorders>
              <w:bottom w:val="single" w:sz="8" w:color="CCEEFF"/>
            </w:tcBorders>
            <w:shd w:val="clear" w:color="auto" w:fill="CCEEFF"/>
          </w:tcPr>
          <w:p>
            <w:pPr>
              <w:jc w:val="center"/>
              <w:ind w:left="65"/>
              <w:spacing w:after="0"/>
              <w:rPr>
                <w:sz w:val="20"/>
                <w:szCs w:val="20"/>
                <w:color w:val="auto"/>
              </w:rPr>
            </w:pPr>
            <w:r>
              <w:rPr>
                <w:rFonts w:ascii="Arial" w:cs="Arial" w:eastAsia="Arial" w:hAnsi="Arial"/>
                <w:sz w:val="14"/>
                <w:szCs w:val="14"/>
                <w:color w:val="auto"/>
              </w:rPr>
              <w:t>Alpharetta, Georgia</w:t>
            </w:r>
          </w:p>
        </w:tc>
        <w:tc>
          <w:tcPr>
            <w:tcW w:w="2520" w:type="dxa"/>
            <w:vAlign w:val="bottom"/>
            <w:tcBorders>
              <w:bottom w:val="single" w:sz="8" w:color="CCEEFF"/>
            </w:tcBorders>
            <w:shd w:val="clear" w:color="auto" w:fill="CCEEFF"/>
          </w:tcPr>
          <w:p>
            <w:pPr>
              <w:jc w:val="center"/>
              <w:ind w:left="65"/>
              <w:spacing w:after="0"/>
              <w:rPr>
                <w:sz w:val="20"/>
                <w:szCs w:val="20"/>
                <w:color w:val="auto"/>
              </w:rPr>
            </w:pPr>
            <w:r>
              <w:rPr>
                <w:rFonts w:ascii="Arial" w:cs="Arial" w:eastAsia="Arial" w:hAnsi="Arial"/>
                <w:sz w:val="14"/>
                <w:szCs w:val="14"/>
                <w:color w:val="auto"/>
              </w:rPr>
              <w:t>IT Datacenter</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25,000</w:t>
            </w:r>
          </w:p>
        </w:tc>
        <w:tc>
          <w:tcPr>
            <w:tcW w:w="2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Owned</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All</w:t>
            </w:r>
          </w:p>
        </w:tc>
        <w:tc>
          <w:tcPr>
            <w:tcW w:w="0" w:type="dxa"/>
            <w:vAlign w:val="bottom"/>
          </w:tcPr>
          <w:p>
            <w:pPr>
              <w:spacing w:after="0"/>
              <w:rPr>
                <w:sz w:val="1"/>
                <w:szCs w:val="1"/>
                <w:color w:val="auto"/>
              </w:rPr>
            </w:pPr>
          </w:p>
        </w:tc>
      </w:tr>
      <w:tr>
        <w:trPr>
          <w:trHeight w:val="235"/>
        </w:trPr>
        <w:tc>
          <w:tcPr>
            <w:tcW w:w="2180" w:type="dxa"/>
            <w:vAlign w:val="bottom"/>
          </w:tcPr>
          <w:p>
            <w:pPr>
              <w:jc w:val="center"/>
              <w:ind w:left="65"/>
              <w:spacing w:after="0"/>
              <w:rPr>
                <w:sz w:val="20"/>
                <w:szCs w:val="20"/>
                <w:color w:val="auto"/>
              </w:rPr>
            </w:pPr>
            <w:r>
              <w:rPr>
                <w:rFonts w:ascii="Arial" w:cs="Arial" w:eastAsia="Arial" w:hAnsi="Arial"/>
                <w:sz w:val="14"/>
                <w:szCs w:val="14"/>
                <w:color w:val="auto"/>
              </w:rPr>
              <w:t>Atlanta, Georgia</w:t>
            </w:r>
          </w:p>
        </w:tc>
        <w:tc>
          <w:tcPr>
            <w:tcW w:w="2520" w:type="dxa"/>
            <w:vAlign w:val="bottom"/>
          </w:tcPr>
          <w:p>
            <w:pPr>
              <w:jc w:val="center"/>
              <w:ind w:left="65"/>
              <w:spacing w:after="0"/>
              <w:rPr>
                <w:sz w:val="20"/>
                <w:szCs w:val="20"/>
                <w:color w:val="auto"/>
              </w:rPr>
            </w:pPr>
            <w:r>
              <w:rPr>
                <w:rFonts w:ascii="Arial" w:cs="Arial" w:eastAsia="Arial" w:hAnsi="Arial"/>
                <w:sz w:val="14"/>
                <w:szCs w:val="14"/>
                <w:color w:val="auto"/>
              </w:rPr>
              <w:t>Shared Services</w:t>
            </w:r>
          </w:p>
        </w:tc>
        <w:tc>
          <w:tcPr>
            <w:tcW w:w="2200" w:type="dxa"/>
            <w:vAlign w:val="bottom"/>
          </w:tcPr>
          <w:p>
            <w:pPr>
              <w:jc w:val="center"/>
              <w:spacing w:after="0"/>
              <w:rPr>
                <w:sz w:val="20"/>
                <w:szCs w:val="20"/>
                <w:color w:val="auto"/>
              </w:rPr>
            </w:pPr>
            <w:r>
              <w:rPr>
                <w:rFonts w:ascii="Arial" w:cs="Arial" w:eastAsia="Arial" w:hAnsi="Arial"/>
                <w:sz w:val="14"/>
                <w:szCs w:val="14"/>
                <w:color w:val="auto"/>
              </w:rPr>
              <w:t>33,000</w:t>
            </w:r>
          </w:p>
        </w:tc>
        <w:tc>
          <w:tcPr>
            <w:tcW w:w="2360" w:type="dxa"/>
            <w:vAlign w:val="bottom"/>
          </w:tcPr>
          <w:p>
            <w:pPr>
              <w:jc w:val="center"/>
              <w:spacing w:after="0"/>
              <w:rPr>
                <w:sz w:val="20"/>
                <w:szCs w:val="20"/>
                <w:color w:val="auto"/>
              </w:rPr>
            </w:pPr>
            <w:r>
              <w:rPr>
                <w:rFonts w:ascii="Arial" w:cs="Arial" w:eastAsia="Arial" w:hAnsi="Arial"/>
                <w:sz w:val="14"/>
                <w:szCs w:val="14"/>
                <w:color w:val="auto"/>
                <w:w w:val="99"/>
              </w:rPr>
              <w:t>11/30/2016</w:t>
            </w:r>
          </w:p>
        </w:tc>
        <w:tc>
          <w:tcPr>
            <w:tcW w:w="2160" w:type="dxa"/>
            <w:vAlign w:val="bottom"/>
          </w:tcPr>
          <w:p>
            <w:pPr>
              <w:jc w:val="center"/>
              <w:spacing w:after="0"/>
              <w:rPr>
                <w:sz w:val="20"/>
                <w:szCs w:val="20"/>
                <w:color w:val="auto"/>
              </w:rPr>
            </w:pPr>
            <w:r>
              <w:rPr>
                <w:rFonts w:ascii="Arial" w:cs="Arial" w:eastAsia="Arial" w:hAnsi="Arial"/>
                <w:sz w:val="14"/>
                <w:szCs w:val="14"/>
                <w:color w:val="auto"/>
              </w:rPr>
              <w:t>All</w:t>
            </w:r>
          </w:p>
        </w:tc>
        <w:tc>
          <w:tcPr>
            <w:tcW w:w="0" w:type="dxa"/>
            <w:vAlign w:val="bottom"/>
          </w:tcPr>
          <w:p>
            <w:pPr>
              <w:spacing w:after="0"/>
              <w:rPr>
                <w:sz w:val="1"/>
                <w:szCs w:val="1"/>
                <w:color w:val="auto"/>
              </w:rPr>
            </w:pPr>
          </w:p>
        </w:tc>
      </w:tr>
      <w:tr>
        <w:trPr>
          <w:trHeight w:val="35"/>
        </w:trPr>
        <w:tc>
          <w:tcPr>
            <w:tcW w:w="2180" w:type="dxa"/>
            <w:vAlign w:val="bottom"/>
          </w:tcPr>
          <w:p>
            <w:pPr>
              <w:spacing w:after="0"/>
              <w:rPr>
                <w:sz w:val="3"/>
                <w:szCs w:val="3"/>
                <w:color w:val="auto"/>
              </w:rPr>
            </w:pPr>
          </w:p>
        </w:tc>
        <w:tc>
          <w:tcPr>
            <w:tcW w:w="25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2360" w:type="dxa"/>
            <w:vAlign w:val="bottom"/>
          </w:tcPr>
          <w:p>
            <w:pPr>
              <w:spacing w:after="0"/>
              <w:rPr>
                <w:sz w:val="3"/>
                <w:szCs w:val="3"/>
                <w:color w:val="auto"/>
              </w:rPr>
            </w:pPr>
          </w:p>
        </w:tc>
        <w:tc>
          <w:tcPr>
            <w:tcW w:w="2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jc w:val="center"/>
              <w:ind w:left="65"/>
              <w:spacing w:after="0"/>
              <w:rPr>
                <w:sz w:val="20"/>
                <w:szCs w:val="20"/>
                <w:color w:val="auto"/>
              </w:rPr>
            </w:pPr>
            <w:r>
              <w:rPr>
                <w:rFonts w:ascii="Arial" w:cs="Arial" w:eastAsia="Arial" w:hAnsi="Arial"/>
                <w:sz w:val="14"/>
                <w:szCs w:val="14"/>
                <w:color w:val="auto"/>
              </w:rPr>
              <w:t>Atlanta, Georgia</w:t>
            </w:r>
          </w:p>
        </w:tc>
        <w:tc>
          <w:tcPr>
            <w:tcW w:w="2520" w:type="dxa"/>
            <w:vAlign w:val="bottom"/>
            <w:tcBorders>
              <w:bottom w:val="single" w:sz="8" w:color="CCEEFF"/>
            </w:tcBorders>
            <w:shd w:val="clear" w:color="auto" w:fill="CCEEFF"/>
          </w:tcPr>
          <w:p>
            <w:pPr>
              <w:jc w:val="center"/>
              <w:ind w:left="65"/>
              <w:spacing w:after="0"/>
              <w:rPr>
                <w:sz w:val="20"/>
                <w:szCs w:val="20"/>
                <w:color w:val="auto"/>
              </w:rPr>
            </w:pPr>
            <w:r>
              <w:rPr>
                <w:rFonts w:ascii="Arial" w:cs="Arial" w:eastAsia="Arial" w:hAnsi="Arial"/>
                <w:sz w:val="14"/>
                <w:szCs w:val="14"/>
                <w:color w:val="auto"/>
              </w:rPr>
              <w:t>Air Serv Headquarters</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18,000</w:t>
            </w:r>
          </w:p>
        </w:tc>
        <w:tc>
          <w:tcPr>
            <w:tcW w:w="2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11/30/2016</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Other</w:t>
            </w:r>
          </w:p>
        </w:tc>
        <w:tc>
          <w:tcPr>
            <w:tcW w:w="0" w:type="dxa"/>
            <w:vAlign w:val="bottom"/>
          </w:tcPr>
          <w:p>
            <w:pPr>
              <w:spacing w:after="0"/>
              <w:rPr>
                <w:sz w:val="1"/>
                <w:szCs w:val="1"/>
                <w:color w:val="auto"/>
              </w:rPr>
            </w:pPr>
          </w:p>
        </w:tc>
      </w:tr>
      <w:tr>
        <w:trPr>
          <w:trHeight w:val="235"/>
        </w:trPr>
        <w:tc>
          <w:tcPr>
            <w:tcW w:w="2180" w:type="dxa"/>
            <w:vAlign w:val="bottom"/>
          </w:tcPr>
          <w:p>
            <w:pPr>
              <w:jc w:val="center"/>
              <w:ind w:left="65"/>
              <w:spacing w:after="0"/>
              <w:rPr>
                <w:sz w:val="20"/>
                <w:szCs w:val="20"/>
                <w:color w:val="auto"/>
              </w:rPr>
            </w:pPr>
            <w:r>
              <w:rPr>
                <w:rFonts w:ascii="Arial" w:cs="Arial" w:eastAsia="Arial" w:hAnsi="Arial"/>
                <w:sz w:val="14"/>
                <w:szCs w:val="14"/>
                <w:color w:val="auto"/>
              </w:rPr>
              <w:t>Houston, Texas</w:t>
            </w:r>
          </w:p>
        </w:tc>
        <w:tc>
          <w:tcPr>
            <w:tcW w:w="2520" w:type="dxa"/>
            <w:vAlign w:val="bottom"/>
          </w:tcPr>
          <w:p>
            <w:pPr>
              <w:jc w:val="center"/>
              <w:ind w:left="65"/>
              <w:spacing w:after="0"/>
              <w:rPr>
                <w:sz w:val="20"/>
                <w:szCs w:val="20"/>
                <w:color w:val="auto"/>
              </w:rPr>
            </w:pPr>
            <w:r>
              <w:rPr>
                <w:rFonts w:ascii="Arial" w:cs="Arial" w:eastAsia="Arial" w:hAnsi="Arial"/>
                <w:sz w:val="14"/>
                <w:szCs w:val="14"/>
                <w:color w:val="auto"/>
              </w:rPr>
              <w:t>Shared Services</w:t>
            </w:r>
          </w:p>
        </w:tc>
        <w:tc>
          <w:tcPr>
            <w:tcW w:w="2200" w:type="dxa"/>
            <w:vAlign w:val="bottom"/>
          </w:tcPr>
          <w:p>
            <w:pPr>
              <w:jc w:val="center"/>
              <w:spacing w:after="0"/>
              <w:rPr>
                <w:sz w:val="20"/>
                <w:szCs w:val="20"/>
                <w:color w:val="auto"/>
              </w:rPr>
            </w:pPr>
            <w:r>
              <w:rPr>
                <w:rFonts w:ascii="Arial" w:cs="Arial" w:eastAsia="Arial" w:hAnsi="Arial"/>
                <w:sz w:val="14"/>
                <w:szCs w:val="14"/>
                <w:color w:val="auto"/>
              </w:rPr>
              <w:t>36,000</w:t>
            </w:r>
          </w:p>
        </w:tc>
        <w:tc>
          <w:tcPr>
            <w:tcW w:w="2360" w:type="dxa"/>
            <w:vAlign w:val="bottom"/>
          </w:tcPr>
          <w:p>
            <w:pPr>
              <w:jc w:val="center"/>
              <w:spacing w:after="0"/>
              <w:rPr>
                <w:sz w:val="20"/>
                <w:szCs w:val="20"/>
                <w:color w:val="auto"/>
              </w:rPr>
            </w:pPr>
            <w:r>
              <w:rPr>
                <w:rFonts w:ascii="Arial" w:cs="Arial" w:eastAsia="Arial" w:hAnsi="Arial"/>
                <w:sz w:val="14"/>
                <w:szCs w:val="14"/>
                <w:color w:val="auto"/>
              </w:rPr>
              <w:t>7/31/2017</w:t>
            </w:r>
          </w:p>
        </w:tc>
        <w:tc>
          <w:tcPr>
            <w:tcW w:w="2160" w:type="dxa"/>
            <w:vAlign w:val="bottom"/>
          </w:tcPr>
          <w:p>
            <w:pPr>
              <w:jc w:val="center"/>
              <w:spacing w:after="0"/>
              <w:rPr>
                <w:sz w:val="20"/>
                <w:szCs w:val="20"/>
                <w:color w:val="auto"/>
              </w:rPr>
            </w:pPr>
            <w:r>
              <w:rPr>
                <w:rFonts w:ascii="Arial" w:cs="Arial" w:eastAsia="Arial" w:hAnsi="Arial"/>
                <w:sz w:val="14"/>
                <w:szCs w:val="14"/>
                <w:color w:val="auto"/>
              </w:rPr>
              <w:t>All</w:t>
            </w:r>
          </w:p>
        </w:tc>
        <w:tc>
          <w:tcPr>
            <w:tcW w:w="0" w:type="dxa"/>
            <w:vAlign w:val="bottom"/>
          </w:tcPr>
          <w:p>
            <w:pPr>
              <w:spacing w:after="0"/>
              <w:rPr>
                <w:sz w:val="1"/>
                <w:szCs w:val="1"/>
                <w:color w:val="auto"/>
              </w:rPr>
            </w:pPr>
          </w:p>
        </w:tc>
      </w:tr>
      <w:tr>
        <w:trPr>
          <w:trHeight w:val="35"/>
        </w:trPr>
        <w:tc>
          <w:tcPr>
            <w:tcW w:w="2180" w:type="dxa"/>
            <w:vAlign w:val="bottom"/>
          </w:tcPr>
          <w:p>
            <w:pPr>
              <w:spacing w:after="0"/>
              <w:rPr>
                <w:sz w:val="3"/>
                <w:szCs w:val="3"/>
                <w:color w:val="auto"/>
              </w:rPr>
            </w:pPr>
          </w:p>
        </w:tc>
        <w:tc>
          <w:tcPr>
            <w:tcW w:w="25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2360" w:type="dxa"/>
            <w:vAlign w:val="bottom"/>
          </w:tcPr>
          <w:p>
            <w:pPr>
              <w:spacing w:after="0"/>
              <w:rPr>
                <w:sz w:val="3"/>
                <w:szCs w:val="3"/>
                <w:color w:val="auto"/>
              </w:rPr>
            </w:pPr>
          </w:p>
        </w:tc>
        <w:tc>
          <w:tcPr>
            <w:tcW w:w="2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2180" w:type="dxa"/>
            <w:vAlign w:val="bottom"/>
            <w:vMerge w:val="restart"/>
            <w:shd w:val="clear" w:color="auto" w:fill="CCEEFF"/>
          </w:tcPr>
          <w:p>
            <w:pPr>
              <w:jc w:val="center"/>
              <w:ind w:left="65"/>
              <w:spacing w:after="0"/>
              <w:rPr>
                <w:sz w:val="20"/>
                <w:szCs w:val="20"/>
                <w:color w:val="auto"/>
              </w:rPr>
            </w:pPr>
            <w:r>
              <w:rPr>
                <w:rFonts w:ascii="Arial" w:cs="Arial" w:eastAsia="Arial" w:hAnsi="Arial"/>
                <w:sz w:val="14"/>
                <w:szCs w:val="14"/>
                <w:color w:val="auto"/>
              </w:rPr>
              <w:t>Houston, Texas</w:t>
            </w:r>
          </w:p>
        </w:tc>
        <w:tc>
          <w:tcPr>
            <w:tcW w:w="2520" w:type="dxa"/>
            <w:vAlign w:val="bottom"/>
            <w:vMerge w:val="restart"/>
            <w:shd w:val="clear" w:color="auto" w:fill="CCEEFF"/>
          </w:tcPr>
          <w:p>
            <w:pPr>
              <w:jc w:val="center"/>
              <w:ind w:left="65"/>
              <w:spacing w:after="0"/>
              <w:rPr>
                <w:sz w:val="20"/>
                <w:szCs w:val="20"/>
                <w:color w:val="auto"/>
              </w:rPr>
            </w:pPr>
            <w:r>
              <w:rPr>
                <w:rFonts w:ascii="Arial" w:cs="Arial" w:eastAsia="Arial" w:hAnsi="Arial"/>
                <w:sz w:val="14"/>
                <w:szCs w:val="14"/>
                <w:color w:val="auto"/>
              </w:rPr>
              <w:t>COO Divisional Headquarters</w:t>
            </w:r>
          </w:p>
        </w:tc>
        <w:tc>
          <w:tcPr>
            <w:tcW w:w="22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11,000</w:t>
            </w:r>
          </w:p>
        </w:tc>
        <w:tc>
          <w:tcPr>
            <w:tcW w:w="23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8/31/2018</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Janitorial, Facility Services,</w:t>
            </w:r>
          </w:p>
        </w:tc>
        <w:tc>
          <w:tcPr>
            <w:tcW w:w="0" w:type="dxa"/>
            <w:vAlign w:val="bottom"/>
          </w:tcPr>
          <w:p>
            <w:pPr>
              <w:spacing w:after="0"/>
              <w:rPr>
                <w:sz w:val="1"/>
                <w:szCs w:val="1"/>
                <w:color w:val="auto"/>
              </w:rPr>
            </w:pPr>
          </w:p>
        </w:tc>
      </w:tr>
      <w:tr>
        <w:trPr>
          <w:trHeight w:val="113"/>
        </w:trPr>
        <w:tc>
          <w:tcPr>
            <w:tcW w:w="2180" w:type="dxa"/>
            <w:vAlign w:val="bottom"/>
            <w:vMerge w:val="continue"/>
            <w:shd w:val="clear" w:color="auto" w:fill="CCEEFF"/>
          </w:tcPr>
          <w:p>
            <w:pPr>
              <w:spacing w:after="0"/>
              <w:rPr>
                <w:sz w:val="9"/>
                <w:szCs w:val="9"/>
                <w:color w:val="auto"/>
              </w:rPr>
            </w:pPr>
          </w:p>
        </w:tc>
        <w:tc>
          <w:tcPr>
            <w:tcW w:w="2520" w:type="dxa"/>
            <w:vAlign w:val="bottom"/>
            <w:vMerge w:val="continue"/>
            <w:shd w:val="clear" w:color="auto" w:fill="CCEEFF"/>
          </w:tcPr>
          <w:p>
            <w:pPr>
              <w:spacing w:after="0"/>
              <w:rPr>
                <w:sz w:val="9"/>
                <w:szCs w:val="9"/>
                <w:color w:val="auto"/>
              </w:rPr>
            </w:pPr>
          </w:p>
        </w:tc>
        <w:tc>
          <w:tcPr>
            <w:tcW w:w="2200" w:type="dxa"/>
            <w:vAlign w:val="bottom"/>
            <w:vMerge w:val="continue"/>
            <w:shd w:val="clear" w:color="auto" w:fill="CCEEFF"/>
          </w:tcPr>
          <w:p>
            <w:pPr>
              <w:spacing w:after="0"/>
              <w:rPr>
                <w:sz w:val="9"/>
                <w:szCs w:val="9"/>
                <w:color w:val="auto"/>
              </w:rPr>
            </w:pPr>
          </w:p>
        </w:tc>
        <w:tc>
          <w:tcPr>
            <w:tcW w:w="2360" w:type="dxa"/>
            <w:vAlign w:val="bottom"/>
            <w:vMerge w:val="continue"/>
            <w:shd w:val="clear" w:color="auto" w:fill="CCEEFF"/>
          </w:tcPr>
          <w:p>
            <w:pPr>
              <w:spacing w:after="0"/>
              <w:rPr>
                <w:sz w:val="9"/>
                <w:szCs w:val="9"/>
                <w:color w:val="auto"/>
              </w:rPr>
            </w:pPr>
          </w:p>
        </w:tc>
        <w:tc>
          <w:tcPr>
            <w:tcW w:w="21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Parking</w:t>
            </w:r>
          </w:p>
        </w:tc>
        <w:tc>
          <w:tcPr>
            <w:tcW w:w="0" w:type="dxa"/>
            <w:vAlign w:val="bottom"/>
          </w:tcPr>
          <w:p>
            <w:pPr>
              <w:spacing w:after="0"/>
              <w:rPr>
                <w:sz w:val="1"/>
                <w:szCs w:val="1"/>
                <w:color w:val="auto"/>
              </w:rPr>
            </w:pPr>
          </w:p>
        </w:tc>
      </w:tr>
      <w:tr>
        <w:trPr>
          <w:trHeight w:val="89"/>
        </w:trPr>
        <w:tc>
          <w:tcPr>
            <w:tcW w:w="2180" w:type="dxa"/>
            <w:vAlign w:val="bottom"/>
            <w:shd w:val="clear" w:color="auto" w:fill="CCEEFF"/>
          </w:tcPr>
          <w:p>
            <w:pPr>
              <w:spacing w:after="0"/>
              <w:rPr>
                <w:sz w:val="7"/>
                <w:szCs w:val="7"/>
                <w:color w:val="auto"/>
              </w:rPr>
            </w:pPr>
          </w:p>
        </w:tc>
        <w:tc>
          <w:tcPr>
            <w:tcW w:w="2520" w:type="dxa"/>
            <w:vAlign w:val="bottom"/>
            <w:shd w:val="clear" w:color="auto" w:fill="CCEEFF"/>
          </w:tcPr>
          <w:p>
            <w:pPr>
              <w:spacing w:after="0"/>
              <w:rPr>
                <w:sz w:val="7"/>
                <w:szCs w:val="7"/>
                <w:color w:val="auto"/>
              </w:rPr>
            </w:pPr>
          </w:p>
        </w:tc>
        <w:tc>
          <w:tcPr>
            <w:tcW w:w="2200" w:type="dxa"/>
            <w:vAlign w:val="bottom"/>
            <w:shd w:val="clear" w:color="auto" w:fill="CCEEFF"/>
          </w:tcPr>
          <w:p>
            <w:pPr>
              <w:spacing w:after="0"/>
              <w:rPr>
                <w:sz w:val="7"/>
                <w:szCs w:val="7"/>
                <w:color w:val="auto"/>
              </w:rPr>
            </w:pPr>
          </w:p>
        </w:tc>
        <w:tc>
          <w:tcPr>
            <w:tcW w:w="2360" w:type="dxa"/>
            <w:vAlign w:val="bottom"/>
            <w:shd w:val="clear" w:color="auto" w:fill="CCEEFF"/>
          </w:tcPr>
          <w:p>
            <w:pPr>
              <w:spacing w:after="0"/>
              <w:rPr>
                <w:sz w:val="7"/>
                <w:szCs w:val="7"/>
                <w:color w:val="auto"/>
              </w:rPr>
            </w:pPr>
          </w:p>
        </w:tc>
        <w:tc>
          <w:tcPr>
            <w:tcW w:w="21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80" w:type="dxa"/>
            <w:vAlign w:val="bottom"/>
          </w:tcPr>
          <w:p>
            <w:pPr>
              <w:jc w:val="center"/>
              <w:ind w:left="45"/>
              <w:spacing w:after="0"/>
              <w:rPr>
                <w:sz w:val="20"/>
                <w:szCs w:val="20"/>
                <w:color w:val="auto"/>
              </w:rPr>
            </w:pPr>
            <w:r>
              <w:rPr>
                <w:rFonts w:ascii="Arial" w:cs="Arial" w:eastAsia="Arial" w:hAnsi="Arial"/>
                <w:sz w:val="14"/>
                <w:szCs w:val="14"/>
                <w:color w:val="auto"/>
              </w:rPr>
              <w:t>New York, New York</w:t>
            </w:r>
          </w:p>
        </w:tc>
        <w:tc>
          <w:tcPr>
            <w:tcW w:w="2520" w:type="dxa"/>
            <w:vAlign w:val="bottom"/>
          </w:tcPr>
          <w:p>
            <w:pPr>
              <w:jc w:val="center"/>
              <w:ind w:left="65"/>
              <w:spacing w:after="0"/>
              <w:rPr>
                <w:sz w:val="20"/>
                <w:szCs w:val="20"/>
                <w:color w:val="auto"/>
              </w:rPr>
            </w:pPr>
            <w:r>
              <w:rPr>
                <w:rFonts w:ascii="Arial" w:cs="Arial" w:eastAsia="Arial" w:hAnsi="Arial"/>
                <w:sz w:val="14"/>
                <w:szCs w:val="14"/>
                <w:color w:val="auto"/>
              </w:rPr>
              <w:t>Corporate Headquarters</w:t>
            </w:r>
          </w:p>
        </w:tc>
        <w:tc>
          <w:tcPr>
            <w:tcW w:w="2200" w:type="dxa"/>
            <w:vAlign w:val="bottom"/>
          </w:tcPr>
          <w:p>
            <w:pPr>
              <w:jc w:val="center"/>
              <w:spacing w:after="0"/>
              <w:rPr>
                <w:sz w:val="20"/>
                <w:szCs w:val="20"/>
                <w:color w:val="auto"/>
              </w:rPr>
            </w:pPr>
            <w:r>
              <w:rPr>
                <w:rFonts w:ascii="Arial" w:cs="Arial" w:eastAsia="Arial" w:hAnsi="Arial"/>
                <w:sz w:val="14"/>
                <w:szCs w:val="14"/>
                <w:color w:val="auto"/>
              </w:rPr>
              <w:t>44,000</w:t>
            </w:r>
          </w:p>
        </w:tc>
        <w:tc>
          <w:tcPr>
            <w:tcW w:w="2360" w:type="dxa"/>
            <w:vAlign w:val="bottom"/>
          </w:tcPr>
          <w:p>
            <w:pPr>
              <w:jc w:val="center"/>
              <w:spacing w:after="0"/>
              <w:rPr>
                <w:sz w:val="20"/>
                <w:szCs w:val="20"/>
                <w:color w:val="auto"/>
              </w:rPr>
            </w:pPr>
            <w:r>
              <w:rPr>
                <w:rFonts w:ascii="Arial" w:cs="Arial" w:eastAsia="Arial" w:hAnsi="Arial"/>
                <w:sz w:val="14"/>
                <w:szCs w:val="14"/>
                <w:color w:val="auto"/>
              </w:rPr>
              <w:t>1/3/2032</w:t>
            </w:r>
          </w:p>
        </w:tc>
        <w:tc>
          <w:tcPr>
            <w:tcW w:w="2160" w:type="dxa"/>
            <w:vAlign w:val="bottom"/>
          </w:tcPr>
          <w:p>
            <w:pPr>
              <w:jc w:val="center"/>
              <w:spacing w:after="0"/>
              <w:rPr>
                <w:sz w:val="20"/>
                <w:szCs w:val="20"/>
                <w:color w:val="auto"/>
              </w:rPr>
            </w:pPr>
            <w:r>
              <w:rPr>
                <w:rFonts w:ascii="Arial" w:cs="Arial" w:eastAsia="Arial" w:hAnsi="Arial"/>
                <w:sz w:val="14"/>
                <w:szCs w:val="14"/>
                <w:color w:val="auto"/>
              </w:rPr>
              <w:t>Corporate, Janitorial</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November 2016, we consolidated our two Atlanta offices into one office under a lease extending through October 2027. In addition to the above properties, we have other offices, warehouses, and parking facilities in various locations, primarily in the United States. We believe that these properties are well maintained, in good operating condition, and suitable for the purposes for which they are used.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 While the results of these lawsuits, claims, and proceedings cannot be predicted with any certainty, our management believes that the final outcome of these matters will not have a material adverse effect on our financial position, results of operations, or cash flows.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Legal Proceedings</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Certain pending lawsuits to which we are a party are discussed below. In determining whether to include any particular lawsuit or other proceeding, we consider both quantitative and qualitative factors. These factors include, but are not limited to: the amount of damages and the nature of any other relief sought in the proceeding; if such damages and other relief are specified, our view of the merits of the claims; whether the action is or purports to be a class action, and our view of the likelihood that a class will be certified by the court; the jurisdiction in which the proceeding is pending; and the potential impact of the proceeding on our reputation.</w:t>
      </w:r>
    </w:p>
    <w:p>
      <w:pPr>
        <w:spacing w:after="0" w:line="123" w:lineRule="exact"/>
        <w:rPr>
          <w:sz w:val="20"/>
          <w:szCs w:val="20"/>
          <w:color w:val="auto"/>
        </w:rPr>
      </w:pPr>
    </w:p>
    <w:p>
      <w:pPr>
        <w:ind w:left="660"/>
        <w:spacing w:after="0" w:line="289" w:lineRule="auto"/>
        <w:rPr>
          <w:sz w:val="20"/>
          <w:szCs w:val="20"/>
          <w:color w:val="auto"/>
        </w:rPr>
      </w:pPr>
      <w:r>
        <w:rPr>
          <w:rFonts w:ascii="Arial" w:cs="Arial" w:eastAsia="Arial" w:hAnsi="Arial"/>
          <w:sz w:val="18"/>
          <w:szCs w:val="18"/>
          <w:i w:val="1"/>
          <w:iCs w:val="1"/>
          <w:color w:val="auto"/>
        </w:rPr>
        <w:t>The Consolidated Cases of Augustus, Hall, and Davis v. American Commercial Security Services, filed July 12, 2005, in the Superior Court of California, Los Angeles County (the “Augustus case”)</w:t>
      </w:r>
    </w:p>
    <w:p>
      <w:pPr>
        <w:spacing w:after="0" w:line="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Augustus case is a certified class action involving alleged violations of certain California state laws relating to rest breaks. The case centers on whether requiring security guards to remain on call during rest breaks violated Section 226.7 of the California Labor Code. On February 8, 2012, the plaintiffs filed a motion for summary judgment on the rest break claim, and on July 31, 2012, the Superior Court of California, Los Angeles County (the “Superior Court”), entered judgment in favor of plaintiffs in the amount of approximately $89.7 million (the “common fund”). Subsequently, the Superior Court also awarded plaintiffs’ attorneys’ fees of approximately $4.5 million in addition to approximately 30% of the common fund. We appealed the Superior Court’s rulings to the Court of Appeals of the State of California, Second Appellate District (the “Appeals Court”). On December 31, 2014, the Appeals Court issued its opinion, reversing the judgment in favor of the plaintiffs and vacating the award of $89.7 million in damages and the attorneys’ fees award. Plaintiffs requested rehearing of the Appeals Court’s decision to reverse the judgment in favor of plaintiffs and vacate the damages award. On January 29, 2015, the Appeals Court denied the plaintiffs’ request for rehearing, modified its December 31, 2014 opinion, and certified the opinion for publication. The Appeals Court opinion</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520" w:right="2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t>held that “on-call rest breaks are permissible” and remaining on call during rest breaks does not render the rest breaks invalid under California law. The Appeals Court explained that “although on-call hours constitute ‘hours worked,’ remaining available to work is not the same as performing work.... Section 226.7 proscribes only work on a rest break.” The plaintiffs filed a petition for review with the California Supreme</w:t>
      </w:r>
    </w:p>
    <w:p>
      <w:pPr>
        <w:jc w:val="both"/>
        <w:spacing w:after="0" w:line="258" w:lineRule="auto"/>
        <w:rPr>
          <w:sz w:val="20"/>
          <w:szCs w:val="20"/>
          <w:color w:val="auto"/>
        </w:rPr>
      </w:pPr>
      <w:r>
        <w:rPr>
          <w:rFonts w:ascii="Arial" w:cs="Arial" w:eastAsia="Arial" w:hAnsi="Arial"/>
          <w:sz w:val="18"/>
          <w:szCs w:val="18"/>
          <w:color w:val="auto"/>
        </w:rPr>
        <w:t>Court on March 4, 2015, and on April 29, 2015, the California Supreme Court granted the plaintiffs’ petition. We believe that the Appeals Court correctly ruled in our favor and we presented our arguments to the California Supreme Court on September 29, 2016. We expect to receive the decision of the California Supreme Court on or before December 28, 2016.</w:t>
      </w:r>
    </w:p>
    <w:p>
      <w:pPr>
        <w:spacing w:after="0" w:line="123" w:lineRule="exact"/>
        <w:rPr>
          <w:sz w:val="20"/>
          <w:szCs w:val="20"/>
          <w:color w:val="auto"/>
        </w:rPr>
      </w:pPr>
    </w:p>
    <w:p>
      <w:pPr>
        <w:ind w:left="660" w:right="20"/>
        <w:spacing w:after="0" w:line="289" w:lineRule="auto"/>
        <w:rPr>
          <w:sz w:val="20"/>
          <w:szCs w:val="20"/>
          <w:color w:val="auto"/>
        </w:rPr>
      </w:pPr>
      <w:r>
        <w:rPr>
          <w:rFonts w:ascii="Arial" w:cs="Arial" w:eastAsia="Arial" w:hAnsi="Arial"/>
          <w:sz w:val="18"/>
          <w:szCs w:val="18"/>
          <w:i w:val="1"/>
          <w:iCs w:val="1"/>
          <w:color w:val="auto"/>
        </w:rPr>
        <w:t>The Consolidated Cases of Bucio and Martinez v. ABM Janitorial Services filed on April 7, 2006, in the Superior Court of California, County of San Francisco (the “Bucio case”)</w:t>
      </w:r>
    </w:p>
    <w:p>
      <w:pPr>
        <w:spacing w:after="0" w:line="9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Bucio case is a purported class action involving allegations that we failed to track work time and provide breaks. On April 19, 2011, the trial court held a hearing on plaintiffs’ motion to certify the class. At the conclusion of that hearing, the trial court denied plaintiffs’ motion to certify the class. On May 11, 2011, the plaintiffs filed a motion to reconsider, which was denied. The plaintiffs have appealed the class certification issues. The trial court stayed the underlying lawsuit pending the decision in the appeal. On August 30, 2012, the plaintiffs filed their appellate brief on the class certification issues. We filed our responsive brief on November 15, 2012. Oral argument relating to the appeal has not been scheduled.</w:t>
      </w:r>
    </w:p>
    <w:p>
      <w:pPr>
        <w:spacing w:after="0" w:line="126" w:lineRule="exact"/>
        <w:rPr>
          <w:sz w:val="20"/>
          <w:szCs w:val="20"/>
          <w:color w:val="auto"/>
        </w:rPr>
      </w:pPr>
    </w:p>
    <w:p>
      <w:pPr>
        <w:jc w:val="both"/>
        <w:ind w:left="660"/>
        <w:spacing w:after="0" w:line="270" w:lineRule="auto"/>
        <w:rPr>
          <w:sz w:val="20"/>
          <w:szCs w:val="20"/>
          <w:color w:val="auto"/>
        </w:rPr>
      </w:pPr>
      <w:r>
        <w:rPr>
          <w:rFonts w:ascii="Arial" w:cs="Arial" w:eastAsia="Arial" w:hAnsi="Arial"/>
          <w:sz w:val="18"/>
          <w:szCs w:val="18"/>
          <w:i w:val="1"/>
          <w:iCs w:val="1"/>
          <w:color w:val="auto"/>
        </w:rPr>
        <w:t>Plaintiffs Evelia Davila, Elizabeth Marcos, and Angelica Aguilar v. ABM Janitorial Services, Inc., ABM, Jeremias Rivera, and Rene Quintanar, filed on April 6, 2012 in the Superior Court of Los Angeles County, California (the “Davila” case). A Second Amended Complaint was filed on August 13, 2012.</w:t>
      </w:r>
    </w:p>
    <w:p>
      <w:pPr>
        <w:spacing w:after="0" w:line="11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We are a defendant in the Davila case. Plaintiffs are three former janitors who have made various allegations of sexual harassment and discrimination, assault and battery, retaliation, wrongful discharge, discrimination based on disability and age, and related claims against ABM, a former co-worker, and a former ABM human resources representative. A mandatory settlement conference took place on January 15, 2016 resulting in the settlement of this matter during 2016. We have employment practices liability insurance that covered us for this case, subject to our negotiated retention.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During October 2011, we began an internal investigation into matters relating to compliance with the U.S. Foreign Corrupt Practices Act and our internal policies in connection with services provided by a foreign entity affiliated with a former joint venture partner of The Linc Group, LLC (“Linc”). Such services commenced prior to the acquisition of Linc. As a result of the investigation, we caused Linc to terminate its association with the arrangement. In December 2011, we contacted the U.S. Department of Justice and the SEC to voluntarily disclose the results of our internal investigation to date, and we have cooperated with the government’s investigation. On November 14, 2016, the Department of Justice advised us that its investigation was being closed without any action against us.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522"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both"/>
        <w:ind w:right="20"/>
        <w:spacing w:after="0" w:line="303"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Dividends</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Our common stock is listed on the New York Stock Exchange (NYSE: ABM). The following table sets forth the high and low sales prices of our common stock on the New York Stock Exchange and quarterly cash dividends declared on shares of common stock for the periods indicated.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w w:val="97"/>
              </w:rPr>
              <w:t>Fiscal Quarter</w:t>
            </w: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r>
      <w:tr>
        <w:trPr>
          <w:trHeight w:val="224"/>
        </w:trPr>
        <w:tc>
          <w:tcPr>
            <w:tcW w:w="40" w:type="dxa"/>
            <w:vAlign w:val="bottom"/>
          </w:tcPr>
          <w:p>
            <w:pPr>
              <w:spacing w:after="0"/>
              <w:rPr>
                <w:sz w:val="19"/>
                <w:szCs w:val="19"/>
                <w:color w:val="auto"/>
              </w:rPr>
            </w:pPr>
          </w:p>
        </w:tc>
        <w:tc>
          <w:tcPr>
            <w:tcW w:w="4620" w:type="dxa"/>
            <w:vAlign w:val="bottom"/>
            <w:gridSpan w:val="2"/>
          </w:tcPr>
          <w:p>
            <w:pPr>
              <w:ind w:left="40"/>
              <w:spacing w:after="0"/>
              <w:rPr>
                <w:sz w:val="20"/>
                <w:szCs w:val="20"/>
                <w:color w:val="auto"/>
              </w:rPr>
            </w:pPr>
            <w:r>
              <w:rPr>
                <w:rFonts w:ascii="Times New Roman" w:cs="Times New Roman" w:eastAsia="Times New Roman" w:hAnsi="Times New Roman"/>
                <w:sz w:val="14"/>
                <w:szCs w:val="14"/>
                <w:i w:val="1"/>
                <w:iCs w:val="1"/>
                <w:color w:val="auto"/>
              </w:rPr>
              <w:t>(in dollars)</w:t>
            </w:r>
          </w:p>
        </w:tc>
        <w:tc>
          <w:tcPr>
            <w:tcW w:w="380" w:type="dxa"/>
            <w:vAlign w:val="bottom"/>
          </w:tcPr>
          <w:p>
            <w:pPr>
              <w:spacing w:after="0"/>
              <w:rPr>
                <w:sz w:val="19"/>
                <w:szCs w:val="19"/>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First</w:t>
            </w:r>
          </w:p>
        </w:tc>
        <w:tc>
          <w:tcPr>
            <w:tcW w:w="300" w:type="dxa"/>
            <w:vAlign w:val="bottom"/>
          </w:tcPr>
          <w:p>
            <w:pPr>
              <w:spacing w:after="0"/>
              <w:rPr>
                <w:sz w:val="19"/>
                <w:szCs w:val="19"/>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Second</w:t>
            </w:r>
          </w:p>
        </w:tc>
        <w:tc>
          <w:tcPr>
            <w:tcW w:w="56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Third</w:t>
            </w:r>
          </w:p>
        </w:tc>
        <w:tc>
          <w:tcPr>
            <w:tcW w:w="320" w:type="dxa"/>
            <w:vAlign w:val="bottom"/>
          </w:tcPr>
          <w:p>
            <w:pPr>
              <w:spacing w:after="0"/>
              <w:rPr>
                <w:sz w:val="19"/>
                <w:szCs w:val="19"/>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rPr>
              <w:t>Fourth</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64"/>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Fiscal Year 2016</w:t>
            </w: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65"/>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Price range of common stock</w:t>
            </w: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5"/>
        </w:trPr>
        <w:tc>
          <w:tcPr>
            <w:tcW w:w="40" w:type="dxa"/>
            <w:vAlign w:val="bottom"/>
            <w:shd w:val="clear" w:color="auto" w:fill="CCEEFF"/>
          </w:tcPr>
          <w:p>
            <w:pPr>
              <w:spacing w:after="0"/>
              <w:rPr>
                <w:sz w:val="23"/>
                <w:szCs w:val="23"/>
                <w:color w:val="auto"/>
              </w:rPr>
            </w:pPr>
          </w:p>
        </w:tc>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High</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30.25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33.39</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37.85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40.47</w:t>
            </w:r>
          </w:p>
        </w:tc>
      </w:tr>
      <w:tr>
        <w:trPr>
          <w:trHeight w:val="265"/>
        </w:trPr>
        <w:tc>
          <w:tcPr>
            <w:tcW w:w="40" w:type="dxa"/>
            <w:vAlign w:val="bottom"/>
          </w:tcPr>
          <w:p>
            <w:pPr>
              <w:spacing w:after="0"/>
              <w:rPr>
                <w:sz w:val="23"/>
                <w:szCs w:val="23"/>
                <w:color w:val="auto"/>
              </w:rPr>
            </w:pPr>
          </w:p>
        </w:tc>
        <w:tc>
          <w:tcPr>
            <w:tcW w:w="4620" w:type="dxa"/>
            <w:vAlign w:val="bottom"/>
            <w:gridSpan w:val="2"/>
          </w:tcPr>
          <w:p>
            <w:pPr>
              <w:ind w:left="140"/>
              <w:spacing w:after="0"/>
              <w:rPr>
                <w:sz w:val="20"/>
                <w:szCs w:val="20"/>
                <w:color w:val="auto"/>
              </w:rPr>
            </w:pPr>
            <w:r>
              <w:rPr>
                <w:rFonts w:ascii="Arial" w:cs="Arial" w:eastAsia="Arial" w:hAnsi="Arial"/>
                <w:sz w:val="18"/>
                <w:szCs w:val="18"/>
                <w:color w:val="auto"/>
              </w:rPr>
              <w:t>Low</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26.50</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ind w:left="760"/>
              <w:spacing w:after="0"/>
              <w:rPr>
                <w:sz w:val="20"/>
                <w:szCs w:val="20"/>
                <w:color w:val="auto"/>
              </w:rPr>
            </w:pPr>
            <w:r>
              <w:rPr>
                <w:rFonts w:ascii="Arial" w:cs="Arial" w:eastAsia="Arial" w:hAnsi="Arial"/>
                <w:sz w:val="18"/>
                <w:szCs w:val="18"/>
                <w:color w:val="auto"/>
              </w:rPr>
              <w:t>28.45</w:t>
            </w:r>
          </w:p>
        </w:tc>
        <w:tc>
          <w:tcPr>
            <w:tcW w:w="120" w:type="dxa"/>
            <w:vAlign w:val="bottom"/>
          </w:tcPr>
          <w:p>
            <w:pPr>
              <w:spacing w:after="0"/>
              <w:rPr>
                <w:sz w:val="23"/>
                <w:szCs w:val="23"/>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32.03</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36.63</w:t>
            </w:r>
          </w:p>
        </w:tc>
      </w:tr>
      <w:tr>
        <w:trPr>
          <w:trHeight w:val="275"/>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Dividends declared per share</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0.165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0.165</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0.165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0.165</w:t>
            </w:r>
          </w:p>
        </w:tc>
      </w:tr>
      <w:tr>
        <w:trPr>
          <w:trHeight w:val="269"/>
        </w:trPr>
        <w:tc>
          <w:tcPr>
            <w:tcW w:w="4660" w:type="dxa"/>
            <w:vAlign w:val="bottom"/>
            <w:gridSpan w:val="3"/>
          </w:tcPr>
          <w:p>
            <w:pPr>
              <w:ind w:left="40"/>
              <w:spacing w:after="0"/>
              <w:rPr>
                <w:sz w:val="20"/>
                <w:szCs w:val="20"/>
                <w:color w:val="auto"/>
              </w:rPr>
            </w:pPr>
            <w:r>
              <w:rPr>
                <w:rFonts w:ascii="Arial" w:cs="Arial" w:eastAsia="Arial" w:hAnsi="Arial"/>
                <w:sz w:val="18"/>
                <w:szCs w:val="18"/>
                <w:b w:val="1"/>
                <w:bCs w:val="1"/>
                <w:color w:val="auto"/>
              </w:rPr>
              <w:t>Fiscal Year 2015</w:t>
            </w: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1"/>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Price range of common stock</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5"/>
        </w:trPr>
        <w:tc>
          <w:tcPr>
            <w:tcW w:w="40" w:type="dxa"/>
            <w:vAlign w:val="bottom"/>
          </w:tcPr>
          <w:p>
            <w:pPr>
              <w:spacing w:after="0"/>
              <w:rPr>
                <w:sz w:val="23"/>
                <w:szCs w:val="23"/>
                <w:color w:val="auto"/>
              </w:rPr>
            </w:pPr>
          </w:p>
        </w:tc>
        <w:tc>
          <w:tcPr>
            <w:tcW w:w="4620" w:type="dxa"/>
            <w:vAlign w:val="bottom"/>
            <w:gridSpan w:val="2"/>
          </w:tcPr>
          <w:p>
            <w:pPr>
              <w:ind w:left="140"/>
              <w:spacing w:after="0"/>
              <w:rPr>
                <w:sz w:val="20"/>
                <w:szCs w:val="20"/>
                <w:color w:val="auto"/>
              </w:rPr>
            </w:pPr>
            <w:r>
              <w:rPr>
                <w:rFonts w:ascii="Arial" w:cs="Arial" w:eastAsia="Arial" w:hAnsi="Arial"/>
                <w:sz w:val="18"/>
                <w:szCs w:val="18"/>
                <w:color w:val="auto"/>
              </w:rPr>
              <w:t>High</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30.27</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ind w:left="760"/>
              <w:spacing w:after="0"/>
              <w:rPr>
                <w:sz w:val="20"/>
                <w:szCs w:val="20"/>
                <w:color w:val="auto"/>
              </w:rPr>
            </w:pPr>
            <w:r>
              <w:rPr>
                <w:rFonts w:ascii="Arial" w:cs="Arial" w:eastAsia="Arial" w:hAnsi="Arial"/>
                <w:sz w:val="18"/>
                <w:szCs w:val="18"/>
                <w:color w:val="auto"/>
              </w:rPr>
              <w:t>32.73</w:t>
            </w:r>
          </w:p>
        </w:tc>
        <w:tc>
          <w:tcPr>
            <w:tcW w:w="120" w:type="dxa"/>
            <w:vAlign w:val="bottom"/>
          </w:tcPr>
          <w:p>
            <w:pPr>
              <w:spacing w:after="0"/>
              <w:rPr>
                <w:sz w:val="23"/>
                <w:szCs w:val="23"/>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33.69</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34.00</w:t>
            </w:r>
          </w:p>
        </w:tc>
      </w:tr>
      <w:tr>
        <w:trPr>
          <w:trHeight w:val="275"/>
        </w:trPr>
        <w:tc>
          <w:tcPr>
            <w:tcW w:w="40" w:type="dxa"/>
            <w:vAlign w:val="bottom"/>
            <w:shd w:val="clear" w:color="auto" w:fill="CCEEFF"/>
          </w:tcPr>
          <w:p>
            <w:pPr>
              <w:spacing w:after="0"/>
              <w:rPr>
                <w:sz w:val="23"/>
                <w:szCs w:val="23"/>
                <w:color w:val="auto"/>
              </w:rPr>
            </w:pPr>
          </w:p>
        </w:tc>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Low</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25.94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28.63</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31.34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26.71</w:t>
            </w:r>
          </w:p>
        </w:tc>
      </w:tr>
      <w:tr>
        <w:trPr>
          <w:trHeight w:val="261"/>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Dividends declared per share</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0.160</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ind w:left="760"/>
              <w:spacing w:after="0"/>
              <w:rPr>
                <w:sz w:val="20"/>
                <w:szCs w:val="20"/>
                <w:color w:val="auto"/>
              </w:rPr>
            </w:pPr>
            <w:r>
              <w:rPr>
                <w:rFonts w:ascii="Arial" w:cs="Arial" w:eastAsia="Arial" w:hAnsi="Arial"/>
                <w:sz w:val="18"/>
                <w:szCs w:val="18"/>
                <w:color w:val="auto"/>
              </w:rPr>
              <w:t>0.160</w:t>
            </w:r>
          </w:p>
        </w:tc>
        <w:tc>
          <w:tcPr>
            <w:tcW w:w="120" w:type="dxa"/>
            <w:vAlign w:val="bottom"/>
          </w:tcPr>
          <w:p>
            <w:pPr>
              <w:spacing w:after="0"/>
              <w:rPr>
                <w:sz w:val="22"/>
                <w:szCs w:val="22"/>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0.160</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0.160</w:t>
            </w:r>
          </w:p>
        </w:tc>
      </w:tr>
    </w:tbl>
    <w:p>
      <w:pPr>
        <w:spacing w:after="0" w:line="14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We have paid cash dividends every quarter since 1965. Future dividends will be determined based on our earnings, capital requirements, financial condition, and other factors considered relevant by our Board of Directors.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Repurchases</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On September 2, 2015, our Board of Directors authorized a program to repurchase up to $ 200.0 million shares of our common stock. 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share price, and share availability. Repurchased shares are retired and returned to an authorized but unissued status. The repurchase program may be suspended or discontinued at any time without prior notice.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Activity</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8"/>
              </w:rPr>
              <w:t>Total 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Approximate</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8"/>
              </w:rPr>
              <w:t>Dollar Value of</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Purchased as</w:t>
            </w:r>
          </w:p>
        </w:tc>
        <w:tc>
          <w:tcPr>
            <w:tcW w:w="120" w:type="dxa"/>
            <w:vAlign w:val="bottom"/>
          </w:tcPr>
          <w:p>
            <w:pPr>
              <w:spacing w:after="0"/>
              <w:rPr>
                <w:sz w:val="17"/>
                <w:szCs w:val="17"/>
                <w:color w:val="auto"/>
              </w:rPr>
            </w:pPr>
          </w:p>
        </w:tc>
        <w:tc>
          <w:tcPr>
            <w:tcW w:w="1600" w:type="dxa"/>
            <w:vAlign w:val="bottom"/>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Shares that May</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Total Number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Part of Publicly</w:t>
            </w:r>
          </w:p>
        </w:tc>
        <w:tc>
          <w:tcPr>
            <w:tcW w:w="120" w:type="dxa"/>
            <w:vAlign w:val="bottom"/>
          </w:tcPr>
          <w:p>
            <w:pPr>
              <w:spacing w:after="0"/>
              <w:rPr>
                <w:sz w:val="17"/>
                <w:szCs w:val="17"/>
                <w:color w:val="auto"/>
              </w:rPr>
            </w:pPr>
          </w:p>
        </w:tc>
        <w:tc>
          <w:tcPr>
            <w:tcW w:w="160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Yet Be Purchased</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Average Price</w:t>
            </w: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Announced Plans</w:t>
            </w:r>
          </w:p>
        </w:tc>
        <w:tc>
          <w:tcPr>
            <w:tcW w:w="120" w:type="dxa"/>
            <w:vAlign w:val="bottom"/>
          </w:tcPr>
          <w:p>
            <w:pPr>
              <w:spacing w:after="0"/>
              <w:rPr>
                <w:sz w:val="17"/>
                <w:szCs w:val="17"/>
                <w:color w:val="auto"/>
              </w:rPr>
            </w:pPr>
          </w:p>
        </w:tc>
        <w:tc>
          <w:tcPr>
            <w:tcW w:w="1600" w:type="dxa"/>
            <w:vAlign w:val="bottom"/>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Under the Plans</w:t>
            </w:r>
          </w:p>
        </w:tc>
        <w:tc>
          <w:tcPr>
            <w:tcW w:w="0" w:type="dxa"/>
            <w:vAlign w:val="bottom"/>
          </w:tcPr>
          <w:p>
            <w:pPr>
              <w:spacing w:after="0"/>
              <w:rPr>
                <w:sz w:val="1"/>
                <w:szCs w:val="1"/>
                <w:color w:val="auto"/>
              </w:rPr>
            </w:pPr>
          </w:p>
        </w:tc>
      </w:tr>
      <w:tr>
        <w:trPr>
          <w:trHeight w:val="214"/>
        </w:trPr>
        <w:tc>
          <w:tcPr>
            <w:tcW w:w="48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9"/>
              </w:rPr>
              <w:t>Purchased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Paid per Share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rPr>
              <w:t>or Programs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50"/>
              <w:spacing w:after="0"/>
              <w:rPr>
                <w:sz w:val="20"/>
                <w:szCs w:val="20"/>
                <w:color w:val="auto"/>
              </w:rPr>
            </w:pPr>
            <w:r>
              <w:rPr>
                <w:rFonts w:ascii="Arial" w:cs="Arial" w:eastAsia="Arial" w:hAnsi="Arial"/>
                <w:sz w:val="18"/>
                <w:szCs w:val="18"/>
                <w:b w:val="1"/>
                <w:bCs w:val="1"/>
                <w:color w:val="auto"/>
              </w:rPr>
              <w:t>or Programs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40" w:type="dxa"/>
            <w:vAlign w:val="bottom"/>
            <w:tcBorders>
              <w:top w:val="single" w:sz="8" w:color="auto"/>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80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Period</w:t>
            </w: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8/1/2016 — 8/31/2016</w:t>
            </w:r>
          </w:p>
        </w:tc>
        <w:tc>
          <w:tcPr>
            <w:tcW w:w="1500" w:type="dxa"/>
            <w:vAlign w:val="bottom"/>
            <w:vMerge w:val="restart"/>
          </w:tcPr>
          <w:p>
            <w:pPr>
              <w:jc w:val="right"/>
              <w:ind w:right="30"/>
              <w:spacing w:after="0"/>
              <w:rPr>
                <w:sz w:val="20"/>
                <w:szCs w:val="20"/>
                <w:color w:val="auto"/>
              </w:rPr>
            </w:pPr>
            <w:r>
              <w:rPr>
                <w:rFonts w:ascii="Arial" w:cs="Arial" w:eastAsia="Arial" w:hAnsi="Arial"/>
                <w:sz w:val="18"/>
                <w:szCs w:val="18"/>
                <w:color w:val="auto"/>
              </w:rPr>
              <w:t>0.1</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vMerge w:val="restart"/>
          </w:tcPr>
          <w:p>
            <w:pPr>
              <w:jc w:val="right"/>
              <w:ind w:right="30"/>
              <w:spacing w:after="0"/>
              <w:rPr>
                <w:sz w:val="20"/>
                <w:szCs w:val="20"/>
                <w:color w:val="auto"/>
              </w:rPr>
            </w:pPr>
            <w:r>
              <w:rPr>
                <w:rFonts w:ascii="Arial" w:cs="Arial" w:eastAsia="Arial" w:hAnsi="Arial"/>
                <w:sz w:val="18"/>
                <w:szCs w:val="18"/>
                <w:color w:val="auto"/>
              </w:rPr>
              <w:t>37.61</w:t>
            </w:r>
          </w:p>
        </w:tc>
        <w:tc>
          <w:tcPr>
            <w:tcW w:w="100" w:type="dxa"/>
            <w:vAlign w:val="bottom"/>
          </w:tcPr>
          <w:p>
            <w:pPr>
              <w:spacing w:after="0"/>
              <w:rPr>
                <w:sz w:val="21"/>
                <w:szCs w:val="21"/>
                <w:color w:val="auto"/>
              </w:rPr>
            </w:pPr>
          </w:p>
        </w:tc>
        <w:tc>
          <w:tcPr>
            <w:tcW w:w="1580" w:type="dxa"/>
            <w:vAlign w:val="bottom"/>
            <w:vMerge w:val="restart"/>
          </w:tcPr>
          <w:p>
            <w:pPr>
              <w:jc w:val="right"/>
              <w:ind w:right="10"/>
              <w:spacing w:after="0"/>
              <w:rPr>
                <w:sz w:val="20"/>
                <w:szCs w:val="20"/>
                <w:color w:val="auto"/>
              </w:rPr>
            </w:pPr>
            <w:r>
              <w:rPr>
                <w:rFonts w:ascii="Arial" w:cs="Arial" w:eastAsia="Arial" w:hAnsi="Arial"/>
                <w:sz w:val="18"/>
                <w:szCs w:val="18"/>
                <w:color w:val="auto"/>
              </w:rPr>
              <w:t>0.1</w:t>
            </w:r>
          </w:p>
        </w:tc>
        <w:tc>
          <w:tcPr>
            <w:tcW w:w="260" w:type="dxa"/>
            <w:vAlign w:val="bottom"/>
            <w:gridSpan w:val="2"/>
            <w:vMerge w:val="restart"/>
          </w:tcPr>
          <w:p>
            <w:pPr>
              <w:ind w:left="140"/>
              <w:spacing w:after="0"/>
              <w:rPr>
                <w:sz w:val="20"/>
                <w:szCs w:val="20"/>
                <w:color w:val="auto"/>
              </w:rPr>
            </w:pPr>
            <w:r>
              <w:rPr>
                <w:rFonts w:ascii="Arial" w:cs="Arial" w:eastAsia="Arial" w:hAnsi="Arial"/>
                <w:sz w:val="18"/>
                <w:szCs w:val="18"/>
                <w:color w:val="auto"/>
                <w:w w:val="99"/>
              </w:rPr>
              <w:t>$</w:t>
            </w:r>
          </w:p>
        </w:tc>
        <w:tc>
          <w:tcPr>
            <w:tcW w:w="1460" w:type="dxa"/>
            <w:vAlign w:val="bottom"/>
            <w:vMerge w:val="restart"/>
          </w:tcPr>
          <w:p>
            <w:pPr>
              <w:jc w:val="right"/>
              <w:ind w:right="10"/>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8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9/1/2016 — 9/30/2016</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39.16</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4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10/1/2016 — 10/31/2016</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5"/>
        </w:trPr>
        <w:tc>
          <w:tcPr>
            <w:tcW w:w="40" w:type="dxa"/>
            <w:vAlign w:val="bottom"/>
            <w:tcBorders>
              <w:bottom w:val="single" w:sz="8" w:color="CCEEFF"/>
            </w:tcBorders>
          </w:tcPr>
          <w:p>
            <w:pPr>
              <w:spacing w:after="0"/>
              <w:rPr>
                <w:sz w:val="24"/>
                <w:szCs w:val="24"/>
                <w:color w:val="auto"/>
              </w:rPr>
            </w:pPr>
          </w:p>
        </w:tc>
        <w:tc>
          <w:tcPr>
            <w:tcW w:w="2240" w:type="dxa"/>
            <w:vAlign w:val="bottom"/>
            <w:tcBorders>
              <w:bottom w:val="single" w:sz="8" w:color="CCEEFF"/>
            </w:tcBorders>
          </w:tcPr>
          <w:p>
            <w:pPr>
              <w:spacing w:after="0"/>
              <w:rPr>
                <w:sz w:val="24"/>
                <w:szCs w:val="24"/>
                <w:color w:val="auto"/>
              </w:rPr>
            </w:pPr>
          </w:p>
        </w:tc>
        <w:tc>
          <w:tcPr>
            <w:tcW w:w="2520" w:type="dxa"/>
            <w:vAlign w:val="bottom"/>
            <w:tcBorders>
              <w:bottom w:val="single" w:sz="8" w:color="CCEEFF"/>
            </w:tcBorders>
          </w:tcPr>
          <w:p>
            <w:pPr>
              <w:spacing w:after="0"/>
              <w:rPr>
                <w:sz w:val="24"/>
                <w:szCs w:val="24"/>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38.64</w:t>
            </w: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55"/>
        </w:trPr>
        <w:tc>
          <w:tcPr>
            <w:tcW w:w="40" w:type="dxa"/>
            <w:vAlign w:val="bottom"/>
            <w:tcBorders>
              <w:bottom w:val="single" w:sz="8" w:color="CCEEFF"/>
            </w:tcBorders>
            <w:shd w:val="clear" w:color="auto" w:fill="CCEEFF"/>
          </w:tcPr>
          <w:p>
            <w:pPr>
              <w:spacing w:after="0"/>
              <w:rPr>
                <w:sz w:val="22"/>
                <w:szCs w:val="22"/>
                <w:color w:val="auto"/>
              </w:rPr>
            </w:pPr>
          </w:p>
        </w:tc>
        <w:tc>
          <w:tcPr>
            <w:tcW w:w="2240" w:type="dxa"/>
            <w:vAlign w:val="bottom"/>
            <w:tcBorders>
              <w:bottom w:val="single" w:sz="8" w:color="CCEEFF"/>
            </w:tcBorders>
            <w:shd w:val="clear" w:color="auto" w:fill="CCEEFF"/>
          </w:tcPr>
          <w:p>
            <w:pPr>
              <w:spacing w:after="0"/>
              <w:rPr>
                <w:sz w:val="22"/>
                <w:szCs w:val="22"/>
                <w:color w:val="auto"/>
              </w:rPr>
            </w:pPr>
          </w:p>
        </w:tc>
        <w:tc>
          <w:tcPr>
            <w:tcW w:w="25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38.65</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14, 2016, there were 2,786 registered holders of our common stock.</w:t>
      </w:r>
    </w:p>
    <w:p>
      <w:pPr>
        <w:sectPr>
          <w:pgSz w:w="11900" w:h="16838" w:orient="portrait"/>
          <w:cols w:equalWidth="0" w:num="1">
            <w:col w:w="11420"/>
          </w:cols>
          <w:pgMar w:left="240" w:top="520" w:right="239" w:bottom="1440" w:gutter="0" w:footer="0" w:header="0"/>
        </w:sect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520"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Performance Graph</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The following graph compares the five-year cumulative total return for our common stock against the Standard &amp; Poor’s 500 Index (“S&amp;P 500”) and our selected peer group, the Standard &amp; Poor’s SmallCap 600 Index (“S&amp;P 600”). As our key employees are issued total shareholder return performance-based awards that are measured relative to the S&amp;P 600 at the time of grant, we selected the S&amp;P 600 as our comparable peer company index. The annual changes for the five-year period are based on the assumption that $100 had been invested in ABM’s stock and in each index on October 31, 2011, and that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-10795</wp:posOffset>
            </wp:positionV>
            <wp:extent cx="5634355" cy="3190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34355" cy="319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9"/>
              </w:rPr>
              <w:t>INDEXED RETURNS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4"/>
        </w:trPr>
        <w:tc>
          <w:tcPr>
            <w:tcW w:w="3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8"/>
                <w:szCs w:val="18"/>
                <w:b w:val="1"/>
                <w:bCs w:val="1"/>
                <w:color w:val="auto"/>
                <w:w w:val="99"/>
              </w:rPr>
              <w:t>Years Ended October 31,</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r>
      <w:tr>
        <w:trPr>
          <w:trHeight w:val="264"/>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Company / Index</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51"/>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ABM Industries Incorporated</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217.4</w:t>
            </w:r>
          </w:p>
        </w:tc>
      </w:tr>
      <w:tr>
        <w:trPr>
          <w:trHeight w:val="269"/>
        </w:trPr>
        <w:tc>
          <w:tcPr>
            <w:tcW w:w="3920" w:type="dxa"/>
            <w:vAlign w:val="bottom"/>
            <w:gridSpan w:val="2"/>
          </w:tcPr>
          <w:p>
            <w:pPr>
              <w:ind w:left="20"/>
              <w:spacing w:after="0"/>
              <w:rPr>
                <w:sz w:val="20"/>
                <w:szCs w:val="20"/>
                <w:color w:val="auto"/>
              </w:rPr>
            </w:pPr>
            <w:r>
              <w:rPr>
                <w:rFonts w:ascii="Arial" w:cs="Arial" w:eastAsia="Arial" w:hAnsi="Arial"/>
                <w:sz w:val="18"/>
                <w:szCs w:val="18"/>
                <w:b w:val="1"/>
                <w:bCs w:val="1"/>
                <w:color w:val="auto"/>
              </w:rPr>
              <w:t>S&amp;P 500 Index</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146.5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171.8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180.8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188.9</w:t>
            </w:r>
          </w:p>
        </w:tc>
      </w:tr>
      <w:tr>
        <w:trPr>
          <w:trHeight w:val="271"/>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S&amp;P SmallCap 600 Index</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177.6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188.9</w:t>
            </w:r>
          </w:p>
        </w:tc>
      </w:tr>
    </w:tbl>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performance graph shall not be deemed to be “soliciting material,” or “filed” with the Securities and Exchange Commission or subject to Regulation 14A or 14C, or subject to the liabilities of Section 18 of the Securities Exchange Act of 1934, as amended. The comparisons in the performance graph are based on historical data and are not indicative of, or intended to forecast, the possible future performance of our common stock.</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52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following selected financial data should be read in conjunction with Item 7., “Management’s Discussion and Analysis of Financial Condition and Results of Operations,” and Item 8., “Financial Statements and Supplementary Data.” Unless otherwise indicated, all references to years are to our fiscal year, which ends on October 31.</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Years Ended October 31,</w:t>
            </w: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r>
      <w:tr>
        <w:trPr>
          <w:trHeight w:val="261"/>
        </w:trPr>
        <w:tc>
          <w:tcPr>
            <w:tcW w:w="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5"/>
              </w:rPr>
              <w:t>2013</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2012</w:t>
            </w:r>
          </w:p>
        </w:tc>
      </w:tr>
      <w:tr>
        <w:trPr>
          <w:trHeight w:val="216"/>
        </w:trPr>
        <w:tc>
          <w:tcPr>
            <w:tcW w:w="582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
        </w:trPr>
        <w:tc>
          <w:tcPr>
            <w:tcW w:w="40" w:type="dxa"/>
            <w:vAlign w:val="bottom"/>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70"/>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Statements of Comprehensive Income Data</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70"/>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Revenues</w:t>
            </w:r>
            <w:r>
              <w:rPr>
                <w:rFonts w:ascii="Arial" w:cs="Arial" w:eastAsia="Arial" w:hAnsi="Arial"/>
                <w:sz w:val="21"/>
                <w:szCs w:val="21"/>
                <w:color w:val="auto"/>
                <w:vertAlign w:val="superscript"/>
              </w:rPr>
              <w:t>(1)</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5,144.7</w:t>
            </w:r>
          </w:p>
        </w:tc>
        <w:tc>
          <w:tcPr>
            <w:tcW w:w="12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4,897.8</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4,649.7</w:t>
            </w:r>
          </w:p>
        </w:tc>
        <w:tc>
          <w:tcPr>
            <w:tcW w:w="100" w:type="dxa"/>
            <w:vAlign w:val="bottom"/>
          </w:tcPr>
          <w:p>
            <w:pPr>
              <w:spacing w:after="0"/>
              <w:rPr>
                <w:sz w:val="23"/>
                <w:szCs w:val="23"/>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4,427.8</w:t>
            </w:r>
          </w:p>
        </w:tc>
        <w:tc>
          <w:tcPr>
            <w:tcW w:w="12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3,934.4</w:t>
            </w:r>
          </w:p>
        </w:tc>
      </w:tr>
      <w:tr>
        <w:trPr>
          <w:trHeight w:val="270"/>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Operating profit</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114.8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87.2</w:t>
            </w:r>
          </w:p>
        </w:tc>
      </w:tr>
      <w:tr>
        <w:trPr>
          <w:trHeight w:val="262"/>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Income from continuing operations</w:t>
            </w:r>
          </w:p>
        </w:tc>
        <w:tc>
          <w:tcPr>
            <w:tcW w:w="2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62.3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54.1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66.9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62.6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56.5</w:t>
            </w:r>
          </w:p>
        </w:tc>
      </w:tr>
      <w:tr>
        <w:trPr>
          <w:trHeight w:val="278"/>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(loss) income from discontinued operations</w:t>
            </w:r>
            <w:r>
              <w:rPr>
                <w:rFonts w:ascii="Arial" w:cs="Arial" w:eastAsia="Arial" w:hAnsi="Arial"/>
                <w:sz w:val="21"/>
                <w:szCs w:val="21"/>
                <w:color w:val="auto"/>
                <w:vertAlign w:val="superscript"/>
              </w:rPr>
              <w:t>(3)</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r>
      <w:tr>
        <w:trPr>
          <w:trHeight w:val="266"/>
        </w:trPr>
        <w:tc>
          <w:tcPr>
            <w:tcW w:w="5820" w:type="dxa"/>
            <w:vAlign w:val="bottom"/>
            <w:gridSpan w:val="3"/>
          </w:tcPr>
          <w:p>
            <w:pPr>
              <w:ind w:left="40"/>
              <w:spacing w:after="0"/>
              <w:rPr>
                <w:sz w:val="20"/>
                <w:szCs w:val="20"/>
                <w:color w:val="auto"/>
              </w:rPr>
            </w:pPr>
            <w:r>
              <w:rPr>
                <w:rFonts w:ascii="Arial" w:cs="Arial" w:eastAsia="Arial" w:hAnsi="Arial"/>
                <w:sz w:val="16"/>
                <w:szCs w:val="16"/>
                <w:b w:val="1"/>
                <w:bCs w:val="1"/>
                <w:color w:val="auto"/>
              </w:rPr>
              <w:t>Per Share Data</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4"/>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income per common share — Basic</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2"/>
        </w:trPr>
        <w:tc>
          <w:tcPr>
            <w:tcW w:w="40" w:type="dxa"/>
            <w:vAlign w:val="bottom"/>
          </w:tcPr>
          <w:p>
            <w:pPr>
              <w:spacing w:after="0"/>
              <w:rPr>
                <w:sz w:val="22"/>
                <w:szCs w:val="22"/>
                <w:color w:val="auto"/>
              </w:rPr>
            </w:pPr>
          </w:p>
        </w:tc>
        <w:tc>
          <w:tcPr>
            <w:tcW w:w="5780" w:type="dxa"/>
            <w:vAlign w:val="bottom"/>
            <w:gridSpan w:val="2"/>
          </w:tcPr>
          <w:p>
            <w:pPr>
              <w:ind w:left="340"/>
              <w:spacing w:after="0"/>
              <w:rPr>
                <w:sz w:val="20"/>
                <w:szCs w:val="20"/>
                <w:color w:val="auto"/>
              </w:rPr>
            </w:pPr>
            <w:r>
              <w:rPr>
                <w:rFonts w:ascii="Arial" w:cs="Arial" w:eastAsia="Arial" w:hAnsi="Arial"/>
                <w:sz w:val="16"/>
                <w:szCs w:val="16"/>
                <w:color w:val="auto"/>
              </w:rPr>
              <w:t>Income from continuing operations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0.95</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1.05</w:t>
            </w:r>
          </w:p>
        </w:tc>
      </w:tr>
      <w:tr>
        <w:trPr>
          <w:trHeight w:val="278"/>
        </w:trPr>
        <w:tc>
          <w:tcPr>
            <w:tcW w:w="40" w:type="dxa"/>
            <w:vAlign w:val="bottom"/>
            <w:shd w:val="clear" w:color="auto" w:fill="CCEEFF"/>
          </w:tcPr>
          <w:p>
            <w:pPr>
              <w:spacing w:after="0"/>
              <w:rPr>
                <w:sz w:val="24"/>
                <w:szCs w:val="24"/>
                <w:color w:val="auto"/>
              </w:rPr>
            </w:pPr>
          </w:p>
        </w:tc>
        <w:tc>
          <w:tcPr>
            <w:tcW w:w="57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r>
      <w:tr>
        <w:trPr>
          <w:trHeight w:val="262"/>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Net income per common share — Diluted</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8"/>
        </w:trPr>
        <w:tc>
          <w:tcPr>
            <w:tcW w:w="40" w:type="dxa"/>
            <w:vAlign w:val="bottom"/>
            <w:shd w:val="clear" w:color="auto" w:fill="CCEEFF"/>
          </w:tcPr>
          <w:p>
            <w:pPr>
              <w:spacing w:after="0"/>
              <w:rPr>
                <w:sz w:val="24"/>
                <w:szCs w:val="24"/>
                <w:color w:val="auto"/>
              </w:rPr>
            </w:pPr>
          </w:p>
        </w:tc>
        <w:tc>
          <w:tcPr>
            <w:tcW w:w="57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Income from continuing operations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0.94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r>
      <w:tr>
        <w:trPr>
          <w:trHeight w:val="262"/>
        </w:trPr>
        <w:tc>
          <w:tcPr>
            <w:tcW w:w="40" w:type="dxa"/>
            <w:vAlign w:val="bottom"/>
          </w:tcPr>
          <w:p>
            <w:pPr>
              <w:spacing w:after="0"/>
              <w:rPr>
                <w:sz w:val="22"/>
                <w:szCs w:val="22"/>
                <w:color w:val="auto"/>
              </w:rPr>
            </w:pPr>
          </w:p>
        </w:tc>
        <w:tc>
          <w:tcPr>
            <w:tcW w:w="5780" w:type="dxa"/>
            <w:vAlign w:val="bottom"/>
            <w:gridSpan w:val="2"/>
          </w:tcPr>
          <w:p>
            <w:pPr>
              <w:ind w:left="34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1.14</w:t>
            </w:r>
          </w:p>
        </w:tc>
      </w:tr>
      <w:tr>
        <w:trPr>
          <w:trHeight w:val="206"/>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Weighted-average common and common</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4"/>
        </w:trPr>
        <w:tc>
          <w:tcPr>
            <w:tcW w:w="40" w:type="dxa"/>
            <w:vAlign w:val="bottom"/>
            <w:shd w:val="clear" w:color="auto" w:fill="CCEEFF"/>
          </w:tcPr>
          <w:p>
            <w:pPr>
              <w:spacing w:after="0"/>
              <w:rPr>
                <w:sz w:val="20"/>
                <w:szCs w:val="20"/>
                <w:color w:val="auto"/>
              </w:rPr>
            </w:pPr>
          </w:p>
        </w:tc>
        <w:tc>
          <w:tcPr>
            <w:tcW w:w="5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equivalent shares outstanding</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62"/>
        </w:trPr>
        <w:tc>
          <w:tcPr>
            <w:tcW w:w="40" w:type="dxa"/>
            <w:vAlign w:val="bottom"/>
          </w:tcPr>
          <w:p>
            <w:pPr>
              <w:spacing w:after="0"/>
              <w:rPr>
                <w:sz w:val="22"/>
                <w:szCs w:val="22"/>
                <w:color w:val="auto"/>
              </w:rPr>
            </w:pPr>
          </w:p>
        </w:tc>
        <w:tc>
          <w:tcPr>
            <w:tcW w:w="5780" w:type="dxa"/>
            <w:vAlign w:val="bottom"/>
            <w:gridSpan w:val="2"/>
          </w:tcPr>
          <w:p>
            <w:pPr>
              <w:ind w:left="340"/>
              <w:spacing w:after="0"/>
              <w:rPr>
                <w:sz w:val="20"/>
                <w:szCs w:val="20"/>
                <w:color w:val="auto"/>
              </w:rPr>
            </w:pPr>
            <w:r>
              <w:rPr>
                <w:rFonts w:ascii="Arial" w:cs="Arial" w:eastAsia="Arial" w:hAnsi="Arial"/>
                <w:sz w:val="16"/>
                <w:szCs w:val="16"/>
                <w:color w:val="auto"/>
              </w:rPr>
              <w:t>Basic</w:t>
            </w:r>
          </w:p>
        </w:tc>
        <w:tc>
          <w:tcPr>
            <w:tcW w:w="2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56.3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56.1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54.9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54.0</w:t>
            </w:r>
          </w:p>
        </w:tc>
      </w:tr>
      <w:tr>
        <w:trPr>
          <w:trHeight w:val="278"/>
        </w:trPr>
        <w:tc>
          <w:tcPr>
            <w:tcW w:w="40" w:type="dxa"/>
            <w:vAlign w:val="bottom"/>
            <w:shd w:val="clear" w:color="auto" w:fill="CCEEFF"/>
          </w:tcPr>
          <w:p>
            <w:pPr>
              <w:spacing w:after="0"/>
              <w:rPr>
                <w:sz w:val="24"/>
                <w:szCs w:val="24"/>
                <w:color w:val="auto"/>
              </w:rPr>
            </w:pPr>
          </w:p>
        </w:tc>
        <w:tc>
          <w:tcPr>
            <w:tcW w:w="57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54.9</w:t>
            </w:r>
          </w:p>
        </w:tc>
      </w:tr>
      <w:tr>
        <w:trPr>
          <w:trHeight w:val="262"/>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Dividends declared per common share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0.660</w:t>
            </w:r>
          </w:p>
        </w:tc>
        <w:tc>
          <w:tcPr>
            <w:tcW w:w="12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0.640</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0.620</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0.600</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0.580</w:t>
            </w:r>
          </w:p>
        </w:tc>
      </w:tr>
      <w:tr>
        <w:trPr>
          <w:trHeight w:val="278"/>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Statements of Cash Flow Data</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2"/>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Net cash provided by operating activities of continuing operations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110.5</w:t>
            </w:r>
          </w:p>
        </w:tc>
        <w:tc>
          <w:tcPr>
            <w:tcW w:w="12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145.5</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115.6</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125.2</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140.9</w:t>
            </w:r>
          </w:p>
        </w:tc>
      </w:tr>
      <w:tr>
        <w:trPr>
          <w:trHeight w:val="278"/>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Cash paid for income taxes, net of refunds received</w:t>
            </w:r>
            <w:r>
              <w:rPr>
                <w:rFonts w:ascii="Arial" w:cs="Arial" w:eastAsia="Arial" w:hAnsi="Arial"/>
                <w:sz w:val="21"/>
                <w:szCs w:val="21"/>
                <w:color w:val="auto"/>
                <w:vertAlign w:val="superscript"/>
              </w:rPr>
              <w:t>(4)</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r>
    </w:tbl>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50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gridSpan w:val="3"/>
            <w:shd w:val="clear" w:color="auto" w:fill="CCEEFF"/>
          </w:tcPr>
          <w:p>
            <w:pPr>
              <w:ind w:left="60"/>
              <w:spacing w:after="0"/>
              <w:rPr>
                <w:sz w:val="20"/>
                <w:szCs w:val="20"/>
                <w:color w:val="auto"/>
              </w:rPr>
            </w:pPr>
            <w:r>
              <w:rPr>
                <w:rFonts w:ascii="Arial" w:cs="Arial" w:eastAsia="Arial" w:hAnsi="Arial"/>
                <w:sz w:val="16"/>
                <w:szCs w:val="16"/>
                <w:b w:val="1"/>
                <w:bCs w:val="1"/>
                <w:color w:val="auto"/>
              </w:rPr>
              <w:t>At October 31,</w:t>
            </w: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r>
      <w:tr>
        <w:trPr>
          <w:trHeight w:val="227"/>
        </w:trPr>
        <w:tc>
          <w:tcPr>
            <w:tcW w:w="582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9"/>
                <w:szCs w:val="19"/>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auto"/>
              </w:rPr>
              <w:t>2015</w:t>
            </w:r>
          </w:p>
        </w:tc>
        <w:tc>
          <w:tcPr>
            <w:tcW w:w="11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64"/>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Balance Sheet Data</w:t>
            </w: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62"/>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2,281.2</w:t>
            </w:r>
          </w:p>
        </w:tc>
        <w:tc>
          <w:tcPr>
            <w:tcW w:w="12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2,130.7</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   2,176.5</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2,106.2</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1,851.2</w:t>
            </w:r>
          </w:p>
        </w:tc>
      </w:tr>
      <w:tr>
        <w:trPr>
          <w:trHeight w:val="278"/>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Trade accounts receivable, net of allowances</w:t>
            </w:r>
            <w:r>
              <w:rPr>
                <w:rFonts w:ascii="Arial" w:cs="Arial" w:eastAsia="Arial" w:hAnsi="Arial"/>
                <w:sz w:val="21"/>
                <w:szCs w:val="21"/>
                <w:color w:val="auto"/>
                <w:vertAlign w:val="superscript"/>
              </w:rPr>
              <w:t>(5)</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795.6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742.9</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687.3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633.5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518.0</w:t>
            </w:r>
          </w:p>
        </w:tc>
      </w:tr>
      <w:tr>
        <w:trPr>
          <w:trHeight w:val="270"/>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Goodwill</w:t>
            </w:r>
            <w:r>
              <w:rPr>
                <w:rFonts w:ascii="Arial" w:cs="Arial" w:eastAsia="Arial" w:hAnsi="Arial"/>
                <w:sz w:val="21"/>
                <w:szCs w:val="21"/>
                <w:color w:val="auto"/>
                <w:vertAlign w:val="superscript"/>
              </w:rPr>
              <w:t>(6)</w:t>
            </w:r>
          </w:p>
        </w:tc>
        <w:tc>
          <w:tcPr>
            <w:tcW w:w="24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912.8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867.5</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854.7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822.5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701.7</w:t>
            </w:r>
          </w:p>
        </w:tc>
      </w:tr>
      <w:tr>
        <w:trPr>
          <w:trHeight w:val="270"/>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Other intangible assets, net of accumulated amortization</w:t>
            </w:r>
            <w:r>
              <w:rPr>
                <w:rFonts w:ascii="Arial" w:cs="Arial" w:eastAsia="Arial" w:hAnsi="Arial"/>
                <w:sz w:val="21"/>
                <w:szCs w:val="21"/>
                <w:color w:val="auto"/>
                <w:vertAlign w:val="superscript"/>
              </w:rPr>
              <w:t>(7)</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111.4</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127.5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106.4</w:t>
            </w:r>
          </w:p>
        </w:tc>
      </w:tr>
      <w:tr>
        <w:trPr>
          <w:trHeight w:val="270"/>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Line of credit</w:t>
            </w:r>
            <w:r>
              <w:rPr>
                <w:rFonts w:ascii="Arial" w:cs="Arial" w:eastAsia="Arial" w:hAnsi="Arial"/>
                <w:sz w:val="21"/>
                <w:szCs w:val="21"/>
                <w:color w:val="auto"/>
                <w:vertAlign w:val="superscript"/>
              </w:rPr>
              <w:t>(8)</w:t>
            </w:r>
          </w:p>
        </w:tc>
        <w:tc>
          <w:tcPr>
            <w:tcW w:w="24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268.3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158.0</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319.8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314.9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215.0</w:t>
            </w:r>
          </w:p>
        </w:tc>
      </w:tr>
      <w:tr>
        <w:trPr>
          <w:trHeight w:val="270"/>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Insurance claims</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423.8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387.4</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349.7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358.0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343.8</w:t>
            </w:r>
          </w:p>
        </w:tc>
      </w:tr>
    </w:tbl>
    <w:p>
      <w:pPr>
        <w:spacing w:after="0" w:line="144" w:lineRule="exact"/>
        <w:rPr>
          <w:sz w:val="20"/>
          <w:szCs w:val="20"/>
          <w:color w:val="auto"/>
        </w:rPr>
      </w:pPr>
    </w:p>
    <w:p>
      <w:pPr>
        <w:ind w:left="60" w:firstLine="2"/>
        <w:spacing w:after="0" w:line="223" w:lineRule="auto"/>
        <w:tabs>
          <w:tab w:leader="none" w:pos="248"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Revenues in 2013 included $408.1 million associated with our acquisitions on November 1, 2012 of Air Serv Corporation (“Air Serv”), HHA Services, Inc. (“HHA”), and Calvert-Jones Company, Inc. (“Calvert-Jones”) (collectively, the “November 2012 Acquisitions”).</w:t>
      </w:r>
    </w:p>
    <w:p>
      <w:pPr>
        <w:spacing w:after="0" w:line="134" w:lineRule="exact"/>
        <w:rPr>
          <w:rFonts w:ascii="Arial" w:cs="Arial" w:eastAsia="Arial" w:hAnsi="Arial"/>
          <w:sz w:val="22"/>
          <w:szCs w:val="22"/>
          <w:color w:val="auto"/>
          <w:vertAlign w:val="superscript"/>
        </w:rPr>
      </w:pPr>
    </w:p>
    <w:p>
      <w:pPr>
        <w:ind w:left="220" w:hanging="158"/>
        <w:spacing w:after="0"/>
        <w:tabs>
          <w:tab w:leader="none" w:pos="220"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Factors affecting comparability of operating profit consisted of the following:</w:t>
      </w:r>
    </w:p>
    <w:p>
      <w:pPr>
        <w:spacing w:after="0" w:line="146" w:lineRule="exact"/>
        <w:rPr>
          <w:rFonts w:ascii="Arial" w:cs="Arial" w:eastAsia="Arial" w:hAnsi="Arial"/>
          <w:sz w:val="19"/>
          <w:szCs w:val="19"/>
          <w:color w:val="auto"/>
          <w:vertAlign w:val="superscript"/>
        </w:rPr>
      </w:pPr>
    </w:p>
    <w:p>
      <w:pPr>
        <w:ind w:left="1220" w:hanging="888"/>
        <w:spacing w:after="0" w:line="285" w:lineRule="auto"/>
        <w:tabs>
          <w:tab w:leader="none" w:pos="653" w:val="left"/>
        </w:tabs>
        <w:numPr>
          <w:ilvl w:val="1"/>
          <w:numId w:val="5"/>
        </w:numPr>
        <w:rPr>
          <w:rFonts w:ascii="Arial" w:cs="Arial" w:eastAsia="Arial" w:hAnsi="Arial"/>
          <w:sz w:val="16"/>
          <w:szCs w:val="16"/>
          <w:color w:val="auto"/>
        </w:rPr>
      </w:pPr>
      <w:r>
        <w:rPr>
          <w:rFonts w:ascii="Arial" w:cs="Arial" w:eastAsia="Arial" w:hAnsi="Arial"/>
          <w:sz w:val="16"/>
          <w:szCs w:val="16"/>
          <w:color w:val="auto"/>
        </w:rPr>
        <w:t xml:space="preserve">Operating profit in 2016 was negatively impacted by insurance expense of $49.6 million, consisting of a $32.9 million unfavorable adjustment to our self-insurance reserves related to prior year claims and $16.7 million of higher insurance expense due to an increase in the rate used to record our insurance reserves during 2016. Operating profit was also unfavorably impacted by $29.0 million of </w:t>
      </w:r>
      <w:r>
        <w:rPr>
          <w:rFonts w:ascii="Arial" w:cs="Arial" w:eastAsia="Arial" w:hAnsi="Arial"/>
          <w:sz w:val="16"/>
          <w:szCs w:val="16"/>
          <w:b w:val="1"/>
          <w:bCs w:val="1"/>
          <w:color w:val="FF9900"/>
        </w:rPr>
        <w:t>2020</w:t>
      </w:r>
      <w:r>
        <w:rPr>
          <w:rFonts w:ascii="Arial" w:cs="Arial" w:eastAsia="Arial" w:hAnsi="Arial"/>
          <w:sz w:val="16"/>
          <w:szCs w:val="16"/>
          <w:color w:val="auto"/>
        </w:rPr>
        <w:t xml:space="preserve"> </w:t>
      </w:r>
      <w:r>
        <w:rPr>
          <w:rFonts w:ascii="Arial" w:cs="Arial" w:eastAsia="Arial" w:hAnsi="Arial"/>
          <w:sz w:val="16"/>
          <w:szCs w:val="16"/>
          <w:b w:val="1"/>
          <w:bCs w:val="1"/>
          <w:color w:val="0070C0"/>
        </w:rPr>
        <w:t>Vision</w:t>
      </w:r>
      <w:r>
        <w:rPr>
          <w:rFonts w:ascii="Arial" w:cs="Arial" w:eastAsia="Arial" w:hAnsi="Arial"/>
          <w:sz w:val="16"/>
          <w:szCs w:val="16"/>
          <w:color w:val="auto"/>
        </w:rPr>
        <w:t xml:space="preserve"> restructuring and related charges and a $22.5 million impairment charge for our Government Services business, consisting of both goodwill and long-lived asset charges. See Note 4, “Held for Sale,” in the Notes to Consolidated Financial Statements for further information. Operating profit in 2016 was favorably impacted by approximately $22 million in savings from ou</w:t>
      </w:r>
      <w:r>
        <w:rPr>
          <w:rFonts w:ascii="Arial" w:cs="Arial" w:eastAsia="Arial" w:hAnsi="Arial"/>
          <w:sz w:val="18"/>
          <w:szCs w:val="18"/>
          <w:color w:val="auto"/>
        </w:rPr>
        <w:t>r</w:t>
      </w:r>
      <w:r>
        <w:rPr>
          <w:rFonts w:ascii="Arial" w:cs="Arial" w:eastAsia="Arial" w:hAnsi="Arial"/>
          <w:sz w:val="16"/>
          <w:szCs w:val="16"/>
          <w:color w:val="auto"/>
        </w:rPr>
        <w:t xml:space="preserve"> </w:t>
      </w:r>
      <w:r>
        <w:rPr>
          <w:rFonts w:ascii="Arial" w:cs="Arial" w:eastAsia="Arial" w:hAnsi="Arial"/>
          <w:sz w:val="16"/>
          <w:szCs w:val="16"/>
          <w:b w:val="1"/>
          <w:bCs w:val="1"/>
          <w:color w:val="FF9900"/>
        </w:rPr>
        <w:t>2020</w:t>
      </w:r>
      <w:r>
        <w:rPr>
          <w:rFonts w:ascii="Arial" w:cs="Arial" w:eastAsia="Arial" w:hAnsi="Arial"/>
          <w:sz w:val="16"/>
          <w:szCs w:val="16"/>
          <w:color w:val="auto"/>
        </w:rPr>
        <w:t xml:space="preserve"> </w:t>
      </w:r>
      <w:r>
        <w:rPr>
          <w:rFonts w:ascii="Arial" w:cs="Arial" w:eastAsia="Arial" w:hAnsi="Arial"/>
          <w:sz w:val="16"/>
          <w:szCs w:val="16"/>
          <w:b w:val="1"/>
          <w:bCs w:val="1"/>
          <w:color w:val="0070C0"/>
        </w:rPr>
        <w:t>Vision</w:t>
      </w:r>
      <w:r>
        <w:rPr>
          <w:rFonts w:ascii="Arial" w:cs="Arial" w:eastAsia="Arial" w:hAnsi="Arial"/>
          <w:sz w:val="16"/>
          <w:szCs w:val="16"/>
          <w:color w:val="auto"/>
        </w:rPr>
        <w:t xml:space="preserve"> initiatives.</w:t>
      </w:r>
    </w:p>
    <w:p>
      <w:pPr>
        <w:sectPr>
          <w:pgSz w:w="11900" w:h="16838" w:orient="portrait"/>
          <w:cols w:equalWidth="0" w:num="1">
            <w:col w:w="11420"/>
          </w:cols>
          <w:pgMar w:left="240" w:top="520" w:right="2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520" w:right="239" w:bottom="1440" w:gutter="0" w:footer="0" w:header="0"/>
          <w:type w:val="continuous"/>
        </w:sectPr>
      </w:pPr>
    </w:p>
    <w:bookmarkStart w:id="22" w:name="page23"/>
    <w:bookmarkEnd w:id="22"/>
    <w:p>
      <w:pPr>
        <w:ind w:left="600" w:hanging="328"/>
        <w:spacing w:after="0"/>
        <w:tabs>
          <w:tab w:leader="none" w:pos="600" w:val="left"/>
        </w:tabs>
        <w:numPr>
          <w:ilvl w:val="1"/>
          <w:numId w:val="6"/>
        </w:numPr>
        <w:rPr>
          <w:rFonts w:ascii="Arial" w:cs="Arial" w:eastAsia="Arial" w:hAnsi="Arial"/>
          <w:sz w:val="16"/>
          <w:szCs w:val="16"/>
          <w:color w:val="auto"/>
        </w:rPr>
      </w:pPr>
      <w:r>
        <w:rPr>
          <w:rFonts w:ascii="Arial" w:cs="Arial" w:eastAsia="Arial" w:hAnsi="Arial"/>
          <w:sz w:val="16"/>
          <w:szCs w:val="16"/>
          <w:color w:val="auto"/>
        </w:rPr>
        <w:t>Operating profit in 2015 was negatively impacted by a $35.9 million unfavorable adjustment to our self-insurance reserves related to prior year claims.</w:t>
      </w:r>
    </w:p>
    <w:p>
      <w:pPr>
        <w:spacing w:after="0" w:line="167" w:lineRule="exact"/>
        <w:rPr>
          <w:rFonts w:ascii="Arial" w:cs="Arial" w:eastAsia="Arial" w:hAnsi="Arial"/>
          <w:sz w:val="16"/>
          <w:szCs w:val="16"/>
          <w:color w:val="auto"/>
        </w:rPr>
      </w:pPr>
    </w:p>
    <w:p>
      <w:pPr>
        <w:jc w:val="both"/>
        <w:ind w:left="600" w:hanging="328"/>
        <w:spacing w:after="0" w:line="269" w:lineRule="auto"/>
        <w:tabs>
          <w:tab w:leader="none" w:pos="600" w:val="left"/>
        </w:tabs>
        <w:numPr>
          <w:ilvl w:val="1"/>
          <w:numId w:val="6"/>
        </w:numPr>
        <w:rPr>
          <w:rFonts w:ascii="Arial" w:cs="Arial" w:eastAsia="Arial" w:hAnsi="Arial"/>
          <w:sz w:val="16"/>
          <w:szCs w:val="16"/>
          <w:color w:val="auto"/>
        </w:rPr>
      </w:pPr>
      <w:r>
        <w:rPr>
          <w:rFonts w:ascii="Arial" w:cs="Arial" w:eastAsia="Arial" w:hAnsi="Arial"/>
          <w:sz w:val="16"/>
          <w:szCs w:val="16"/>
          <w:color w:val="auto"/>
        </w:rPr>
        <w:t>Operating profit in 2013 included $14.8 million related to the November 2012 Acquisitions, which consisted of $366.6 million of operating expenses, $16.9 million of selling, general and administrative expenses, and $9.3 million of amortization expense. Operating profit in that year was negatively impacted by a $9.5 million unfavorable adjustment to our self-insurance reserves related to prior year claims.</w:t>
      </w:r>
    </w:p>
    <w:p>
      <w:pPr>
        <w:spacing w:after="0" w:line="110" w:lineRule="exact"/>
        <w:rPr>
          <w:rFonts w:ascii="Arial" w:cs="Arial" w:eastAsia="Arial" w:hAnsi="Arial"/>
          <w:sz w:val="16"/>
          <w:szCs w:val="16"/>
          <w:color w:val="auto"/>
        </w:rPr>
      </w:pPr>
    </w:p>
    <w:p>
      <w:pPr>
        <w:ind w:left="160" w:hanging="158"/>
        <w:spacing w:after="0"/>
        <w:tabs>
          <w:tab w:leader="none" w:pos="160"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Income from discontinued operations for 2015 reflects the $14.4 million after-tax gain on the sale of our Security business.</w:t>
      </w:r>
    </w:p>
    <w:p>
      <w:pPr>
        <w:spacing w:after="0" w:line="132" w:lineRule="exact"/>
        <w:rPr>
          <w:rFonts w:ascii="Arial" w:cs="Arial" w:eastAsia="Arial" w:hAnsi="Arial"/>
          <w:sz w:val="19"/>
          <w:szCs w:val="19"/>
          <w:color w:val="auto"/>
          <w:vertAlign w:val="superscript"/>
        </w:rPr>
      </w:pPr>
    </w:p>
    <w:p>
      <w:pPr>
        <w:jc w:val="both"/>
        <w:ind w:firstLine="2"/>
        <w:spacing w:after="0" w:line="230" w:lineRule="auto"/>
        <w:tabs>
          <w:tab w:leader="none" w:pos="196"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In 2016 and 2015, cash paid for income taxes was lower due to cash tax savings of approximately $10 million and $20 million, respectively, related to coverage provided by IFM Assurance Company, our wholly-owned captive insurance company. During 2014 and 2013, cash paid for income taxes increased as certain tax assets were substantially utilized.</w:t>
      </w:r>
    </w:p>
    <w:p>
      <w:pPr>
        <w:spacing w:after="0" w:line="134" w:lineRule="exact"/>
        <w:rPr>
          <w:rFonts w:ascii="Arial" w:cs="Arial" w:eastAsia="Arial" w:hAnsi="Arial"/>
          <w:sz w:val="22"/>
          <w:szCs w:val="22"/>
          <w:color w:val="auto"/>
          <w:vertAlign w:val="superscript"/>
        </w:rPr>
      </w:pPr>
    </w:p>
    <w:p>
      <w:pPr>
        <w:ind w:left="160" w:hanging="158"/>
        <w:spacing w:after="0"/>
        <w:tabs>
          <w:tab w:leader="none" w:pos="160"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Trade accounts receivable, net of allowances, increased by $57.5 million on November 1, 2012 as a result of the November 2012 Acquisitions.</w:t>
      </w:r>
    </w:p>
    <w:p>
      <w:pPr>
        <w:spacing w:after="0" w:line="132" w:lineRule="exact"/>
        <w:rPr>
          <w:rFonts w:ascii="Arial" w:cs="Arial" w:eastAsia="Arial" w:hAnsi="Arial"/>
          <w:sz w:val="19"/>
          <w:szCs w:val="19"/>
          <w:color w:val="auto"/>
          <w:vertAlign w:val="superscript"/>
        </w:rPr>
      </w:pPr>
    </w:p>
    <w:p>
      <w:pPr>
        <w:ind w:firstLine="2"/>
        <w:spacing w:after="0" w:line="223" w:lineRule="auto"/>
        <w:tabs>
          <w:tab w:leader="none" w:pos="187"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Goodwill increased by $54.2 million on December 1, 2015 as a result of the acquisition of Westway Services Holdings (2014) Ltd. (“Westway”). Goodwill increased by $117.1 million on November 1, 2012 as a result of the November 2012 Acquisitions.</w:t>
      </w:r>
    </w:p>
    <w:p>
      <w:pPr>
        <w:spacing w:after="0" w:line="111" w:lineRule="exact"/>
        <w:rPr>
          <w:rFonts w:ascii="Arial" w:cs="Arial" w:eastAsia="Arial" w:hAnsi="Arial"/>
          <w:sz w:val="22"/>
          <w:szCs w:val="22"/>
          <w:color w:val="auto"/>
          <w:vertAlign w:val="superscript"/>
        </w:rPr>
      </w:pPr>
    </w:p>
    <w:p>
      <w:pPr>
        <w:ind w:left="180" w:hanging="178"/>
        <w:spacing w:after="0"/>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Other intangible assets, net of accumulated amortization, increased by $62.2 million on November 1, 2012 as a result of the November 2012 Acquisitions.</w:t>
      </w:r>
    </w:p>
    <w:p>
      <w:pPr>
        <w:spacing w:after="0" w:line="132" w:lineRule="exact"/>
        <w:rPr>
          <w:rFonts w:ascii="Arial" w:cs="Arial" w:eastAsia="Arial" w:hAnsi="Arial"/>
          <w:sz w:val="21"/>
          <w:szCs w:val="21"/>
          <w:color w:val="auto"/>
          <w:vertAlign w:val="superscript"/>
        </w:rPr>
      </w:pPr>
    </w:p>
    <w:p>
      <w:pPr>
        <w:ind w:right="20" w:firstLine="2"/>
        <w:spacing w:after="0" w:line="223" w:lineRule="auto"/>
        <w:tabs>
          <w:tab w:leader="none" w:pos="195"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During 2015, we used the cash proceeds from the sale of our Security business to pay down a portion of our line of credit. The remaining outstanding borrowings are primarily associated with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60"/>
          </w:cols>
          <w:pgMar w:left="300" w:top="52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facilitate an understanding of the results of operations and financial condition of ABM Industries Incorporated and its subsidiaries (collectively referred to as “ABM,” “we,” “us,” “our,” or the “Company”). This MD&amp;A is provided as a supplement to, and should be read in conjunction with, our consolidated financial statements and the accompanying notes (“Financial Statements”). This MD&amp;A contains forward-looking statements about our business, operations, and industry that involve risks and uncertainties, such as statements regarding our plans, objectives, expectations, and intentions. Our future results and financial condition may be materially different from those we currently anticipate. See “Forward-Looking Statements” and Item 1A., “Risk Factors,” for more information. Our MD&amp;A is comprised of the following sections:</w:t>
      </w:r>
    </w:p>
    <w:p>
      <w:pPr>
        <w:spacing w:after="0" w:line="12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Business Overview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Recent Developments and Trends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71"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Throughout the MD&amp;A, amounts and percentages may not recalculate due to rounding. Unless otherwise indicated, all information in the MD&amp;A and references to years are based on our fiscal year, which ends on October 31.</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7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ABM is a leading provider of integrated facility solutions, customized by industry, that enable our clients to deliver exceptional facilities experiences.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Strategic Developments: </w:t>
      </w:r>
      <w:r>
        <w:rPr>
          <w:rFonts w:ascii="Arial" w:cs="Arial" w:eastAsia="Arial" w:hAnsi="Arial"/>
          <w:sz w:val="18"/>
          <w:szCs w:val="18"/>
          <w:b w:val="1"/>
          <w:bCs w:val="1"/>
          <w:color w:val="FF9900"/>
        </w:rPr>
        <w:t>2020</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0070C0"/>
        </w:rPr>
        <w:t>Vision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September 2015, we announced our comprehensive transformation initiative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intended to drive long-term profitable growth through an industry-based go-to-market approach.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involves a three-phase approach: Phase 1, which we completed on November 1, 2016, involved a realignment of our organization; Phase 2 focuses on improvements to our operational framework to promote efficiencies and process enhancements; and in Phase 3, on the foundation of benefits realized from Phases 1 and 2, we anticipate accelerating growth with our industry-based go-to-market service model. During 2016, we made initial progress on the following four operating priorities, which we outlined at the onset of our journey:</w:t>
      </w:r>
    </w:p>
    <w:p>
      <w:pPr>
        <w:spacing w:after="0" w:line="12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Organizational Realignment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Consistent Excellence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 Optimization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Talent Development</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52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 xml:space="preserve">Continuing Our </w:t>
      </w:r>
      <w:r>
        <w:rPr>
          <w:rFonts w:ascii="Arial" w:cs="Arial" w:eastAsia="Arial" w:hAnsi="Arial"/>
          <w:sz w:val="18"/>
          <w:szCs w:val="18"/>
          <w:b w:val="1"/>
          <w:bCs w:val="1"/>
          <w:i w:val="1"/>
          <w:iCs w:val="1"/>
          <w:color w:val="FF9900"/>
        </w:rPr>
        <w:t>2020</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i w:val="1"/>
          <w:iCs w:val="1"/>
          <w:color w:val="0070C0"/>
        </w:rPr>
        <w:t>Vision</w:t>
      </w:r>
      <w:r>
        <w:rPr>
          <w:rFonts w:ascii="Arial" w:cs="Arial" w:eastAsia="Arial" w:hAnsi="Arial"/>
          <w:sz w:val="18"/>
          <w:szCs w:val="18"/>
          <w:b w:val="1"/>
          <w:bCs w:val="1"/>
          <w:i w:val="1"/>
          <w:iCs w:val="1"/>
          <w:color w:val="auto"/>
        </w:rPr>
        <w:t xml:space="preserve"> Journey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Organizational Realignment</w:t>
      </w:r>
    </w:p>
    <w:p>
      <w:pPr>
        <w:spacing w:after="0" w:line="169"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On November 1, 2016, we completed Phase 1 of our transformation initiative, establishing five industry groups and one Technical Solutions group, which spans the five industry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71755</wp:posOffset>
            </wp:positionV>
            <wp:extent cx="5848985" cy="8661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48985"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Through these groups, we will be able to offer a full complement of solutions, including janitorial, facilities engineering, and parking, on a stand-alone basis or in combination with each other or with specialized mechanical and electrical technical services.</w:t>
      </w:r>
    </w:p>
    <w:p>
      <w:pPr>
        <w:spacing w:after="0" w:line="9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our new industry groups, we designed a new organization to support this structure. Accordingly, we eliminated several legacy personnel roles that existed under our service line structure and selected personnel to fill newly created roles that aligned with our industry group model. As a result of the realignment, in 2016, our cost savings related to the organizational design were approximately $22 million. In addition, we expect to achieve $27 million of savings in 2017.</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Although the organizational design was completed in the second half of 2016, not all newly created positions have been filled, and we are in the process of selecting talent to fill these new roles. As such, we have realized lower costs related to the timing of several investments in headcount that have not yet been made. Although we expect to fill these positions in 2017, we may continue to realize lower costs in future months due to this timing.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Consistent Excellence</w:t>
      </w:r>
    </w:p>
    <w:p>
      <w:pPr>
        <w:spacing w:after="0" w:line="1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Phase 2 of our transformation initiative matures, we will continue to identify, design, codify, and implement standard operating procedures (“SOPs”) that we anticipate will enable us to achieve more profitable growth across all of our industry groups and our Technical Solutions business. Our initial focus will be in the areas of account management, labor management, manager development, and safety and risk management. To achieve our objective of more profitable growth and best-in-class client service, we have created a Center of Excellence (“COE”) that will support the process of continuous improvement through best practices and drive these throughout our organization. We expect the initial SOPs will be partially or fully implemented in the second half of 2017, and as a result, we expect to maintain or increase margins over time.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Optimization</w:t>
      </w:r>
    </w:p>
    <w:p>
      <w:pPr>
        <w:spacing w:after="0" w:line="1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In 2016, we began to consolidate certain of our back office functions in our shared services center. As of November 1, 2016, we had transferred a portion of our back office functions to the shared services center. In addition to the reduction of costs achieved as part of our organizational realignment, we are pursuing additional initiatives to reduce costs, such as a consolidated procurement process. Under consolidated procurement, client location purchases will be submitted through a centralized database that sources the required products from ABM’s approved vendors. We expect procurement savings to result in a margin lift of 12–15 bps in 2017</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Development</w:t>
      </w:r>
    </w:p>
    <w:p>
      <w:pPr>
        <w:spacing w:after="0" w:line="181"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8"/>
          <w:szCs w:val="18"/>
          <w:color w:val="auto"/>
        </w:rPr>
        <w:t xml:space="preserve">One of the key underpinnings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is the investment in people and the development of personnel. To that end, we have created a Talent Management Group that will be responsible for driving best-in-class talent development throughout the organization.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FF9900"/>
        </w:rPr>
        <w:t xml:space="preserve">2020 </w:t>
      </w:r>
      <w:r>
        <w:rPr>
          <w:rFonts w:ascii="Arial" w:cs="Arial" w:eastAsia="Arial" w:hAnsi="Arial"/>
          <w:sz w:val="18"/>
          <w:szCs w:val="18"/>
          <w:b w:val="1"/>
          <w:bCs w:val="1"/>
          <w:i w:val="1"/>
          <w:iCs w:val="1"/>
          <w:color w:val="0070C0"/>
        </w:rPr>
        <w:t>Vision</w:t>
      </w:r>
      <w:r>
        <w:rPr>
          <w:rFonts w:ascii="Arial" w:cs="Arial" w:eastAsia="Arial" w:hAnsi="Arial"/>
          <w:sz w:val="18"/>
          <w:szCs w:val="18"/>
          <w:b w:val="1"/>
          <w:bCs w:val="1"/>
          <w:i w:val="1"/>
          <w:iCs w:val="1"/>
          <w:color w:val="000000"/>
        </w:rPr>
        <w:t>: Strategic Acquisitions and Divestitures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2016, we acquired Westway Services Holdings (2014) Ltd. (“Westway”), a provider of technical services in the United Kingdom. This acquisition complements ABM’s existing technical services business and supports our initiative to deliver value-added solutions through the ability to supply mechanical, electrical, and core service lines to</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522" w:right="239" w:bottom="1440" w:gutter="0" w:footer="0" w:header="0"/>
        </w:sectPr>
      </w:pPr>
    </w:p>
    <w:bookmarkStart w:id="25" w:name="page26"/>
    <w:bookmarkEnd w:id="25"/>
    <w:p>
      <w:pPr>
        <w:jc w:val="both"/>
        <w:ind w:right="20"/>
        <w:spacing w:after="0" w:line="271" w:lineRule="auto"/>
        <w:rPr>
          <w:sz w:val="20"/>
          <w:szCs w:val="20"/>
          <w:color w:val="auto"/>
        </w:rPr>
      </w:pPr>
      <w:r>
        <w:rPr>
          <w:rFonts w:ascii="Arial" w:cs="Arial" w:eastAsia="Arial" w:hAnsi="Arial"/>
          <w:sz w:val="18"/>
          <w:szCs w:val="18"/>
          <w:color w:val="auto"/>
        </w:rPr>
        <w:t>our current client base in the United Kingdom. In addition, this acquisition provides the opportunity to cross sell ABM’s services to existing Westway clients. Further, this acquisition is in line with our long-term strategic vision as we believe we can achieve higher margins and deliver greater value to our shareholders through our technical services business.</w:t>
      </w:r>
    </w:p>
    <w:p>
      <w:pPr>
        <w:spacing w:after="0" w:line="109"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 xml:space="preserve">In October 2015, we divested our Security business in a sale of substantially all of the assets of this business to Universal Protection Service, L.P. for cash proceeds of $131.0 million. This business was identified as strategically not aligned with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The Security business is included within discontinued operations for all periods presented. In the fourth quarter of 2016, we exited our GreenHomes America franchising business and decided to sell our Government Services business, which we classified as held for sale in the current period. Our Government Services business provides specialty solutions in support of U.S. government entities, such as construction management and mission support. This business is currently part of our Building &amp; Energy Solutions segment, and under future segment reporting it will be a separate segment until it is sold.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FF9900"/>
        </w:rPr>
        <w:t xml:space="preserve">2020 </w:t>
      </w:r>
      <w:r>
        <w:rPr>
          <w:rFonts w:ascii="Arial" w:cs="Arial" w:eastAsia="Arial" w:hAnsi="Arial"/>
          <w:sz w:val="18"/>
          <w:szCs w:val="18"/>
          <w:b w:val="1"/>
          <w:bCs w:val="1"/>
          <w:i w:val="1"/>
          <w:iCs w:val="1"/>
          <w:color w:val="0070C0"/>
        </w:rPr>
        <w:t>Vision</w:t>
      </w:r>
      <w:r>
        <w:rPr>
          <w:rFonts w:ascii="Arial" w:cs="Arial" w:eastAsia="Arial" w:hAnsi="Arial"/>
          <w:sz w:val="18"/>
          <w:szCs w:val="18"/>
          <w:b w:val="1"/>
          <w:bCs w:val="1"/>
          <w:i w:val="1"/>
          <w:iCs w:val="1"/>
          <w:color w:val="000000"/>
        </w:rPr>
        <w:t>: 2017 and Beyond</w:t>
      </w:r>
    </w:p>
    <w:p>
      <w:pPr>
        <w:spacing w:after="0" w:line="17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8"/>
          <w:szCs w:val="18"/>
          <w:color w:val="auto"/>
        </w:rPr>
        <w:t>We expect to continue making progress on Phase 2 of our transformation initiative during 2017. During this time, our key priorities will be completing the migration of our back office functions to the shared services center, driving cost optimization initiatives through our procurement program, and implementing enterprise-wide SOPs through our Consistent Excellence work streams, including extending the use of external advisors for initial pricing and furthering of procurement efforts. By prioritizing these initiatives, we believe that we are building a foundation that should enable us to deliver leading industry-based facility solutions.</w:t>
      </w:r>
    </w:p>
    <w:p>
      <w:pPr>
        <w:spacing w:after="0" w:line="119"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8"/>
          <w:szCs w:val="18"/>
          <w:color w:val="auto"/>
        </w:rPr>
        <w:t xml:space="preserve">We anticipate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will yield an annualized run-rate for operational benefits at the high-end of our previously announced range of $ 40–$50 million by the end of 2017. With the progress made on our industry realignment and cost savings initiatives, we believe that we are on track to deliver long-term profitable growth to our shareholders.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Future Segment Reporting Under Our </w:t>
      </w:r>
      <w:r>
        <w:rPr>
          <w:rFonts w:ascii="Arial" w:cs="Arial" w:eastAsia="Arial" w:hAnsi="Arial"/>
          <w:sz w:val="18"/>
          <w:szCs w:val="18"/>
          <w:b w:val="1"/>
          <w:bCs w:val="1"/>
          <w:i w:val="1"/>
          <w:iCs w:val="1"/>
          <w:color w:val="FF9900"/>
        </w:rPr>
        <w:t>2020</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i w:val="1"/>
          <w:iCs w:val="1"/>
          <w:color w:val="0070C0"/>
        </w:rPr>
        <w:t>Vision</w:t>
      </w:r>
    </w:p>
    <w:p>
      <w:pPr>
        <w:spacing w:after="0" w:line="169" w:lineRule="exact"/>
        <w:rPr>
          <w:sz w:val="20"/>
          <w:szCs w:val="20"/>
          <w:color w:val="auto"/>
        </w:rPr>
      </w:pPr>
    </w:p>
    <w:p>
      <w:pPr>
        <w:jc w:val="both"/>
        <w:ind w:right="20" w:firstLine="648"/>
        <w:spacing w:after="0" w:line="294" w:lineRule="auto"/>
        <w:rPr>
          <w:sz w:val="20"/>
          <w:szCs w:val="20"/>
          <w:color w:val="auto"/>
        </w:rPr>
      </w:pPr>
      <w:r>
        <w:rPr>
          <w:rFonts w:ascii="Arial" w:cs="Arial" w:eastAsia="Arial" w:hAnsi="Arial"/>
          <w:sz w:val="18"/>
          <w:szCs w:val="18"/>
          <w:color w:val="auto"/>
        </w:rPr>
        <w:t xml:space="preserve">The changes described above relating to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and our strategic transformation will result in changes to our reportable segments in 2017. These new segments, described below, align with our new organizational structure.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3000" w:type="dxa"/>
            <w:vAlign w:val="bottom"/>
            <w:tcBorders>
              <w:top w:val="single" w:sz="8" w:color="auto"/>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Reportable Segment</w:t>
            </w:r>
          </w:p>
        </w:tc>
        <w:tc>
          <w:tcPr>
            <w:tcW w:w="8440" w:type="dxa"/>
            <w:vAlign w:val="bottom"/>
            <w:tcBorders>
              <w:top w:val="single" w:sz="8" w:color="auto"/>
              <w:bottom w:val="single" w:sz="8" w:color="auto"/>
              <w:right w:val="single" w:sz="8" w:color="auto"/>
            </w:tcBorders>
            <w:shd w:val="clear" w:color="auto" w:fill="CCEEFF"/>
          </w:tcPr>
          <w:p>
            <w:pPr>
              <w:ind w:left="37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1"/>
        </w:trPr>
        <w:tc>
          <w:tcPr>
            <w:tcW w:w="3000" w:type="dxa"/>
            <w:vAlign w:val="bottom"/>
            <w:tcBorders>
              <w:left w:val="single" w:sz="8" w:color="auto"/>
              <w:right w:val="single" w:sz="8" w:color="auto"/>
            </w:tcBorders>
          </w:tcPr>
          <w:p>
            <w:pPr>
              <w:spacing w:after="0"/>
              <w:rPr>
                <w:sz w:val="17"/>
                <w:szCs w:val="17"/>
                <w:color w:val="auto"/>
              </w:rPr>
            </w:pPr>
          </w:p>
        </w:tc>
        <w:tc>
          <w:tcPr>
            <w:tcW w:w="844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B&amp;I represents our largest reportable segment. It encompasses janitorial, facilities engineering, and</w:t>
            </w: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Business &amp; Industry (“B&amp;I”)</w:t>
            </w:r>
          </w:p>
        </w:tc>
        <w:tc>
          <w:tcPr>
            <w:tcW w:w="8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parking services to commercial real estate industries, including sports and entertainment venues as well</w:t>
            </w:r>
          </w:p>
        </w:tc>
        <w:tc>
          <w:tcPr>
            <w:tcW w:w="0" w:type="dxa"/>
            <w:vAlign w:val="bottom"/>
          </w:tcPr>
          <w:p>
            <w:pPr>
              <w:spacing w:after="0"/>
              <w:rPr>
                <w:sz w:val="1"/>
                <w:szCs w:val="1"/>
                <w:color w:val="auto"/>
              </w:rPr>
            </w:pPr>
          </w:p>
        </w:tc>
      </w:tr>
      <w:tr>
        <w:trPr>
          <w:trHeight w:val="248"/>
        </w:trPr>
        <w:tc>
          <w:tcPr>
            <w:tcW w:w="3000" w:type="dxa"/>
            <w:vAlign w:val="bottom"/>
            <w:tcBorders>
              <w:left w:val="single" w:sz="8" w:color="auto"/>
              <w:bottom w:val="single" w:sz="8" w:color="auto"/>
              <w:right w:val="single" w:sz="8" w:color="auto"/>
            </w:tcBorders>
          </w:tcPr>
          <w:p>
            <w:pPr>
              <w:spacing w:after="0"/>
              <w:rPr>
                <w:sz w:val="21"/>
                <w:szCs w:val="21"/>
                <w:color w:val="auto"/>
              </w:rPr>
            </w:pPr>
          </w:p>
        </w:tc>
        <w:tc>
          <w:tcPr>
            <w:tcW w:w="8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 industrial and manufacturing sites.</w:t>
            </w:r>
          </w:p>
        </w:tc>
        <w:tc>
          <w:tcPr>
            <w:tcW w:w="0" w:type="dxa"/>
            <w:vAlign w:val="bottom"/>
          </w:tcPr>
          <w:p>
            <w:pPr>
              <w:spacing w:after="0"/>
              <w:rPr>
                <w:sz w:val="1"/>
                <w:szCs w:val="1"/>
                <w:color w:val="auto"/>
              </w:rPr>
            </w:pPr>
          </w:p>
        </w:tc>
      </w:tr>
      <w:tr>
        <w:trPr>
          <w:trHeight w:val="205"/>
        </w:trPr>
        <w:tc>
          <w:tcPr>
            <w:tcW w:w="3000" w:type="dxa"/>
            <w:vAlign w:val="bottom"/>
            <w:tcBorders>
              <w:left w:val="single" w:sz="8" w:color="auto"/>
              <w:right w:val="single" w:sz="8" w:color="auto"/>
            </w:tcBorders>
          </w:tcPr>
          <w:p>
            <w:pPr>
              <w:spacing w:after="0"/>
              <w:rPr>
                <w:sz w:val="17"/>
                <w:szCs w:val="17"/>
                <w:color w:val="auto"/>
              </w:rPr>
            </w:pPr>
          </w:p>
        </w:tc>
        <w:tc>
          <w:tcPr>
            <w:tcW w:w="844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Aviation includes Air Serv (our Other segment) and our services supporting airlines and airports. A wide</w:t>
            </w: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Aviation</w:t>
            </w:r>
          </w:p>
        </w:tc>
        <w:tc>
          <w:tcPr>
            <w:tcW w:w="8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array of services that support the needs of our clients are included in this segment, ranging from parking</w:t>
            </w:r>
          </w:p>
        </w:tc>
        <w:tc>
          <w:tcPr>
            <w:tcW w:w="0" w:type="dxa"/>
            <w:vAlign w:val="bottom"/>
          </w:tcPr>
          <w:p>
            <w:pPr>
              <w:spacing w:after="0"/>
              <w:rPr>
                <w:sz w:val="1"/>
                <w:szCs w:val="1"/>
                <w:color w:val="auto"/>
              </w:rPr>
            </w:pPr>
          </w:p>
        </w:tc>
      </w:tr>
      <w:tr>
        <w:trPr>
          <w:trHeight w:val="248"/>
        </w:trPr>
        <w:tc>
          <w:tcPr>
            <w:tcW w:w="3000" w:type="dxa"/>
            <w:vAlign w:val="bottom"/>
            <w:tcBorders>
              <w:left w:val="single" w:sz="8" w:color="auto"/>
              <w:bottom w:val="single" w:sz="8" w:color="auto"/>
              <w:right w:val="single" w:sz="8" w:color="auto"/>
            </w:tcBorders>
          </w:tcPr>
          <w:p>
            <w:pPr>
              <w:spacing w:after="0"/>
              <w:rPr>
                <w:sz w:val="21"/>
                <w:szCs w:val="21"/>
                <w:color w:val="auto"/>
              </w:rPr>
            </w:pPr>
          </w:p>
        </w:tc>
        <w:tc>
          <w:tcPr>
            <w:tcW w:w="8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and janitorial to passenger assistance, air cabin maintenance, and transportation.</w:t>
            </w:r>
          </w:p>
        </w:tc>
        <w:tc>
          <w:tcPr>
            <w:tcW w:w="0" w:type="dxa"/>
            <w:vAlign w:val="bottom"/>
          </w:tcPr>
          <w:p>
            <w:pPr>
              <w:spacing w:after="0"/>
              <w:rPr>
                <w:sz w:val="1"/>
                <w:szCs w:val="1"/>
                <w:color w:val="auto"/>
              </w:rPr>
            </w:pPr>
          </w:p>
        </w:tc>
      </w:tr>
      <w:tr>
        <w:trPr>
          <w:trHeight w:val="205"/>
        </w:trPr>
        <w:tc>
          <w:tcPr>
            <w:tcW w:w="30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Emerging Industries Group</w:t>
            </w:r>
          </w:p>
        </w:tc>
        <w:tc>
          <w:tcPr>
            <w:tcW w:w="844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Our Emerging Industries Group encompasses janitorial, facilities engineering, and parking services for</w:t>
            </w:r>
          </w:p>
        </w:tc>
        <w:tc>
          <w:tcPr>
            <w:tcW w:w="0" w:type="dxa"/>
            <w:vAlign w:val="bottom"/>
          </w:tcPr>
          <w:p>
            <w:pPr>
              <w:spacing w:after="0"/>
              <w:rPr>
                <w:sz w:val="1"/>
                <w:szCs w:val="1"/>
                <w:color w:val="auto"/>
              </w:rPr>
            </w:pPr>
          </w:p>
        </w:tc>
      </w:tr>
      <w:tr>
        <w:trPr>
          <w:trHeight w:val="135"/>
        </w:trPr>
        <w:tc>
          <w:tcPr>
            <w:tcW w:w="3000" w:type="dxa"/>
            <w:vAlign w:val="bottom"/>
            <w:tcBorders>
              <w:left w:val="single" w:sz="8" w:color="auto"/>
              <w:right w:val="single" w:sz="8" w:color="auto"/>
            </w:tcBorders>
            <w:vMerge w:val="continue"/>
          </w:tcPr>
          <w:p>
            <w:pPr>
              <w:spacing w:after="0"/>
              <w:rPr>
                <w:sz w:val="11"/>
                <w:szCs w:val="11"/>
                <w:color w:val="auto"/>
              </w:rPr>
            </w:pPr>
          </w:p>
        </w:tc>
        <w:tc>
          <w:tcPr>
            <w:tcW w:w="84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Education, High Tech, and Healthcare industries.</w:t>
            </w:r>
          </w:p>
        </w:tc>
        <w:tc>
          <w:tcPr>
            <w:tcW w:w="0" w:type="dxa"/>
            <w:vAlign w:val="bottom"/>
          </w:tcPr>
          <w:p>
            <w:pPr>
              <w:spacing w:after="0"/>
              <w:rPr>
                <w:sz w:val="1"/>
                <w:szCs w:val="1"/>
                <w:color w:val="auto"/>
              </w:rPr>
            </w:pPr>
          </w:p>
        </w:tc>
      </w:tr>
      <w:tr>
        <w:trPr>
          <w:trHeight w:val="113"/>
        </w:trPr>
        <w:tc>
          <w:tcPr>
            <w:tcW w:w="3000" w:type="dxa"/>
            <w:vAlign w:val="bottom"/>
            <w:tcBorders>
              <w:left w:val="single" w:sz="8" w:color="auto"/>
              <w:bottom w:val="single" w:sz="8" w:color="auto"/>
              <w:right w:val="single" w:sz="8" w:color="auto"/>
            </w:tcBorders>
          </w:tcPr>
          <w:p>
            <w:pPr>
              <w:spacing w:after="0"/>
              <w:rPr>
                <w:sz w:val="9"/>
                <w:szCs w:val="9"/>
                <w:color w:val="auto"/>
              </w:rPr>
            </w:pPr>
          </w:p>
        </w:tc>
        <w:tc>
          <w:tcPr>
            <w:tcW w:w="84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3000" w:type="dxa"/>
            <w:vAlign w:val="bottom"/>
            <w:tcBorders>
              <w:left w:val="single" w:sz="8" w:color="auto"/>
              <w:right w:val="single" w:sz="8" w:color="auto"/>
            </w:tcBorders>
          </w:tcPr>
          <w:p>
            <w:pPr>
              <w:spacing w:after="0"/>
              <w:rPr>
                <w:sz w:val="17"/>
                <w:szCs w:val="17"/>
                <w:color w:val="auto"/>
              </w:rPr>
            </w:pPr>
          </w:p>
        </w:tc>
        <w:tc>
          <w:tcPr>
            <w:tcW w:w="844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Technical Solutions provides specialized mechanical and electrical services. These services can also be</w:t>
            </w: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Technical Solutions</w:t>
            </w:r>
          </w:p>
        </w:tc>
        <w:tc>
          <w:tcPr>
            <w:tcW w:w="8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leveraged for cross-selling within B&amp;I, Aviation, and Emerging Industry Groups, both domestically and</w:t>
            </w:r>
          </w:p>
        </w:tc>
        <w:tc>
          <w:tcPr>
            <w:tcW w:w="0" w:type="dxa"/>
            <w:vAlign w:val="bottom"/>
          </w:tcPr>
          <w:p>
            <w:pPr>
              <w:spacing w:after="0"/>
              <w:rPr>
                <w:sz w:val="1"/>
                <w:szCs w:val="1"/>
                <w:color w:val="auto"/>
              </w:rPr>
            </w:pPr>
          </w:p>
        </w:tc>
      </w:tr>
      <w:tr>
        <w:trPr>
          <w:trHeight w:val="248"/>
        </w:trPr>
        <w:tc>
          <w:tcPr>
            <w:tcW w:w="3000" w:type="dxa"/>
            <w:vAlign w:val="bottom"/>
            <w:tcBorders>
              <w:left w:val="single" w:sz="8" w:color="auto"/>
              <w:bottom w:val="single" w:sz="8" w:color="auto"/>
              <w:right w:val="single" w:sz="8" w:color="auto"/>
            </w:tcBorders>
          </w:tcPr>
          <w:p>
            <w:pPr>
              <w:spacing w:after="0"/>
              <w:rPr>
                <w:sz w:val="21"/>
                <w:szCs w:val="21"/>
                <w:color w:val="auto"/>
              </w:rPr>
            </w:pPr>
          </w:p>
        </w:tc>
        <w:tc>
          <w:tcPr>
            <w:tcW w:w="8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internationally (through our U.K.-based acquisition of Westway).</w:t>
            </w:r>
          </w:p>
        </w:tc>
        <w:tc>
          <w:tcPr>
            <w:tcW w:w="0" w:type="dxa"/>
            <w:vAlign w:val="bottom"/>
          </w:tcPr>
          <w:p>
            <w:pPr>
              <w:spacing w:after="0"/>
              <w:rPr>
                <w:sz w:val="1"/>
                <w:szCs w:val="1"/>
                <w:color w:val="auto"/>
              </w:rPr>
            </w:pPr>
          </w:p>
        </w:tc>
      </w:tr>
      <w:tr>
        <w:trPr>
          <w:trHeight w:val="205"/>
        </w:trPr>
        <w:tc>
          <w:tcPr>
            <w:tcW w:w="3000" w:type="dxa"/>
            <w:vAlign w:val="bottom"/>
            <w:tcBorders>
              <w:left w:val="single" w:sz="8" w:color="auto"/>
              <w:right w:val="single" w:sz="8" w:color="auto"/>
            </w:tcBorders>
          </w:tcPr>
          <w:p>
            <w:pPr>
              <w:spacing w:after="0"/>
              <w:rPr>
                <w:sz w:val="17"/>
                <w:szCs w:val="17"/>
                <w:color w:val="auto"/>
              </w:rPr>
            </w:pPr>
          </w:p>
        </w:tc>
        <w:tc>
          <w:tcPr>
            <w:tcW w:w="844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Our held-for-sale  Government Services business  provides  specialty solutions in support of U.S.</w:t>
            </w: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Government Services</w:t>
            </w:r>
          </w:p>
        </w:tc>
        <w:tc>
          <w:tcPr>
            <w:tcW w:w="8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government entities, such as: construction management; energy efficiency upgrades; healthcare support;</w:t>
            </w:r>
          </w:p>
        </w:tc>
        <w:tc>
          <w:tcPr>
            <w:tcW w:w="0" w:type="dxa"/>
            <w:vAlign w:val="bottom"/>
          </w:tcPr>
          <w:p>
            <w:pPr>
              <w:spacing w:after="0"/>
              <w:rPr>
                <w:sz w:val="1"/>
                <w:szCs w:val="1"/>
                <w:color w:val="auto"/>
              </w:rPr>
            </w:pPr>
          </w:p>
        </w:tc>
      </w:tr>
      <w:tr>
        <w:trPr>
          <w:trHeight w:val="248"/>
        </w:trPr>
        <w:tc>
          <w:tcPr>
            <w:tcW w:w="3000" w:type="dxa"/>
            <w:vAlign w:val="bottom"/>
            <w:tcBorders>
              <w:left w:val="single" w:sz="8" w:color="auto"/>
              <w:bottom w:val="single" w:sz="8" w:color="auto"/>
              <w:right w:val="single" w:sz="8" w:color="auto"/>
            </w:tcBorders>
          </w:tcPr>
          <w:p>
            <w:pPr>
              <w:spacing w:after="0"/>
              <w:rPr>
                <w:sz w:val="21"/>
                <w:szCs w:val="21"/>
                <w:color w:val="auto"/>
              </w:rPr>
            </w:pPr>
          </w:p>
        </w:tc>
        <w:tc>
          <w:tcPr>
            <w:tcW w:w="8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leadership development; military base operations; and other mission support services.</w:t>
            </w:r>
          </w:p>
        </w:tc>
        <w:tc>
          <w:tcPr>
            <w:tcW w:w="0" w:type="dxa"/>
            <w:vAlign w:val="bottom"/>
          </w:tcPr>
          <w:p>
            <w:pPr>
              <w:spacing w:after="0"/>
              <w:rPr>
                <w:sz w:val="1"/>
                <w:szCs w:val="1"/>
                <w:color w:val="auto"/>
              </w:rPr>
            </w:pPr>
          </w:p>
        </w:tc>
      </w:tr>
      <w:tr>
        <w:trPr>
          <w:trHeight w:val="457"/>
        </w:trPr>
        <w:tc>
          <w:tcPr>
            <w:tcW w:w="3000" w:type="dxa"/>
            <w:vAlign w:val="bottom"/>
          </w:tcPr>
          <w:p>
            <w:pPr>
              <w:spacing w:after="0"/>
              <w:rPr>
                <w:sz w:val="24"/>
                <w:szCs w:val="24"/>
                <w:color w:val="auto"/>
              </w:rPr>
            </w:pPr>
          </w:p>
        </w:tc>
        <w:tc>
          <w:tcPr>
            <w:tcW w:w="844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bl>
    <w:p>
      <w:pPr>
        <w:sectPr>
          <w:pgSz w:w="11900" w:h="16838" w:orient="portrait"/>
          <w:cols w:equalWidth="0" w:num="1">
            <w:col w:w="11440"/>
          </w:cols>
          <w:pgMar w:left="240" w:top="522" w:right="2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FF9900"/>
        </w:rPr>
        <w:t xml:space="preserve">2020 </w:t>
      </w:r>
      <w:r>
        <w:rPr>
          <w:rFonts w:ascii="Arial" w:cs="Arial" w:eastAsia="Arial" w:hAnsi="Arial"/>
          <w:sz w:val="18"/>
          <w:szCs w:val="18"/>
          <w:b w:val="1"/>
          <w:bCs w:val="1"/>
          <w:i w:val="1"/>
          <w:iCs w:val="1"/>
          <w:color w:val="0070C0"/>
        </w:rPr>
        <w:t>Vision</w:t>
      </w:r>
      <w:r>
        <w:rPr>
          <w:rFonts w:ascii="Arial" w:cs="Arial" w:eastAsia="Arial" w:hAnsi="Arial"/>
          <w:sz w:val="18"/>
          <w:szCs w:val="18"/>
          <w:b w:val="1"/>
          <w:bCs w:val="1"/>
          <w:i w:val="1"/>
          <w:iCs w:val="1"/>
          <w:color w:val="FF9900"/>
        </w:rPr>
        <w:t xml:space="preserve"> </w:t>
      </w:r>
      <w:r>
        <w:rPr>
          <w:rFonts w:ascii="Arial" w:cs="Arial" w:eastAsia="Arial" w:hAnsi="Arial"/>
          <w:sz w:val="18"/>
          <w:szCs w:val="18"/>
          <w:b w:val="1"/>
          <w:bCs w:val="1"/>
          <w:i w:val="1"/>
          <w:iCs w:val="1"/>
          <w:color w:val="000000"/>
        </w:rPr>
        <w:t>Restructuring and Related Costs</w:t>
      </w:r>
    </w:p>
    <w:p>
      <w:pPr>
        <w:spacing w:after="0" w:line="16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8"/>
          <w:szCs w:val="18"/>
          <w:color w:val="auto"/>
        </w:rPr>
        <w:t xml:space="preserve">In connection with the execution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we anticipate total pre-tax restructuring and related charges will range from $45 million to $60 million. We expect these costs to consist of employee severance from $17 million to $20 million, external support fees from $14 million to $19 million, other project fees from $7 million to $8 million, lease exit costs related to real estate consolidation from $5 million to $10 million, and the write-down of certain investments from $2 million to $3 million. The majority of these charges were incurred during 2016.</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6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b w:val="1"/>
                <w:bCs w:val="1"/>
                <w:color w:val="auto"/>
              </w:rPr>
              <w:t>Year Ended October 31, 2016</w:t>
            </w:r>
          </w:p>
        </w:tc>
        <w:tc>
          <w:tcPr>
            <w:tcW w:w="640" w:type="dxa"/>
            <w:vAlign w:val="bottom"/>
          </w:tcPr>
          <w:p>
            <w:pPr>
              <w:spacing w:after="0"/>
              <w:rPr>
                <w:sz w:val="18"/>
                <w:szCs w:val="18"/>
                <w:color w:val="auto"/>
              </w:rPr>
            </w:pPr>
          </w:p>
        </w:tc>
        <w:tc>
          <w:tcPr>
            <w:tcW w:w="2680" w:type="dxa"/>
            <w:vAlign w:val="bottom"/>
          </w:tcPr>
          <w:p>
            <w:pPr>
              <w:jc w:val="right"/>
              <w:ind w:right="1090"/>
              <w:spacing w:after="0"/>
              <w:rPr>
                <w:sz w:val="20"/>
                <w:szCs w:val="20"/>
                <w:color w:val="auto"/>
              </w:rPr>
            </w:pPr>
            <w:r>
              <w:rPr>
                <w:rFonts w:ascii="Arial" w:cs="Arial" w:eastAsia="Arial" w:hAnsi="Arial"/>
                <w:sz w:val="18"/>
                <w:szCs w:val="18"/>
                <w:b w:val="1"/>
                <w:bCs w:val="1"/>
                <w:color w:val="auto"/>
              </w:rPr>
              <w:t>Cumulative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r>
      <w:tr>
        <w:trPr>
          <w:trHeight w:val="250"/>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External Support Fees</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2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r>
      <w:tr>
        <w:trPr>
          <w:trHeight w:val="265"/>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Employee Severance</w:t>
            </w:r>
          </w:p>
        </w:tc>
        <w:tc>
          <w:tcPr>
            <w:tcW w:w="280" w:type="dxa"/>
            <w:vAlign w:val="bottom"/>
          </w:tcPr>
          <w:p>
            <w:pPr>
              <w:spacing w:after="0"/>
              <w:rPr>
                <w:sz w:val="23"/>
                <w:szCs w:val="23"/>
                <w:color w:val="auto"/>
              </w:rPr>
            </w:pPr>
          </w:p>
        </w:tc>
        <w:tc>
          <w:tcPr>
            <w:tcW w:w="304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80" w:type="dxa"/>
            <w:vAlign w:val="bottom"/>
          </w:tcPr>
          <w:p>
            <w:pPr>
              <w:jc w:val="right"/>
              <w:ind w:right="10"/>
              <w:spacing w:after="0"/>
              <w:rPr>
                <w:sz w:val="20"/>
                <w:szCs w:val="20"/>
                <w:color w:val="auto"/>
              </w:rPr>
            </w:pPr>
            <w:r>
              <w:rPr>
                <w:rFonts w:ascii="Arial" w:cs="Arial" w:eastAsia="Arial" w:hAnsi="Arial"/>
                <w:sz w:val="18"/>
                <w:szCs w:val="18"/>
                <w:color w:val="auto"/>
              </w:rPr>
              <w:t>13.3</w:t>
            </w:r>
          </w:p>
        </w:tc>
      </w:tr>
      <w:tr>
        <w:trPr>
          <w:trHeight w:val="275"/>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Project Fees</w:t>
            </w:r>
          </w:p>
        </w:tc>
        <w:tc>
          <w:tcPr>
            <w:tcW w:w="280" w:type="dxa"/>
            <w:vAlign w:val="bottom"/>
            <w:shd w:val="clear" w:color="auto" w:fill="CCEEFF"/>
          </w:tcPr>
          <w:p>
            <w:pPr>
              <w:spacing w:after="0"/>
              <w:rPr>
                <w:sz w:val="23"/>
                <w:szCs w:val="23"/>
                <w:color w:val="auto"/>
              </w:rPr>
            </w:pPr>
          </w:p>
        </w:tc>
        <w:tc>
          <w:tcPr>
            <w:tcW w:w="3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65"/>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Lease Exit</w:t>
            </w:r>
          </w:p>
        </w:tc>
        <w:tc>
          <w:tcPr>
            <w:tcW w:w="280" w:type="dxa"/>
            <w:vAlign w:val="bottom"/>
          </w:tcPr>
          <w:p>
            <w:pPr>
              <w:spacing w:after="0"/>
              <w:rPr>
                <w:sz w:val="23"/>
                <w:szCs w:val="23"/>
                <w:color w:val="auto"/>
              </w:rPr>
            </w:pPr>
          </w:p>
        </w:tc>
        <w:tc>
          <w:tcPr>
            <w:tcW w:w="304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8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5"/>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Asset Impairment</w:t>
            </w:r>
          </w:p>
        </w:tc>
        <w:tc>
          <w:tcPr>
            <w:tcW w:w="280" w:type="dxa"/>
            <w:vAlign w:val="bottom"/>
            <w:tcBorders>
              <w:bottom w:val="single" w:sz="8" w:color="auto"/>
            </w:tcBorders>
            <w:shd w:val="clear" w:color="auto" w:fill="CCEEFF"/>
          </w:tcPr>
          <w:p>
            <w:pPr>
              <w:spacing w:after="0"/>
              <w:rPr>
                <w:sz w:val="23"/>
                <w:szCs w:val="23"/>
                <w:color w:val="auto"/>
              </w:rPr>
            </w:pPr>
          </w:p>
        </w:tc>
        <w:tc>
          <w:tcPr>
            <w:tcW w:w="3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2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49"/>
        </w:trPr>
        <w:tc>
          <w:tcPr>
            <w:tcW w:w="466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040" w:type="dxa"/>
            <w:vAlign w:val="bottom"/>
          </w:tcPr>
          <w:p>
            <w:pPr>
              <w:jc w:val="right"/>
              <w:ind w:right="10"/>
              <w:spacing w:after="0"/>
              <w:rPr>
                <w:sz w:val="20"/>
                <w:szCs w:val="20"/>
                <w:color w:val="auto"/>
              </w:rPr>
            </w:pPr>
            <w:r>
              <w:rPr>
                <w:rFonts w:ascii="Arial" w:cs="Arial" w:eastAsia="Arial" w:hAnsi="Arial"/>
                <w:sz w:val="18"/>
                <w:szCs w:val="18"/>
                <w:b w:val="1"/>
                <w:bCs w:val="1"/>
                <w:color w:val="auto"/>
              </w:rPr>
              <w:t>29.0</w:t>
            </w:r>
          </w:p>
        </w:tc>
        <w:tc>
          <w:tcPr>
            <w:tcW w:w="12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b w:val="1"/>
                <w:bCs w:val="1"/>
                <w:color w:val="auto"/>
                <w:w w:val="99"/>
              </w:rPr>
              <w:t>$</w:t>
            </w:r>
          </w:p>
        </w:tc>
        <w:tc>
          <w:tcPr>
            <w:tcW w:w="2680" w:type="dxa"/>
            <w:vAlign w:val="bottom"/>
          </w:tcPr>
          <w:p>
            <w:pPr>
              <w:jc w:val="right"/>
              <w:ind w:right="10"/>
              <w:spacing w:after="0"/>
              <w:rPr>
                <w:sz w:val="20"/>
                <w:szCs w:val="20"/>
                <w:color w:val="auto"/>
              </w:rPr>
            </w:pPr>
            <w:r>
              <w:rPr>
                <w:rFonts w:ascii="Arial" w:cs="Arial" w:eastAsia="Arial" w:hAnsi="Arial"/>
                <w:sz w:val="18"/>
                <w:szCs w:val="18"/>
                <w:b w:val="1"/>
                <w:bCs w:val="1"/>
                <w:color w:val="auto"/>
              </w:rPr>
              <w:t>41.7</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Trends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Loss</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As referenced previously, to align with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we decided to sell our Government Services business, which is included within our Building &amp; Energy Solutions segment and is now classified as held-for-sale. In connection with the held-for-sale classification, we were required to measure the Government Services business at the lower of its carrying value or fair value less estimated costs to sell. During 2016, as a result of significant underperformance relative to expected operating results, we determined the fair value of this business was less than the carrying amount, which resulted in an impairment charge of $ 22.5 million, consisting of both goodwill and long-lived asset impairment charges. The fair values that are ultimately realized upon the sale of the business may be different from the current estimate of fair value.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Reserve Adjustments</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We use all available information to develop our best estimate of insurance claims reserves as information is obtained. The results of actuarial studies are used to estimate our insurance rates and insurance reserves for future periods and to adjust reserves, if appropriate, for prior years. During 2016, we performed both an annual actuarial evaluation and an actuarial review. As a result of these studies, we increased our reserves for claims related to prior periods by $32.9 million during 2016. Pursuant to the actuarial evaluation completed during 2015, we increased our reserves for claims related to prior periods by $35.9 million during 2015.</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Annual Actuarial Evaluations Performed During 2016. </w:t>
      </w:r>
      <w:r>
        <w:rPr>
          <w:rFonts w:ascii="Arial" w:cs="Arial" w:eastAsia="Arial" w:hAnsi="Arial"/>
          <w:sz w:val="18"/>
          <w:szCs w:val="18"/>
          <w:color w:val="auto"/>
        </w:rPr>
        <w:t>Annual actuarial evaluations were performed for our casualty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during 2016. These evaluations considered all changes made to claims reserves and claim payment activity for the period commencing May 1, 2015 and ending April 30, 2016 (the “Evaluation Period”). We performed these evaluations for all policy years in which open claims existed.</w:t>
      </w:r>
    </w:p>
    <w:p>
      <w:pPr>
        <w:spacing w:after="0" w:line="1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The annual actuarial evaluations showed unfavorable developments in our estimate of ultimate losses related to general liability, workers’ compensation, and automobile liability claims, as explained below. While we have made significant improvements in our risk management programs, the actuarial evaluation demonstrates these improvements have had a modest impact on prior years and that the impact is not occurring at the pace originally forecasted by the actuaries. The average claim cost was also unfavorably impacted by increases in legal fees, medical costs, and other claim management expenses necessary to adjudicate the claims with dates of loss prior to 2016.</w:t>
      </w:r>
    </w:p>
    <w:p>
      <w:pPr>
        <w:spacing w:after="0" w:line="1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actuarial evaluations related to our general liability program showed that the total number of claims has remained relatively stable for prior years. However, we experienced adverse developments in prior year claims, which are largely attributable to adjustments on certain property damage claims, in addition to losses for alleged bodily injuries. Also contributing to the increase in projected cost estimates was a higher than expected average incurred cost for our less severe claims observed during the Evaluation Period. The actuarial analysis also showed the total number of general liability claims improved in 2016. However, this trend data is not yet fully mature, therefore the ultimate claim and severity projections are subject to significant volatility.</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522" w:right="239" w:bottom="1440" w:gutter="0" w:footer="0" w:header="0"/>
        </w:sectPr>
      </w:pPr>
    </w:p>
    <w:bookmarkStart w:id="27" w:name="page28"/>
    <w:bookmarkEnd w:id="27"/>
    <w:p>
      <w:pPr>
        <w:jc w:val="both"/>
        <w:ind w:right="20" w:firstLine="648"/>
        <w:spacing w:after="0" w:line="264" w:lineRule="auto"/>
        <w:rPr>
          <w:sz w:val="20"/>
          <w:szCs w:val="20"/>
          <w:color w:val="auto"/>
        </w:rPr>
      </w:pPr>
      <w:r>
        <w:rPr>
          <w:rFonts w:ascii="Arial" w:cs="Arial" w:eastAsia="Arial" w:hAnsi="Arial"/>
          <w:sz w:val="18"/>
          <w:szCs w:val="18"/>
          <w:color w:val="auto"/>
        </w:rPr>
        <w:t>Our workers’ compensation estimate of ultimate losses was negatively impacted by increases in projected costs for a significant number of prior year claims in California and New York. These claims have been impacted by statutory, regulatory, and legal implications. In California, we also experienced increases in frequency of claims. Our claims data in 2016 is showing improvements, with a reduction in the number of lost time cases; however, ultimate claim count and severity projections are subject to volatility.</w:t>
      </w:r>
    </w:p>
    <w:p>
      <w:pPr>
        <w:spacing w:after="0" w:line="1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Our automobile liability program covers our fleet of passenger vehicles, service vans, and shuttle buses, which are associated with our various transportation service contracts. Claim frequency and severity associated with our fleet operations developed unfavorably versus actuarial expectations. The adverse development was primarily attributable to claims in 2013 through 2015.</w:t>
      </w:r>
    </w:p>
    <w:p>
      <w:pPr>
        <w:spacing w:after="0" w:line="10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After analyzing the recent loss development patterns, comparing the loss development against benchmarks, and applying actuarial projection methods to determine the estimate of ultimate losses, we increased our reserves for known claims as well as our estimate of the loss amounts associated with incurred but not reported (“IBNR”) claims for years prior to 2016 by $32.9 million during 2016.</w:t>
      </w:r>
    </w:p>
    <w:p>
      <w:pPr>
        <w:spacing w:after="0" w:line="10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 xml:space="preserve">Annual Actuarial Evaluations Performed During 2015. </w:t>
      </w:r>
      <w:r>
        <w:rPr>
          <w:rFonts w:ascii="Arial" w:cs="Arial" w:eastAsia="Arial" w:hAnsi="Arial"/>
          <w:sz w:val="18"/>
          <w:szCs w:val="18"/>
          <w:color w:val="auto"/>
        </w:rPr>
        <w:t>During the third quarter of 2015, our annual actuarial evaluations showed</w:t>
      </w:r>
      <w:r>
        <w:rPr>
          <w:rFonts w:ascii="Arial" w:cs="Arial" w:eastAsia="Arial" w:hAnsi="Arial"/>
          <w:sz w:val="18"/>
          <w:szCs w:val="18"/>
          <w:i w:val="1"/>
          <w:iCs w:val="1"/>
          <w:color w:val="auto"/>
        </w:rPr>
        <w:t xml:space="preserve"> </w:t>
      </w:r>
      <w:r>
        <w:rPr>
          <w:rFonts w:ascii="Arial" w:cs="Arial" w:eastAsia="Arial" w:hAnsi="Arial"/>
          <w:sz w:val="18"/>
          <w:szCs w:val="18"/>
          <w:color w:val="auto"/>
        </w:rPr>
        <w:t>unfavorable developments in our estimate of ultimate losses related to certain general liability, workers’ compensation, and automobile liability claims. These evaluations indicated that previously estimated decreases in our average claim cost and the anticipated reduction in the total number of claims had not occurred at the pace contemplated in the 2014 actuarial evaluations. As a result, in the third quarter of 2015, we increased our insurance reserves for years prior to 2015 by $ 35.9 million. In addition, we increased the rate used to record our insurance reserves in 2016, which, consistent with prior years, is allocated to each reportable segment based on underlying exposures.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Benefits</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Our income taxes for 2016 were favorably impacted by a tax benefit of $20.8 million primarily related to a lapse of statutes of limitations and $11.8 million of Work Opportunity Tax Credits (“WOTC”). The WOTC program is a federal tax credit that provides financial incentives to hire individuals from certain target groups who have faced significant barriers to employment. In December 2015, the U.S. Congress retroactively reinstated and extended WOTC for the five-year period commencing January 1, 2015 and extending through December 31, 2019. We expect an income tax benefit of $6.5 million related to new hires in 2017.</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Financial Highlights</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Revenues increased by $246.9 million, or 5.0%, during 2016, as compared to 2015. Organic revenue increased 3.0%.</w:t>
      </w:r>
    </w:p>
    <w:p>
      <w:pPr>
        <w:spacing w:after="0" w:line="171" w:lineRule="exact"/>
        <w:rPr>
          <w:rFonts w:ascii="Arial" w:cs="Arial" w:eastAsia="Arial" w:hAnsi="Arial"/>
          <w:sz w:val="18"/>
          <w:szCs w:val="18"/>
          <w:color w:val="auto"/>
        </w:rPr>
      </w:pPr>
    </w:p>
    <w:p>
      <w:pPr>
        <w:jc w:val="both"/>
        <w:ind w:left="660" w:hanging="328"/>
        <w:spacing w:after="0" w:line="26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Operating profit decreased by $18.9 million, or 25.6%, during 2016, as compared to 2015. The decrease in operating profit is primarily attributable to the impairment charge for our Government Services business, higher restructuring related expenses, higher insurance expense, and one more working day during 2016. This decrease was partially offset by the contribution of higher margin revenues and approximately $22 million in savings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w:t>
      </w:r>
    </w:p>
    <w:p>
      <w:pPr>
        <w:spacing w:after="0" w:line="105"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income from continuing operations for 2016 was favorably impacted by a tax benefit of $20.8 million primarily related to a lapse of statutes of limitations and $11.8 million of WOTC.</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cash provided by operating activities of continuing operations was $110.5 million during 2016.</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2016, we purchased 1.4 million shares of our common stock at an average price of $33.48 per share for a total of $46.6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Dividends of $36.9 million were paid to shareholders, and dividends totaling $0.660 per common share were declared during 2016.</w:t>
      </w:r>
    </w:p>
    <w:p>
      <w:pPr>
        <w:spacing w:after="0" w:line="171"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October 31, 2016, total outstanding borrowings under our line of credit were $268.3 million, and we had up to $400.8 million of borrowing capacity under our line of credit, subject to covenant restrictions.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522"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ind w:right="4380"/>
        <w:spacing w:after="0" w:line="489" w:lineRule="auto"/>
        <w:rPr>
          <w:sz w:val="20"/>
          <w:szCs w:val="20"/>
          <w:color w:val="auto"/>
        </w:rPr>
      </w:pPr>
      <w:r>
        <w:rPr>
          <w:rFonts w:ascii="Arial" w:cs="Arial" w:eastAsia="Arial" w:hAnsi="Arial"/>
          <w:sz w:val="18"/>
          <w:szCs w:val="18"/>
          <w:b w:val="1"/>
          <w:bCs w:val="1"/>
          <w:i w:val="1"/>
          <w:iCs w:val="1"/>
          <w:color w:val="auto"/>
        </w:rPr>
        <w:t>The Year Ended October 31, 2016 Compared with the Year Ended October 31, 2015 Consolidated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960" w:type="dxa"/>
            <w:vAlign w:val="bottom"/>
            <w:gridSpan w:val="5"/>
          </w:tcPr>
          <w:p>
            <w:pPr>
              <w:ind w:left="220"/>
              <w:spacing w:after="0"/>
              <w:rPr>
                <w:sz w:val="20"/>
                <w:szCs w:val="20"/>
                <w:color w:val="auto"/>
              </w:rPr>
            </w:pPr>
            <w:r>
              <w:rPr>
                <w:rFonts w:ascii="Arial" w:cs="Arial" w:eastAsia="Arial" w:hAnsi="Arial"/>
                <w:sz w:val="18"/>
                <w:szCs w:val="18"/>
                <w:b w:val="1"/>
                <w:bCs w:val="1"/>
                <w:color w:val="auto"/>
              </w:rPr>
              <w:t>Years Ended October 31,</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24"/>
        </w:trPr>
        <w:tc>
          <w:tcPr>
            <w:tcW w:w="55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gridSpan w:val="2"/>
          </w:tcPr>
          <w:p>
            <w:pPr>
              <w:ind w:left="14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64"/>
        </w:trPr>
        <w:tc>
          <w:tcPr>
            <w:tcW w:w="550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5,144.7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4,897.8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246.9</w:t>
            </w:r>
          </w:p>
        </w:tc>
        <w:tc>
          <w:tcPr>
            <w:tcW w:w="13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7"/>
              </w:rPr>
              <w:t>5.0%</w:t>
            </w:r>
          </w:p>
        </w:tc>
      </w:tr>
      <w:tr>
        <w:trPr>
          <w:trHeight w:val="269"/>
        </w:trPr>
        <w:tc>
          <w:tcPr>
            <w:tcW w:w="5500" w:type="dxa"/>
            <w:vAlign w:val="bottom"/>
            <w:gridSpan w:val="3"/>
          </w:tcPr>
          <w:p>
            <w:pPr>
              <w:ind w:left="40"/>
              <w:spacing w:after="0"/>
              <w:rPr>
                <w:sz w:val="20"/>
                <w:szCs w:val="20"/>
                <w:color w:val="auto"/>
              </w:rPr>
            </w:pPr>
            <w:r>
              <w:rPr>
                <w:rFonts w:ascii="Arial" w:cs="Arial" w:eastAsia="Arial" w:hAnsi="Arial"/>
                <w:sz w:val="18"/>
                <w:szCs w:val="18"/>
                <w:b w:val="1"/>
                <w:bCs w:val="1"/>
                <w:color w:val="auto"/>
              </w:rPr>
              <w:t>Expenses</w:t>
            </w: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1"/>
        </w:trPr>
        <w:tc>
          <w:tcPr>
            <w:tcW w:w="40" w:type="dxa"/>
            <w:vAlign w:val="bottom"/>
            <w:shd w:val="clear" w:color="auto" w:fill="CCEEFF"/>
          </w:tcPr>
          <w:p>
            <w:pPr>
              <w:spacing w:after="0"/>
              <w:rPr>
                <w:sz w:val="23"/>
                <w:szCs w:val="23"/>
                <w:color w:val="auto"/>
              </w:rPr>
            </w:pPr>
          </w:p>
        </w:tc>
        <w:tc>
          <w:tcPr>
            <w:tcW w:w="5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4,623.4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4,410.0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213.4</w:t>
            </w:r>
          </w:p>
        </w:tc>
        <w:tc>
          <w:tcPr>
            <w:tcW w:w="13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7"/>
              </w:rPr>
              <w:t>4.8%</w:t>
            </w:r>
          </w:p>
        </w:tc>
      </w:tr>
      <w:tr>
        <w:trPr>
          <w:trHeight w:val="266"/>
        </w:trPr>
        <w:tc>
          <w:tcPr>
            <w:tcW w:w="40" w:type="dxa"/>
            <w:vAlign w:val="bottom"/>
          </w:tcPr>
          <w:p>
            <w:pPr>
              <w:spacing w:after="0"/>
              <w:rPr>
                <w:sz w:val="23"/>
                <w:szCs w:val="23"/>
                <w:color w:val="auto"/>
              </w:rPr>
            </w:pPr>
          </w:p>
        </w:tc>
        <w:tc>
          <w:tcPr>
            <w:tcW w:w="5460" w:type="dxa"/>
            <w:vAlign w:val="bottom"/>
            <w:gridSpan w:val="2"/>
          </w:tcPr>
          <w:p>
            <w:pPr>
              <w:ind w:left="460"/>
              <w:spacing w:after="0"/>
              <w:rPr>
                <w:sz w:val="20"/>
                <w:szCs w:val="20"/>
                <w:color w:val="auto"/>
              </w:rPr>
            </w:pPr>
            <w:r>
              <w:rPr>
                <w:rFonts w:ascii="Arial" w:cs="Arial" w:eastAsia="Arial" w:hAnsi="Arial"/>
                <w:sz w:val="14"/>
                <w:szCs w:val="14"/>
                <w:i w:val="1"/>
                <w:iCs w:val="1"/>
                <w:color w:val="auto"/>
              </w:rPr>
              <w:t>Gross margin</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i w:val="1"/>
                <w:iCs w:val="1"/>
                <w:color w:val="auto"/>
              </w:rPr>
              <w:t>10.1%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i w:val="1"/>
                <w:iCs w:val="1"/>
                <w:color w:val="auto"/>
              </w:rPr>
              <w:t>10.0%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i w:val="1"/>
                <w:iCs w:val="1"/>
                <w:color w:val="auto"/>
              </w:rPr>
              <w:t>17 bps</w:t>
            </w:r>
          </w:p>
        </w:tc>
        <w:tc>
          <w:tcPr>
            <w:tcW w:w="1360" w:type="dxa"/>
            <w:vAlign w:val="bottom"/>
          </w:tcPr>
          <w:p>
            <w:pPr>
              <w:spacing w:after="0"/>
              <w:rPr>
                <w:sz w:val="23"/>
                <w:szCs w:val="23"/>
                <w:color w:val="auto"/>
              </w:rPr>
            </w:pPr>
          </w:p>
        </w:tc>
      </w:tr>
      <w:tr>
        <w:trPr>
          <w:trHeight w:val="274"/>
        </w:trPr>
        <w:tc>
          <w:tcPr>
            <w:tcW w:w="40" w:type="dxa"/>
            <w:vAlign w:val="bottom"/>
            <w:shd w:val="clear" w:color="auto" w:fill="CCEEFF"/>
          </w:tcPr>
          <w:p>
            <w:pPr>
              <w:spacing w:after="0"/>
              <w:rPr>
                <w:sz w:val="23"/>
                <w:szCs w:val="23"/>
                <w:color w:val="auto"/>
              </w:rPr>
            </w:pPr>
          </w:p>
        </w:tc>
        <w:tc>
          <w:tcPr>
            <w:tcW w:w="5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390.1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377.3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13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7"/>
              </w:rPr>
              <w:t>3.4%</w:t>
            </w:r>
          </w:p>
        </w:tc>
      </w:tr>
      <w:tr>
        <w:trPr>
          <w:trHeight w:val="265"/>
        </w:trPr>
        <w:tc>
          <w:tcPr>
            <w:tcW w:w="40" w:type="dxa"/>
            <w:vAlign w:val="bottom"/>
          </w:tcPr>
          <w:p>
            <w:pPr>
              <w:spacing w:after="0"/>
              <w:rPr>
                <w:sz w:val="23"/>
                <w:szCs w:val="23"/>
                <w:color w:val="auto"/>
              </w:rPr>
            </w:pPr>
          </w:p>
        </w:tc>
        <w:tc>
          <w:tcPr>
            <w:tcW w:w="5460" w:type="dxa"/>
            <w:vAlign w:val="bottom"/>
            <w:gridSpan w:val="2"/>
          </w:tcPr>
          <w:p>
            <w:pPr>
              <w:ind w:left="340"/>
              <w:spacing w:after="0"/>
              <w:rPr>
                <w:sz w:val="20"/>
                <w:szCs w:val="20"/>
                <w:color w:val="auto"/>
              </w:rPr>
            </w:pPr>
            <w:r>
              <w:rPr>
                <w:rFonts w:ascii="Arial" w:cs="Arial" w:eastAsia="Arial" w:hAnsi="Arial"/>
                <w:sz w:val="18"/>
                <w:szCs w:val="18"/>
                <w:color w:val="auto"/>
              </w:rPr>
              <w:t>Restructuring and related</w:t>
            </w:r>
          </w:p>
        </w:tc>
        <w:tc>
          <w:tcPr>
            <w:tcW w:w="340" w:type="dxa"/>
            <w:vAlign w:val="bottom"/>
          </w:tcPr>
          <w:p>
            <w:pPr>
              <w:spacing w:after="0"/>
              <w:rPr>
                <w:sz w:val="23"/>
                <w:szCs w:val="23"/>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16.3</w:t>
            </w:r>
          </w:p>
        </w:tc>
        <w:tc>
          <w:tcPr>
            <w:tcW w:w="1360" w:type="dxa"/>
            <w:vAlign w:val="bottom"/>
          </w:tcPr>
          <w:p>
            <w:pPr>
              <w:ind w:left="560"/>
              <w:spacing w:after="0"/>
              <w:rPr>
                <w:sz w:val="20"/>
                <w:szCs w:val="20"/>
                <w:color w:val="auto"/>
              </w:rPr>
            </w:pPr>
            <w:r>
              <w:rPr>
                <w:rFonts w:ascii="Arial" w:cs="Arial" w:eastAsia="Arial" w:hAnsi="Arial"/>
                <w:sz w:val="18"/>
                <w:szCs w:val="18"/>
                <w:color w:val="auto"/>
              </w:rPr>
              <w:t>NM*</w:t>
            </w:r>
          </w:p>
        </w:tc>
      </w:tr>
      <w:tr>
        <w:trPr>
          <w:trHeight w:val="275"/>
        </w:trPr>
        <w:tc>
          <w:tcPr>
            <w:tcW w:w="40" w:type="dxa"/>
            <w:vAlign w:val="bottom"/>
            <w:shd w:val="clear" w:color="auto" w:fill="CCEEFF"/>
          </w:tcPr>
          <w:p>
            <w:pPr>
              <w:spacing w:after="0"/>
              <w:rPr>
                <w:sz w:val="23"/>
                <w:szCs w:val="23"/>
                <w:color w:val="auto"/>
              </w:rPr>
            </w:pPr>
          </w:p>
        </w:tc>
        <w:tc>
          <w:tcPr>
            <w:tcW w:w="5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13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7"/>
              </w:rPr>
              <w:t>3.1%</w:t>
            </w:r>
          </w:p>
        </w:tc>
      </w:tr>
      <w:tr>
        <w:trPr>
          <w:trHeight w:val="265"/>
        </w:trPr>
        <w:tc>
          <w:tcPr>
            <w:tcW w:w="40" w:type="dxa"/>
            <w:vAlign w:val="bottom"/>
          </w:tcPr>
          <w:p>
            <w:pPr>
              <w:spacing w:after="0"/>
              <w:rPr>
                <w:sz w:val="23"/>
                <w:szCs w:val="23"/>
                <w:color w:val="auto"/>
              </w:rPr>
            </w:pPr>
          </w:p>
        </w:tc>
        <w:tc>
          <w:tcPr>
            <w:tcW w:w="5460" w:type="dxa"/>
            <w:vAlign w:val="bottom"/>
            <w:gridSpan w:val="2"/>
          </w:tcPr>
          <w:p>
            <w:pPr>
              <w:ind w:left="340"/>
              <w:spacing w:after="0"/>
              <w:rPr>
                <w:sz w:val="20"/>
                <w:szCs w:val="20"/>
                <w:color w:val="auto"/>
              </w:rPr>
            </w:pPr>
            <w:r>
              <w:rPr>
                <w:rFonts w:ascii="Arial" w:cs="Arial" w:eastAsia="Arial" w:hAnsi="Arial"/>
                <w:sz w:val="18"/>
                <w:szCs w:val="18"/>
                <w:color w:val="auto"/>
              </w:rPr>
              <w:t>Impairment loss</w:t>
            </w:r>
          </w:p>
        </w:tc>
        <w:tc>
          <w:tcPr>
            <w:tcW w:w="340" w:type="dxa"/>
            <w:vAlign w:val="bottom"/>
          </w:tcPr>
          <w:p>
            <w:pPr>
              <w:spacing w:after="0"/>
              <w:rPr>
                <w:sz w:val="23"/>
                <w:szCs w:val="23"/>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22.5</w:t>
            </w:r>
          </w:p>
        </w:tc>
        <w:tc>
          <w:tcPr>
            <w:tcW w:w="1360" w:type="dxa"/>
            <w:vAlign w:val="bottom"/>
          </w:tcPr>
          <w:p>
            <w:pPr>
              <w:jc w:val="center"/>
              <w:ind w:left="30"/>
              <w:spacing w:after="0"/>
              <w:rPr>
                <w:sz w:val="20"/>
                <w:szCs w:val="20"/>
                <w:color w:val="auto"/>
              </w:rPr>
            </w:pPr>
            <w:r>
              <w:rPr>
                <w:rFonts w:ascii="Arial" w:cs="Arial" w:eastAsia="Arial" w:hAnsi="Arial"/>
                <w:sz w:val="18"/>
                <w:szCs w:val="18"/>
                <w:color w:val="auto"/>
                <w:w w:val="98"/>
              </w:rPr>
              <w:t>100.0%</w:t>
            </w:r>
          </w:p>
        </w:tc>
      </w:tr>
      <w:tr>
        <w:trPr>
          <w:trHeight w:val="255"/>
        </w:trPr>
        <w:tc>
          <w:tcPr>
            <w:tcW w:w="40" w:type="dxa"/>
            <w:vAlign w:val="bottom"/>
            <w:tcBorders>
              <w:top w:val="single" w:sz="8" w:color="CCEEFF"/>
            </w:tcBorders>
            <w:shd w:val="clear" w:color="auto" w:fill="CCEEFF"/>
          </w:tcPr>
          <w:p>
            <w:pPr>
              <w:spacing w:after="0"/>
              <w:rPr>
                <w:sz w:val="22"/>
                <w:szCs w:val="22"/>
                <w:color w:val="auto"/>
              </w:rPr>
            </w:pPr>
          </w:p>
        </w:tc>
        <w:tc>
          <w:tcPr>
            <w:tcW w:w="5460" w:type="dxa"/>
            <w:vAlign w:val="bottom"/>
            <w:tcBorders>
              <w:top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expenses</w:t>
            </w: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20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5,090.0</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20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4,824.2</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265.8</w:t>
            </w:r>
          </w:p>
        </w:tc>
        <w:tc>
          <w:tcPr>
            <w:tcW w:w="1360" w:type="dxa"/>
            <w:vAlign w:val="bottom"/>
            <w:tcBorders>
              <w:top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7"/>
              </w:rPr>
              <w:t>5.5%</w:t>
            </w:r>
          </w:p>
        </w:tc>
      </w:tr>
      <w:tr>
        <w:trPr>
          <w:trHeight w:val="245"/>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4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w:t>
            </w:r>
          </w:p>
        </w:tc>
        <w:tc>
          <w:tcPr>
            <w:tcW w:w="1360" w:type="dxa"/>
            <w:vAlign w:val="bottom"/>
          </w:tcPr>
          <w:p>
            <w:pPr>
              <w:jc w:val="center"/>
              <w:ind w:left="30"/>
              <w:spacing w:after="0"/>
              <w:rPr>
                <w:sz w:val="20"/>
                <w:szCs w:val="20"/>
                <w:color w:val="auto"/>
              </w:rPr>
            </w:pPr>
            <w:r>
              <w:rPr>
                <w:rFonts w:ascii="Arial" w:cs="Arial" w:eastAsia="Arial" w:hAnsi="Arial"/>
                <w:sz w:val="18"/>
                <w:szCs w:val="18"/>
                <w:color w:val="auto"/>
              </w:rPr>
              <w:t>(25.6)%</w:t>
            </w:r>
          </w:p>
        </w:tc>
      </w:tr>
      <w:tr>
        <w:trPr>
          <w:trHeight w:val="275"/>
        </w:trPr>
        <w:tc>
          <w:tcPr>
            <w:tcW w:w="5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Income from unconsolidated affiliates, net</w:t>
            </w: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3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rPr>
              <w:t>(15.2)%</w:t>
            </w:r>
          </w:p>
        </w:tc>
      </w:tr>
      <w:tr>
        <w:trPr>
          <w:trHeight w:val="265"/>
        </w:trPr>
        <w:tc>
          <w:tcPr>
            <w:tcW w:w="55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360" w:type="dxa"/>
            <w:vAlign w:val="bottom"/>
            <w:tcBorders>
              <w:bottom w:val="single" w:sz="8" w:color="CCEEFF"/>
            </w:tcBorders>
          </w:tcPr>
          <w:p>
            <w:pPr>
              <w:jc w:val="center"/>
              <w:ind w:left="30"/>
              <w:spacing w:after="0"/>
              <w:rPr>
                <w:sz w:val="20"/>
                <w:szCs w:val="20"/>
                <w:color w:val="auto"/>
              </w:rPr>
            </w:pPr>
            <w:r>
              <w:rPr>
                <w:rFonts w:ascii="Arial" w:cs="Arial" w:eastAsia="Arial" w:hAnsi="Arial"/>
                <w:sz w:val="18"/>
                <w:szCs w:val="18"/>
                <w:color w:val="auto"/>
                <w:w w:val="98"/>
              </w:rPr>
              <w:t>(2.3)%</w:t>
            </w:r>
          </w:p>
        </w:tc>
      </w:tr>
      <w:tr>
        <w:trPr>
          <w:trHeight w:val="255"/>
        </w:trPr>
        <w:tc>
          <w:tcPr>
            <w:tcW w:w="5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51.9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3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rPr>
              <w:t>(28.3)%</w:t>
            </w:r>
          </w:p>
        </w:tc>
      </w:tr>
      <w:tr>
        <w:trPr>
          <w:trHeight w:val="265"/>
        </w:trPr>
        <w:tc>
          <w:tcPr>
            <w:tcW w:w="55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Income tax benefit (provision)</w:t>
            </w: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28.7</w:t>
            </w:r>
          </w:p>
        </w:tc>
        <w:tc>
          <w:tcPr>
            <w:tcW w:w="136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NM*</w:t>
            </w:r>
          </w:p>
        </w:tc>
      </w:tr>
      <w:tr>
        <w:trPr>
          <w:trHeight w:val="255"/>
        </w:trPr>
        <w:tc>
          <w:tcPr>
            <w:tcW w:w="5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62.3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c>
          <w:tcPr>
            <w:tcW w:w="13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rPr>
              <w:t>15.2%</w:t>
            </w:r>
          </w:p>
        </w:tc>
      </w:tr>
      <w:tr>
        <w:trPr>
          <w:trHeight w:val="265"/>
        </w:trPr>
        <w:tc>
          <w:tcPr>
            <w:tcW w:w="55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Net (loss) income from discontinued operations</w:t>
            </w: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36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NM*</w:t>
            </w:r>
          </w:p>
        </w:tc>
      </w:tr>
      <w:tr>
        <w:trPr>
          <w:trHeight w:val="255"/>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36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rPr>
              <w:t>(25.0)%</w:t>
            </w: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 Not meaningful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Revenues increased by $246.9 million, or 5.0%, during 2016, as compared to 2015. The increase in revenues was primarily attributable to: (i) organic growth within our Janitorial and Parking segments; (ii) contract expansion within our Air Serv U.S. operations; (iii) higher technical services revenues within our Building &amp; Energy Solutions segment; and (iv) $101.9 million of incremental revenues from acquisitions. This increase was partially offset by lower government and healthcare services revenues within our Building &amp; Energy Solutions segment.</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 xml:space="preserve">Operating expenses increased by $213.4 million, or 4.8%, during 2016, as compared to 2015. Gross margin increased by 17 bps to 10.1% in 2016 from 10.0% in 2015. The increase in gross margin was primarily attributable to additional tag and higher margin revenue within our Janitorial segment, higher revenue contribution from our technical services business, and savings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and the related timing of open positions. This increase was partially offset by higher insurance expense due to an increase in the rate used to record our insurance reserves and one more working day during 2016.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52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71" w:lineRule="exact"/>
        <w:rPr>
          <w:sz w:val="20"/>
          <w:szCs w:val="20"/>
          <w:color w:val="auto"/>
        </w:rPr>
      </w:pPr>
    </w:p>
    <w:p>
      <w:pPr>
        <w:ind w:firstLine="648"/>
        <w:spacing w:after="0" w:line="292" w:lineRule="auto"/>
        <w:rPr>
          <w:sz w:val="20"/>
          <w:szCs w:val="20"/>
          <w:color w:val="auto"/>
        </w:rPr>
      </w:pPr>
      <w:r>
        <w:rPr>
          <w:rFonts w:ascii="Arial" w:cs="Arial" w:eastAsia="Arial" w:hAnsi="Arial"/>
          <w:sz w:val="18"/>
          <w:szCs w:val="18"/>
          <w:color w:val="auto"/>
        </w:rPr>
        <w:t>Selling, general and administrative expenses increased by $12.8 million, or 3.4%, during 2016, as compared to 2015. The increase in selling, general and administrative expenses was primarily related to:</w:t>
      </w:r>
    </w:p>
    <w:p>
      <w:pPr>
        <w:spacing w:after="0" w:line="9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$12.9 million of incremental selling, general and administrative expenses related to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$10.1 million increase in bad debt expense primarily associated with specific reserves established for client receivables;</w:t>
      </w:r>
    </w:p>
    <w:p>
      <w:pPr>
        <w:spacing w:after="0" w:line="16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$3.9 million higher outside services costs incurred as a result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transition; and</w:t>
      </w:r>
    </w:p>
    <w:p>
      <w:pPr>
        <w:spacing w:after="0" w:line="17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$3.3 million increase in sales tax reserve for certain sales tax audits.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w:t>
      </w:r>
    </w:p>
    <w:p>
      <w:pPr>
        <w:spacing w:after="0" w:line="16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$7.7 million lower compensation and related expenses primarily related to savings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p>
    <w:p>
      <w:pPr>
        <w:spacing w:after="0" w:line="17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absence of $4.6 million in severance expense related to the departures of our former CEO and CFO;</w:t>
      </w:r>
    </w:p>
    <w:p>
      <w:pPr>
        <w:spacing w:after="0" w:line="171"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$4.3 million year-over-year decrease in medical and dental expense as a result of actuarial evaluations completed in the three months ended April 30, 2016;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$2.4 million decrease in legal fees and settlement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Related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Restructuring and related costs increased by $16.3 million during 2016, as compared to 2015, in connection with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Loss</w:t>
      </w:r>
    </w:p>
    <w:p>
      <w:pPr>
        <w:spacing w:after="0" w:line="171" w:lineRule="exact"/>
        <w:rPr>
          <w:sz w:val="20"/>
          <w:szCs w:val="20"/>
          <w:color w:val="auto"/>
        </w:rPr>
      </w:pPr>
    </w:p>
    <w:p>
      <w:pPr>
        <w:ind w:firstLine="648"/>
        <w:spacing w:after="0" w:line="292" w:lineRule="auto"/>
        <w:rPr>
          <w:sz w:val="20"/>
          <w:szCs w:val="20"/>
          <w:color w:val="auto"/>
        </w:rPr>
      </w:pPr>
      <w:r>
        <w:rPr>
          <w:rFonts w:ascii="Arial" w:cs="Arial" w:eastAsia="Arial" w:hAnsi="Arial"/>
          <w:sz w:val="18"/>
          <w:szCs w:val="18"/>
          <w:color w:val="auto"/>
        </w:rPr>
        <w:t>We recognized a $22.5 million impairment loss during 2016 related to the impairment charge associated with our Government Services business, which is classified as held for sale as of October 31, 2016.</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income taxes for 2016 were favorably impacted by (i) a benefit of $20.8 million primarily related to a lapse of statutes of limitations,</w:t>
      </w:r>
    </w:p>
    <w:p>
      <w:pPr>
        <w:spacing w:after="0" w:line="31" w:lineRule="exact"/>
        <w:rPr>
          <w:sz w:val="20"/>
          <w:szCs w:val="20"/>
          <w:color w:val="auto"/>
        </w:rPr>
      </w:pPr>
    </w:p>
    <w:p>
      <w:pPr>
        <w:jc w:val="both"/>
        <w:ind w:firstLine="8"/>
        <w:spacing w:after="0" w:line="255" w:lineRule="auto"/>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$6.7 million of WOTC related to new hires in 2016, (iii) $5.1 million of WOTC from the retroactive reinstatement of the WOTC for calendar year 2015, (iv) $2.2 million in benefits resulting from the adoption of Accounting Standards Update (“ASU”) 2016-09, </w:t>
      </w:r>
      <w:r>
        <w:rPr>
          <w:rFonts w:ascii="Arial" w:cs="Arial" w:eastAsia="Arial" w:hAnsi="Arial"/>
          <w:sz w:val="18"/>
          <w:szCs w:val="18"/>
          <w:i w:val="1"/>
          <w:iCs w:val="1"/>
          <w:color w:val="auto"/>
        </w:rPr>
        <w:t>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Employee Share-Based Payment Accounting</w:t>
      </w:r>
      <w:r>
        <w:rPr>
          <w:rFonts w:ascii="Arial" w:cs="Arial" w:eastAsia="Arial" w:hAnsi="Arial"/>
          <w:sz w:val="18"/>
          <w:szCs w:val="18"/>
          <w:color w:val="auto"/>
        </w:rPr>
        <w:t>, and (v) $1.2 million of tax deductions for energy efficient government buildings. Refer to</w:t>
      </w:r>
      <w:r>
        <w:rPr>
          <w:rFonts w:ascii="Arial" w:cs="Arial" w:eastAsia="Arial" w:hAnsi="Arial"/>
          <w:sz w:val="18"/>
          <w:szCs w:val="18"/>
          <w:i w:val="1"/>
          <w:iCs w:val="1"/>
          <w:color w:val="auto"/>
        </w:rPr>
        <w:t xml:space="preserve"> “</w:t>
      </w:r>
      <w:r>
        <w:rPr>
          <w:rFonts w:ascii="Arial" w:cs="Arial" w:eastAsia="Arial" w:hAnsi="Arial"/>
          <w:sz w:val="18"/>
          <w:szCs w:val="18"/>
          <w:color w:val="auto"/>
        </w:rPr>
        <w:t>Recent</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Developments and Trends—Income Tax Benefits,” above, for additional details.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from Discontinued Operations</w:t>
      </w:r>
    </w:p>
    <w:p>
      <w:pPr>
        <w:spacing w:after="0" w:line="17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8"/>
          <w:szCs w:val="18"/>
          <w:color w:val="auto"/>
        </w:rPr>
        <w:t>Net loss from discontinued operations was $ 5.1 million in 2016, a deterioration of $27.3 million, as compared to net income from discontinued operations of $22.2 million during 2015. We sold our Security business in 2015 and recognized a corresponding gain on the sale. The loss in 2016 was associated with costs related to this disposed business.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522"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 for Each Reportable Segment</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960" w:type="dxa"/>
            <w:vAlign w:val="bottom"/>
            <w:gridSpan w:val="5"/>
          </w:tcPr>
          <w:p>
            <w:pPr>
              <w:ind w:left="200"/>
              <w:spacing w:after="0"/>
              <w:rPr>
                <w:sz w:val="20"/>
                <w:szCs w:val="20"/>
                <w:color w:val="auto"/>
              </w:rPr>
            </w:pPr>
            <w:r>
              <w:rPr>
                <w:rFonts w:ascii="Arial" w:cs="Arial" w:eastAsia="Arial" w:hAnsi="Arial"/>
                <w:sz w:val="18"/>
                <w:szCs w:val="18"/>
                <w:b w:val="1"/>
                <w:bCs w:val="1"/>
                <w:color w:val="auto"/>
              </w:rPr>
              <w:t>Years Ended October 31,</w:t>
            </w: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0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495"/>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75"/>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80" w:type="dxa"/>
            <w:vAlign w:val="bottom"/>
            <w:gridSpan w:val="2"/>
          </w:tcPr>
          <w:p>
            <w:pPr>
              <w:ind w:left="260"/>
              <w:spacing w:after="0"/>
              <w:rPr>
                <w:sz w:val="20"/>
                <w:szCs w:val="20"/>
                <w:color w:val="auto"/>
              </w:rPr>
            </w:pPr>
            <w:r>
              <w:rPr>
                <w:rFonts w:ascii="Arial" w:cs="Arial" w:eastAsia="Arial" w:hAnsi="Arial"/>
                <w:sz w:val="18"/>
                <w:szCs w:val="18"/>
                <w:b w:val="1"/>
                <w:bCs w:val="1"/>
                <w:color w:val="auto"/>
              </w:rPr>
              <w:t>Increase / (Decrease)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0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5060" w:type="dxa"/>
            <w:vAlign w:val="bottom"/>
            <w:gridSpan w:val="3"/>
          </w:tcPr>
          <w:p>
            <w:pPr>
              <w:ind w:left="40"/>
              <w:spacing w:after="0"/>
              <w:rPr>
                <w:sz w:val="20"/>
                <w:szCs w:val="20"/>
                <w:color w:val="auto"/>
              </w:rPr>
            </w:pPr>
            <w:r>
              <w:rPr>
                <w:rFonts w:ascii="Arial" w:cs="Arial" w:eastAsia="Arial" w:hAnsi="Arial"/>
                <w:sz w:val="18"/>
                <w:szCs w:val="18"/>
                <w:color w:val="auto"/>
              </w:rPr>
              <w:t>Janitorial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2,768.4</w:t>
            </w:r>
          </w:p>
        </w:tc>
        <w:tc>
          <w:tcPr>
            <w:tcW w:w="100" w:type="dxa"/>
            <w:vAlign w:val="bottom"/>
          </w:tcPr>
          <w:p>
            <w:pPr>
              <w:spacing w:after="0"/>
              <w:rPr>
                <w:sz w:val="23"/>
                <w:szCs w:val="23"/>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2,692.7</w:t>
            </w:r>
          </w:p>
        </w:tc>
        <w:tc>
          <w:tcPr>
            <w:tcW w:w="12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75.7</w:t>
            </w:r>
          </w:p>
        </w:tc>
        <w:tc>
          <w:tcPr>
            <w:tcW w:w="1580" w:type="dxa"/>
            <w:vAlign w:val="bottom"/>
          </w:tcPr>
          <w:p>
            <w:pPr>
              <w:jc w:val="center"/>
              <w:ind w:left="10"/>
              <w:spacing w:after="0"/>
              <w:rPr>
                <w:sz w:val="20"/>
                <w:szCs w:val="20"/>
                <w:color w:val="auto"/>
              </w:rPr>
            </w:pPr>
            <w:r>
              <w:rPr>
                <w:rFonts w:ascii="Arial" w:cs="Arial" w:eastAsia="Arial" w:hAnsi="Arial"/>
                <w:sz w:val="18"/>
                <w:szCs w:val="18"/>
                <w:color w:val="auto"/>
                <w:w w:val="97"/>
              </w:rPr>
              <w:t>2.8%</w:t>
            </w:r>
          </w:p>
        </w:tc>
        <w:tc>
          <w:tcPr>
            <w:tcW w:w="0" w:type="dxa"/>
            <w:vAlign w:val="bottom"/>
          </w:tcPr>
          <w:p>
            <w:pPr>
              <w:spacing w:after="0"/>
              <w:rPr>
                <w:sz w:val="1"/>
                <w:szCs w:val="1"/>
                <w:color w:val="auto"/>
              </w:rPr>
            </w:pPr>
          </w:p>
        </w:tc>
      </w:tr>
      <w:tr>
        <w:trPr>
          <w:trHeight w:val="275"/>
        </w:trPr>
        <w:tc>
          <w:tcPr>
            <w:tcW w:w="5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Facility Services</w:t>
            </w: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597.2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594.6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2.6</w:t>
            </w:r>
          </w:p>
        </w:tc>
        <w:tc>
          <w:tcPr>
            <w:tcW w:w="15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7"/>
              </w:rPr>
              <w:t>0.4%</w:t>
            </w:r>
          </w:p>
        </w:tc>
        <w:tc>
          <w:tcPr>
            <w:tcW w:w="0" w:type="dxa"/>
            <w:vAlign w:val="bottom"/>
          </w:tcPr>
          <w:p>
            <w:pPr>
              <w:spacing w:after="0"/>
              <w:rPr>
                <w:sz w:val="1"/>
                <w:szCs w:val="1"/>
                <w:color w:val="auto"/>
              </w:rPr>
            </w:pPr>
          </w:p>
        </w:tc>
      </w:tr>
      <w:tr>
        <w:trPr>
          <w:trHeight w:val="265"/>
        </w:trPr>
        <w:tc>
          <w:tcPr>
            <w:tcW w:w="5060" w:type="dxa"/>
            <w:vAlign w:val="bottom"/>
            <w:gridSpan w:val="3"/>
          </w:tcPr>
          <w:p>
            <w:pPr>
              <w:ind w:left="40"/>
              <w:spacing w:after="0"/>
              <w:rPr>
                <w:sz w:val="20"/>
                <w:szCs w:val="20"/>
                <w:color w:val="auto"/>
              </w:rPr>
            </w:pPr>
            <w:r>
              <w:rPr>
                <w:rFonts w:ascii="Arial" w:cs="Arial" w:eastAsia="Arial" w:hAnsi="Arial"/>
                <w:sz w:val="18"/>
                <w:szCs w:val="18"/>
                <w:color w:val="auto"/>
              </w:rPr>
              <w:t>Parking</w:t>
            </w:r>
          </w:p>
        </w:tc>
        <w:tc>
          <w:tcPr>
            <w:tcW w:w="340" w:type="dxa"/>
            <w:vAlign w:val="bottom"/>
          </w:tcPr>
          <w:p>
            <w:pPr>
              <w:spacing w:after="0"/>
              <w:rPr>
                <w:sz w:val="23"/>
                <w:szCs w:val="23"/>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666.0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631.9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34.1</w:t>
            </w:r>
          </w:p>
        </w:tc>
        <w:tc>
          <w:tcPr>
            <w:tcW w:w="1580" w:type="dxa"/>
            <w:vAlign w:val="bottom"/>
          </w:tcPr>
          <w:p>
            <w:pPr>
              <w:jc w:val="center"/>
              <w:ind w:left="10"/>
              <w:spacing w:after="0"/>
              <w:rPr>
                <w:sz w:val="20"/>
                <w:szCs w:val="20"/>
                <w:color w:val="auto"/>
              </w:rPr>
            </w:pPr>
            <w:r>
              <w:rPr>
                <w:rFonts w:ascii="Arial" w:cs="Arial" w:eastAsia="Arial" w:hAnsi="Arial"/>
                <w:sz w:val="18"/>
                <w:szCs w:val="18"/>
                <w:color w:val="auto"/>
                <w:w w:val="97"/>
              </w:rPr>
              <w:t>5.4%</w:t>
            </w:r>
          </w:p>
        </w:tc>
        <w:tc>
          <w:tcPr>
            <w:tcW w:w="0" w:type="dxa"/>
            <w:vAlign w:val="bottom"/>
          </w:tcPr>
          <w:p>
            <w:pPr>
              <w:spacing w:after="0"/>
              <w:rPr>
                <w:sz w:val="1"/>
                <w:szCs w:val="1"/>
                <w:color w:val="auto"/>
              </w:rPr>
            </w:pPr>
          </w:p>
        </w:tc>
      </w:tr>
      <w:tr>
        <w:trPr>
          <w:trHeight w:val="275"/>
        </w:trPr>
        <w:tc>
          <w:tcPr>
            <w:tcW w:w="5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Building &amp; Energy Solutions</w:t>
            </w: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643.2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557.7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85.5</w:t>
            </w:r>
          </w:p>
        </w:tc>
        <w:tc>
          <w:tcPr>
            <w:tcW w:w="15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65"/>
        </w:trPr>
        <w:tc>
          <w:tcPr>
            <w:tcW w:w="50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469.9</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420.9</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49.0</w:t>
            </w:r>
          </w:p>
        </w:tc>
        <w:tc>
          <w:tcPr>
            <w:tcW w:w="1580" w:type="dxa"/>
            <w:vAlign w:val="bottom"/>
            <w:tcBorders>
              <w:bottom w:val="single" w:sz="8" w:color="CCEEFF"/>
            </w:tcBorders>
          </w:tcPr>
          <w:p>
            <w:pPr>
              <w:jc w:val="center"/>
              <w:ind w:left="30"/>
              <w:spacing w:after="0"/>
              <w:rPr>
                <w:sz w:val="20"/>
                <w:szCs w:val="20"/>
                <w:color w:val="auto"/>
              </w:rPr>
            </w:pPr>
            <w:r>
              <w:rPr>
                <w:rFonts w:ascii="Arial" w:cs="Arial" w:eastAsia="Arial" w:hAnsi="Arial"/>
                <w:sz w:val="18"/>
                <w:szCs w:val="18"/>
                <w:color w:val="auto"/>
                <w:w w:val="97"/>
              </w:rPr>
              <w:t>11.6%</w:t>
            </w:r>
          </w:p>
        </w:tc>
        <w:tc>
          <w:tcPr>
            <w:tcW w:w="0" w:type="dxa"/>
            <w:vAlign w:val="bottom"/>
          </w:tcPr>
          <w:p>
            <w:pPr>
              <w:spacing w:after="0"/>
              <w:rPr>
                <w:sz w:val="1"/>
                <w:szCs w:val="1"/>
                <w:color w:val="auto"/>
              </w:rPr>
            </w:pPr>
          </w:p>
        </w:tc>
      </w:tr>
      <w:tr>
        <w:trPr>
          <w:trHeight w:val="255"/>
        </w:trPr>
        <w:tc>
          <w:tcPr>
            <w:tcW w:w="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4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5,144.7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4,897.8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246.9</w:t>
            </w:r>
          </w:p>
        </w:tc>
        <w:tc>
          <w:tcPr>
            <w:tcW w:w="15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7"/>
              </w:rPr>
              <w:t>5.0%</w:t>
            </w:r>
          </w:p>
        </w:tc>
        <w:tc>
          <w:tcPr>
            <w:tcW w:w="0" w:type="dxa"/>
            <w:vAlign w:val="bottom"/>
          </w:tcPr>
          <w:p>
            <w:pPr>
              <w:spacing w:after="0"/>
              <w:rPr>
                <w:sz w:val="1"/>
                <w:szCs w:val="1"/>
                <w:color w:val="auto"/>
              </w:rPr>
            </w:pPr>
          </w:p>
        </w:tc>
      </w:tr>
      <w:tr>
        <w:trPr>
          <w:trHeight w:val="20"/>
        </w:trPr>
        <w:tc>
          <w:tcPr>
            <w:tcW w:w="50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Operating profit</w:t>
            </w: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gridSpan w:val="3"/>
            <w:vMerge w:val="continue"/>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5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Janitorial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151.1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150.5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0.6</w:t>
            </w:r>
          </w:p>
        </w:tc>
        <w:tc>
          <w:tcPr>
            <w:tcW w:w="15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7"/>
              </w:rPr>
              <w:t>0.4%</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502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i w:val="1"/>
                <w:iCs w:val="1"/>
                <w:color w:val="auto"/>
              </w:rPr>
              <w:t>5.5%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i w:val="1"/>
                <w:iCs w:val="1"/>
                <w:color w:val="auto"/>
              </w:rPr>
              <w:t>5.6%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right"/>
              <w:ind w:right="15"/>
              <w:spacing w:after="0"/>
              <w:rPr>
                <w:sz w:val="20"/>
                <w:szCs w:val="20"/>
                <w:color w:val="auto"/>
              </w:rPr>
            </w:pPr>
            <w:r>
              <w:rPr>
                <w:rFonts w:ascii="Arial" w:cs="Arial" w:eastAsia="Arial" w:hAnsi="Arial"/>
                <w:sz w:val="14"/>
                <w:szCs w:val="14"/>
                <w:i w:val="1"/>
                <w:iCs w:val="1"/>
                <w:color w:val="auto"/>
              </w:rPr>
              <w:t>(13) bps</w:t>
            </w: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Facility Services</w:t>
            </w: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w:t>
            </w:r>
          </w:p>
        </w:tc>
        <w:tc>
          <w:tcPr>
            <w:tcW w:w="15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7"/>
              </w:rPr>
              <w:t>7.2%</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502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i w:val="1"/>
                <w:iCs w:val="1"/>
                <w:color w:val="auto"/>
              </w:rPr>
              <w:t>4.5%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i w:val="1"/>
                <w:iCs w:val="1"/>
                <w:color w:val="auto"/>
              </w:rPr>
              <w:t>4.3%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right"/>
              <w:ind w:right="15"/>
              <w:spacing w:after="0"/>
              <w:rPr>
                <w:sz w:val="20"/>
                <w:szCs w:val="20"/>
                <w:color w:val="auto"/>
              </w:rPr>
            </w:pPr>
            <w:r>
              <w:rPr>
                <w:rFonts w:ascii="Arial" w:cs="Arial" w:eastAsia="Arial" w:hAnsi="Arial"/>
                <w:sz w:val="14"/>
                <w:szCs w:val="14"/>
                <w:i w:val="1"/>
                <w:iCs w:val="1"/>
                <w:color w:val="auto"/>
              </w:rPr>
              <w:t>29 bps</w:t>
            </w: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Parking</w:t>
            </w: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5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502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i w:val="1"/>
                <w:iCs w:val="1"/>
                <w:color w:val="auto"/>
              </w:rPr>
              <w:t>3.9%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i w:val="1"/>
                <w:iCs w:val="1"/>
                <w:color w:val="auto"/>
              </w:rPr>
              <w:t>4.7%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right"/>
              <w:ind w:right="15"/>
              <w:spacing w:after="0"/>
              <w:rPr>
                <w:sz w:val="20"/>
                <w:szCs w:val="20"/>
                <w:color w:val="auto"/>
              </w:rPr>
            </w:pPr>
            <w:r>
              <w:rPr>
                <w:rFonts w:ascii="Arial" w:cs="Arial" w:eastAsia="Arial" w:hAnsi="Arial"/>
                <w:sz w:val="14"/>
                <w:szCs w:val="14"/>
                <w:i w:val="1"/>
                <w:iCs w:val="1"/>
                <w:color w:val="auto"/>
              </w:rPr>
              <w:t>(78) bps</w:t>
            </w: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Building &amp; Energy Solutions</w:t>
            </w: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5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502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i w:val="1"/>
                <w:iCs w:val="1"/>
                <w:color w:val="auto"/>
              </w:rPr>
              <w:t>1.7%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i w:val="1"/>
                <w:iCs w:val="1"/>
                <w:color w:val="auto"/>
              </w:rPr>
              <w:t>4.7%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right"/>
              <w:ind w:right="15"/>
              <w:spacing w:after="0"/>
              <w:rPr>
                <w:sz w:val="20"/>
                <w:szCs w:val="20"/>
                <w:color w:val="auto"/>
              </w:rPr>
            </w:pPr>
            <w:r>
              <w:rPr>
                <w:rFonts w:ascii="Arial" w:cs="Arial" w:eastAsia="Arial" w:hAnsi="Arial"/>
                <w:sz w:val="14"/>
                <w:szCs w:val="14"/>
                <w:i w:val="1"/>
                <w:iCs w:val="1"/>
                <w:color w:val="auto"/>
              </w:rPr>
              <w:t>(300) bps</w:t>
            </w: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w:t>
            </w:r>
          </w:p>
        </w:tc>
        <w:tc>
          <w:tcPr>
            <w:tcW w:w="15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502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i w:val="1"/>
                <w:iCs w:val="1"/>
                <w:color w:val="auto"/>
              </w:rPr>
              <w:t>3.7%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i w:val="1"/>
                <w:iCs w:val="1"/>
                <w:color w:val="auto"/>
              </w:rPr>
              <w:t>3.6%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5"/>
              <w:spacing w:after="0"/>
              <w:rPr>
                <w:sz w:val="20"/>
                <w:szCs w:val="20"/>
                <w:color w:val="auto"/>
              </w:rPr>
            </w:pPr>
            <w:r>
              <w:rPr>
                <w:rFonts w:ascii="Arial" w:cs="Arial" w:eastAsia="Arial" w:hAnsi="Arial"/>
                <w:sz w:val="14"/>
                <w:szCs w:val="14"/>
                <w:i w:val="1"/>
                <w:iCs w:val="1"/>
                <w:color w:val="auto"/>
              </w:rPr>
              <w:t>4 bps</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Corporate</w:t>
      </w:r>
    </w:p>
    <w:p>
      <w:pPr>
        <w:spacing w:after="0" w:line="50" w:lineRule="exact"/>
        <w:rPr>
          <w:sz w:val="20"/>
          <w:szCs w:val="20"/>
          <w:color w:val="auto"/>
        </w:rPr>
      </w:pPr>
    </w:p>
    <w:p>
      <w:pPr>
        <w:ind w:left="200" w:right="600" w:hanging="161"/>
        <w:spacing w:after="0" w:line="266" w:lineRule="auto"/>
        <w:rPr>
          <w:sz w:val="20"/>
          <w:szCs w:val="20"/>
          <w:color w:val="auto"/>
        </w:rPr>
      </w:pPr>
      <w:r>
        <w:rPr>
          <w:rFonts w:ascii="Arial" w:cs="Arial" w:eastAsia="Arial" w:hAnsi="Arial"/>
          <w:sz w:val="18"/>
          <w:szCs w:val="18"/>
          <w:color w:val="auto"/>
        </w:rPr>
        <w:t>Adjustment for income from unconsolidated affiliates, net, included in Building &amp; Energy Solutions</w:t>
      </w:r>
    </w:p>
    <w:p>
      <w:pPr>
        <w:ind w:left="200" w:right="260" w:hanging="161"/>
        <w:spacing w:after="0" w:line="290" w:lineRule="auto"/>
        <w:rPr>
          <w:sz w:val="20"/>
          <w:szCs w:val="20"/>
          <w:color w:val="auto"/>
        </w:rPr>
      </w:pPr>
      <w:r>
        <w:rPr>
          <w:rFonts w:ascii="Arial" w:cs="Arial" w:eastAsia="Arial" w:hAnsi="Arial"/>
          <w:sz w:val="17"/>
          <w:szCs w:val="17"/>
          <w:color w:val="auto"/>
        </w:rPr>
        <w:t>Adjustment for tax deductions for energy efficient government buildings, included in Building &amp; Energy Solutions</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1120" w:type="dxa"/>
            <w:vAlign w:val="bottom"/>
          </w:tcPr>
          <w:p>
            <w:pPr>
              <w:jc w:val="right"/>
              <w:ind w:right="450"/>
              <w:spacing w:after="0"/>
              <w:rPr>
                <w:sz w:val="20"/>
                <w:szCs w:val="20"/>
                <w:color w:val="auto"/>
              </w:rPr>
            </w:pPr>
            <w:r>
              <w:rPr>
                <w:rFonts w:ascii="Arial" w:cs="Arial" w:eastAsia="Arial" w:hAnsi="Arial"/>
                <w:sz w:val="18"/>
                <w:szCs w:val="18"/>
                <w:color w:val="auto"/>
                <w:w w:val="98"/>
              </w:rPr>
              <w:t>(170.0)</w:t>
            </w:r>
          </w:p>
        </w:tc>
        <w:tc>
          <w:tcPr>
            <w:tcW w:w="1740" w:type="dxa"/>
            <w:vAlign w:val="bottom"/>
          </w:tcPr>
          <w:p>
            <w:pPr>
              <w:jc w:val="right"/>
              <w:ind w:right="550"/>
              <w:spacing w:after="0"/>
              <w:rPr>
                <w:sz w:val="20"/>
                <w:szCs w:val="20"/>
                <w:color w:val="auto"/>
              </w:rPr>
            </w:pPr>
            <w:r>
              <w:rPr>
                <w:rFonts w:ascii="Arial" w:cs="Arial" w:eastAsia="Arial" w:hAnsi="Arial"/>
                <w:sz w:val="18"/>
                <w:szCs w:val="18"/>
                <w:color w:val="auto"/>
              </w:rPr>
              <w:t>(162.3)</w:t>
            </w:r>
          </w:p>
        </w:tc>
        <w:tc>
          <w:tcPr>
            <w:tcW w:w="1320" w:type="dxa"/>
            <w:vAlign w:val="bottom"/>
          </w:tcPr>
          <w:p>
            <w:pPr>
              <w:jc w:val="right"/>
              <w:ind w:right="213"/>
              <w:spacing w:after="0"/>
              <w:rPr>
                <w:sz w:val="20"/>
                <w:szCs w:val="20"/>
                <w:color w:val="auto"/>
              </w:rPr>
            </w:pPr>
            <w:r>
              <w:rPr>
                <w:rFonts w:ascii="Arial" w:cs="Arial" w:eastAsia="Arial" w:hAnsi="Arial"/>
                <w:sz w:val="18"/>
                <w:szCs w:val="18"/>
                <w:color w:val="auto"/>
              </w:rPr>
              <w:t>(7.7)</w:t>
            </w:r>
          </w:p>
        </w:tc>
        <w:tc>
          <w:tcPr>
            <w:tcW w:w="8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51"/>
        </w:trPr>
        <w:tc>
          <w:tcPr>
            <w:tcW w:w="1120" w:type="dxa"/>
            <w:vAlign w:val="bottom"/>
          </w:tcPr>
          <w:p>
            <w:pPr>
              <w:jc w:val="right"/>
              <w:ind w:right="450"/>
              <w:spacing w:after="0"/>
              <w:rPr>
                <w:sz w:val="20"/>
                <w:szCs w:val="20"/>
                <w:color w:val="auto"/>
              </w:rPr>
            </w:pPr>
            <w:r>
              <w:rPr>
                <w:rFonts w:ascii="Arial" w:cs="Arial" w:eastAsia="Arial" w:hAnsi="Arial"/>
                <w:sz w:val="18"/>
                <w:szCs w:val="18"/>
                <w:color w:val="auto"/>
              </w:rPr>
              <w:t>(6.5)</w:t>
            </w:r>
          </w:p>
        </w:tc>
        <w:tc>
          <w:tcPr>
            <w:tcW w:w="1740" w:type="dxa"/>
            <w:vAlign w:val="bottom"/>
          </w:tcPr>
          <w:p>
            <w:pPr>
              <w:jc w:val="right"/>
              <w:ind w:right="550"/>
              <w:spacing w:after="0"/>
              <w:rPr>
                <w:sz w:val="20"/>
                <w:szCs w:val="20"/>
                <w:color w:val="auto"/>
              </w:rPr>
            </w:pPr>
            <w:r>
              <w:rPr>
                <w:rFonts w:ascii="Arial" w:cs="Arial" w:eastAsia="Arial" w:hAnsi="Arial"/>
                <w:sz w:val="18"/>
                <w:szCs w:val="18"/>
                <w:color w:val="auto"/>
              </w:rPr>
              <w:t>(9.0)</w:t>
            </w:r>
          </w:p>
        </w:tc>
        <w:tc>
          <w:tcPr>
            <w:tcW w:w="1320" w:type="dxa"/>
            <w:vAlign w:val="bottom"/>
          </w:tcPr>
          <w:p>
            <w:pPr>
              <w:jc w:val="right"/>
              <w:ind w:right="273"/>
              <w:spacing w:after="0"/>
              <w:rPr>
                <w:sz w:val="20"/>
                <w:szCs w:val="20"/>
                <w:color w:val="auto"/>
              </w:rPr>
            </w:pPr>
            <w:r>
              <w:rPr>
                <w:rFonts w:ascii="Arial" w:cs="Arial" w:eastAsia="Arial" w:hAnsi="Arial"/>
                <w:sz w:val="18"/>
                <w:szCs w:val="18"/>
                <w:color w:val="auto"/>
              </w:rPr>
              <w:t>2.5</w:t>
            </w:r>
          </w:p>
        </w:tc>
        <w:tc>
          <w:tcPr>
            <w:tcW w:w="84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459"/>
        </w:trPr>
        <w:tc>
          <w:tcPr>
            <w:tcW w:w="1120" w:type="dxa"/>
            <w:vAlign w:val="bottom"/>
          </w:tcPr>
          <w:p>
            <w:pPr>
              <w:jc w:val="right"/>
              <w:ind w:right="450"/>
              <w:spacing w:after="0"/>
              <w:rPr>
                <w:sz w:val="20"/>
                <w:szCs w:val="20"/>
                <w:color w:val="auto"/>
              </w:rPr>
            </w:pPr>
            <w:r>
              <w:rPr>
                <w:rFonts w:ascii="Arial" w:cs="Arial" w:eastAsia="Arial" w:hAnsi="Arial"/>
                <w:sz w:val="18"/>
                <w:szCs w:val="18"/>
                <w:color w:val="auto"/>
              </w:rPr>
              <w:t>(1.2)</w:t>
            </w:r>
          </w:p>
        </w:tc>
        <w:tc>
          <w:tcPr>
            <w:tcW w:w="1740" w:type="dxa"/>
            <w:vAlign w:val="bottom"/>
          </w:tcPr>
          <w:p>
            <w:pPr>
              <w:jc w:val="right"/>
              <w:ind w:right="550"/>
              <w:spacing w:after="0"/>
              <w:rPr>
                <w:sz w:val="20"/>
                <w:szCs w:val="20"/>
                <w:color w:val="auto"/>
              </w:rPr>
            </w:pPr>
            <w:r>
              <w:rPr>
                <w:rFonts w:ascii="Arial" w:cs="Arial" w:eastAsia="Arial" w:hAnsi="Arial"/>
                <w:sz w:val="18"/>
                <w:szCs w:val="18"/>
                <w:color w:val="auto"/>
              </w:rPr>
              <w:t>(2.0)</w:t>
            </w:r>
          </w:p>
        </w:tc>
        <w:tc>
          <w:tcPr>
            <w:tcW w:w="1320" w:type="dxa"/>
            <w:vAlign w:val="bottom"/>
          </w:tcPr>
          <w:p>
            <w:pPr>
              <w:jc w:val="right"/>
              <w:ind w:right="273"/>
              <w:spacing w:after="0"/>
              <w:rPr>
                <w:sz w:val="20"/>
                <w:szCs w:val="20"/>
                <w:color w:val="auto"/>
              </w:rPr>
            </w:pPr>
            <w:r>
              <w:rPr>
                <w:rFonts w:ascii="Arial" w:cs="Arial" w:eastAsia="Arial" w:hAnsi="Arial"/>
                <w:sz w:val="16"/>
                <w:szCs w:val="16"/>
                <w:color w:val="auto"/>
              </w:rPr>
              <w:t>0.8</w:t>
            </w:r>
          </w:p>
        </w:tc>
        <w:tc>
          <w:tcPr>
            <w:tcW w:w="840" w:type="dxa"/>
            <w:vAlign w:val="bottom"/>
          </w:tcPr>
          <w:p>
            <w:pPr>
              <w:jc w:val="right"/>
              <w:spacing w:after="0"/>
              <w:rPr>
                <w:sz w:val="20"/>
                <w:szCs w:val="20"/>
                <w:color w:val="auto"/>
              </w:rPr>
            </w:pPr>
            <w:r>
              <w:rPr>
                <w:rFonts w:ascii="Arial" w:cs="Arial" w:eastAsia="Arial" w:hAnsi="Arial"/>
                <w:sz w:val="18"/>
                <w:szCs w:val="18"/>
                <w:color w:val="auto"/>
              </w:rPr>
              <w:t>38.2%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-3753485</wp:posOffset>
            </wp:positionH>
            <wp:positionV relativeFrom="paragraph">
              <wp:posOffset>-216535</wp:posOffset>
            </wp:positionV>
            <wp:extent cx="7246620" cy="3003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135" w:lineRule="exact"/>
        <w:rPr>
          <w:sz w:val="20"/>
          <w:szCs w:val="20"/>
          <w:color w:val="auto"/>
        </w:rPr>
      </w:pPr>
    </w:p>
    <w:p>
      <w:pPr>
        <w:sectPr>
          <w:pgSz w:w="11900" w:h="16838" w:orient="portrait"/>
          <w:cols w:equalWidth="0" w:num="2">
            <w:col w:w="5200" w:space="720"/>
            <w:col w:w="5500"/>
          </w:cols>
          <w:pgMar w:left="240" w:top="522" w:right="239" w:bottom="1440" w:gutter="0" w:footer="0" w:header="0"/>
          <w:type w:val="continuous"/>
        </w:sectPr>
      </w:pPr>
    </w:p>
    <w:tbl>
      <w:tblPr>
        <w:tblLayout w:type="fixed"/>
        <w:tblInd w:w="0" w:type="dxa"/>
        <w:tblCellMar>
          <w:top w:w="0" w:type="dxa"/>
          <w:left w:w="0" w:type="dxa"/>
          <w:bottom w:w="0" w:type="dxa"/>
          <w:right w:w="0" w:type="dxa"/>
        </w:tblCellMar>
      </w:tblPr>
      <w:tr>
        <w:trPr>
          <w:trHeight w:val="252"/>
        </w:trPr>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980" w:type="dxa"/>
            <w:vAlign w:val="bottom"/>
          </w:tcPr>
          <w:p>
            <w:pPr>
              <w:jc w:val="right"/>
              <w:ind w:right="754"/>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(18.9)</w:t>
            </w:r>
          </w:p>
        </w:tc>
        <w:tc>
          <w:tcPr>
            <w:tcW w:w="1580" w:type="dxa"/>
            <w:vAlign w:val="bottom"/>
          </w:tcPr>
          <w:p>
            <w:pPr>
              <w:ind w:left="52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416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Janitorial</w:t>
            </w: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416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3100" w:type="dxa"/>
            <w:vAlign w:val="bottom"/>
            <w:tcBorders>
              <w:bottom w:val="single" w:sz="8" w:color="auto"/>
            </w:tcBorders>
            <w:gridSpan w:val="6"/>
          </w:tcPr>
          <w:p>
            <w:pPr>
              <w:jc w:val="right"/>
              <w:ind w:right="534"/>
              <w:spacing w:after="0"/>
              <w:rPr>
                <w:sz w:val="20"/>
                <w:szCs w:val="20"/>
                <w:color w:val="auto"/>
              </w:rPr>
            </w:pPr>
            <w:r>
              <w:rPr>
                <w:rFonts w:ascii="Arial" w:cs="Arial" w:eastAsia="Arial" w:hAnsi="Arial"/>
                <w:sz w:val="18"/>
                <w:szCs w:val="18"/>
                <w:b w:val="1"/>
                <w:bCs w:val="1"/>
                <w:color w:val="auto"/>
              </w:rPr>
              <w:t>Years Ended October 31,</w:t>
            </w:r>
          </w:p>
        </w:tc>
        <w:tc>
          <w:tcPr>
            <w:tcW w:w="1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41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Pr>
          <w:p>
            <w:pPr>
              <w:spacing w:after="0"/>
              <w:rPr>
                <w:sz w:val="19"/>
                <w:szCs w:val="19"/>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474"/>
              <w:spacing w:after="0"/>
              <w:rPr>
                <w:sz w:val="20"/>
                <w:szCs w:val="20"/>
                <w:color w:val="auto"/>
              </w:rPr>
            </w:pPr>
            <w:r>
              <w:rPr>
                <w:rFonts w:ascii="Arial" w:cs="Arial" w:eastAsia="Arial" w:hAnsi="Arial"/>
                <w:sz w:val="18"/>
                <w:szCs w:val="18"/>
                <w:b w:val="1"/>
                <w:bCs w:val="1"/>
                <w:color w:val="auto"/>
                <w:w w:val="99"/>
              </w:rPr>
              <w:t>2015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0" w:type="dxa"/>
            <w:vAlign w:val="bottom"/>
            <w:gridSpan w:val="2"/>
          </w:tcPr>
          <w:p>
            <w:pPr>
              <w:ind w:left="160"/>
              <w:spacing w:after="0"/>
              <w:rPr>
                <w:sz w:val="20"/>
                <w:szCs w:val="20"/>
                <w:color w:val="auto"/>
              </w:rPr>
            </w:pPr>
            <w:r>
              <w:rPr>
                <w:rFonts w:ascii="Arial" w:cs="Arial" w:eastAsia="Arial" w:hAnsi="Arial"/>
                <w:sz w:val="18"/>
                <w:szCs w:val="18"/>
                <w:b w:val="1"/>
                <w:bCs w:val="1"/>
                <w:color w:val="auto"/>
              </w:rPr>
              <w:t>Increase / (Decrease)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2,768.4</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2,692.7</w:t>
            </w: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75.7</w:t>
            </w:r>
          </w:p>
        </w:tc>
        <w:tc>
          <w:tcPr>
            <w:tcW w:w="15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65"/>
        </w:trPr>
        <w:tc>
          <w:tcPr>
            <w:tcW w:w="416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3"/>
                <w:szCs w:val="23"/>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151.1</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254"/>
              <w:spacing w:after="0"/>
              <w:rPr>
                <w:sz w:val="20"/>
                <w:szCs w:val="20"/>
                <w:color w:val="auto"/>
              </w:rPr>
            </w:pPr>
            <w:r>
              <w:rPr>
                <w:rFonts w:ascii="Arial" w:cs="Arial" w:eastAsia="Arial" w:hAnsi="Arial"/>
                <w:sz w:val="18"/>
                <w:szCs w:val="18"/>
                <w:color w:val="auto"/>
              </w:rPr>
              <w:t>0.6</w:t>
            </w:r>
          </w:p>
        </w:tc>
        <w:tc>
          <w:tcPr>
            <w:tcW w:w="1580" w:type="dxa"/>
            <w:vAlign w:val="bottom"/>
          </w:tcPr>
          <w:p>
            <w:pPr>
              <w:ind w:left="5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5"/>
        </w:trPr>
        <w:tc>
          <w:tcPr>
            <w:tcW w:w="40" w:type="dxa"/>
            <w:vAlign w:val="bottom"/>
            <w:shd w:val="clear" w:color="auto" w:fill="CCEEFF"/>
          </w:tcPr>
          <w:p>
            <w:pPr>
              <w:spacing w:after="0"/>
              <w:rPr>
                <w:sz w:val="23"/>
                <w:szCs w:val="23"/>
                <w:color w:val="auto"/>
              </w:rPr>
            </w:pPr>
          </w:p>
        </w:tc>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i w:val="1"/>
                <w:iCs w:val="1"/>
                <w:color w:val="auto"/>
              </w:rPr>
              <w:t>5.5%</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i w:val="1"/>
                <w:iCs w:val="1"/>
                <w:color w:val="auto"/>
              </w:rPr>
              <w:t>5.6%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54"/>
              <w:spacing w:after="0"/>
              <w:rPr>
                <w:sz w:val="20"/>
                <w:szCs w:val="20"/>
                <w:color w:val="auto"/>
              </w:rPr>
            </w:pPr>
            <w:r>
              <w:rPr>
                <w:rFonts w:ascii="Arial" w:cs="Arial" w:eastAsia="Arial" w:hAnsi="Arial"/>
                <w:sz w:val="14"/>
                <w:szCs w:val="14"/>
                <w:i w:val="1"/>
                <w:iCs w:val="1"/>
                <w:color w:val="auto"/>
              </w:rPr>
              <w:t>(13) bps</w:t>
            </w:r>
          </w:p>
        </w:tc>
        <w:tc>
          <w:tcPr>
            <w:tcW w:w="1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Janitorial revenues increased by $75.7 million, or 2.8%, during 2016, as compared to 2015. The increase was primarily attributable to organic growth driven by expansion of existing accounts, including additional tag revenue.</w:t>
      </w:r>
    </w:p>
    <w:p>
      <w:pPr>
        <w:spacing w:after="0" w:line="9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 xml:space="preserve">Operating profit increased by $ 0.6 million, or 0.4%, during 2016, as compared to 2015. Operating profit margin decreased by 13 bps to 5.5% in 2016 from 5.6% in 2015. The decrease in operating profit margin was primarily attributable to higher insurance expense, one more working day during 2016, and the absence of a gain from a property sale. This decrease was partially offset by the contribution of higher margin revenues as well as savings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and the related timing of open positions.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522" w:right="23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51"/>
        </w:trPr>
        <w:tc>
          <w:tcPr>
            <w:tcW w:w="4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Facility Services</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1"/>
        </w:trPr>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6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24"/>
        </w:trPr>
        <w:tc>
          <w:tcPr>
            <w:tcW w:w="41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40" w:type="dxa"/>
            <w:vAlign w:val="bottom"/>
          </w:tcPr>
          <w:p>
            <w:pPr>
              <w:jc w:val="right"/>
              <w:ind w:right="74"/>
              <w:spacing w:after="0"/>
              <w:rPr>
                <w:sz w:val="20"/>
                <w:szCs w:val="20"/>
                <w:color w:val="auto"/>
              </w:rPr>
            </w:pPr>
            <w:r>
              <w:rPr>
                <w:rFonts w:ascii="Arial" w:cs="Arial" w:eastAsia="Arial" w:hAnsi="Arial"/>
                <w:sz w:val="18"/>
                <w:szCs w:val="18"/>
                <w:b w:val="1"/>
                <w:bCs w:val="1"/>
                <w:color w:val="auto"/>
              </w:rPr>
              <w:t>Increase</w:t>
            </w:r>
          </w:p>
        </w:tc>
        <w:tc>
          <w:tcPr>
            <w:tcW w:w="12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4"/>
        </w:trPr>
        <w:tc>
          <w:tcPr>
            <w:tcW w:w="4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597.2</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594.6</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2.6</w:t>
            </w:r>
          </w:p>
        </w:tc>
        <w:tc>
          <w:tcPr>
            <w:tcW w:w="12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0.4%</w:t>
            </w:r>
          </w:p>
        </w:tc>
      </w:tr>
      <w:tr>
        <w:trPr>
          <w:trHeight w:val="265"/>
        </w:trPr>
        <w:tc>
          <w:tcPr>
            <w:tcW w:w="416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3"/>
                <w:szCs w:val="23"/>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40" w:type="dxa"/>
            <w:vAlign w:val="bottom"/>
          </w:tcPr>
          <w:p>
            <w:pPr>
              <w:jc w:val="right"/>
              <w:ind w:right="614"/>
              <w:spacing w:after="0"/>
              <w:rPr>
                <w:sz w:val="20"/>
                <w:szCs w:val="20"/>
                <w:color w:val="auto"/>
              </w:rPr>
            </w:pPr>
            <w:r>
              <w:rPr>
                <w:rFonts w:ascii="Arial" w:cs="Arial" w:eastAsia="Arial" w:hAnsi="Arial"/>
                <w:sz w:val="18"/>
                <w:szCs w:val="18"/>
                <w:color w:val="auto"/>
              </w:rPr>
              <w:t>1.9</w:t>
            </w:r>
          </w:p>
        </w:tc>
        <w:tc>
          <w:tcPr>
            <w:tcW w:w="1220" w:type="dxa"/>
            <w:vAlign w:val="bottom"/>
          </w:tcPr>
          <w:p>
            <w:pPr>
              <w:jc w:val="right"/>
              <w:ind w:right="550"/>
              <w:spacing w:after="0"/>
              <w:rPr>
                <w:sz w:val="20"/>
                <w:szCs w:val="20"/>
                <w:color w:val="auto"/>
              </w:rPr>
            </w:pPr>
            <w:r>
              <w:rPr>
                <w:rFonts w:ascii="Arial" w:cs="Arial" w:eastAsia="Arial" w:hAnsi="Arial"/>
                <w:sz w:val="18"/>
                <w:szCs w:val="18"/>
                <w:color w:val="auto"/>
              </w:rPr>
              <w:t>7.2%</w:t>
            </w:r>
          </w:p>
        </w:tc>
      </w:tr>
      <w:tr>
        <w:trPr>
          <w:trHeight w:val="275"/>
        </w:trPr>
        <w:tc>
          <w:tcPr>
            <w:tcW w:w="40" w:type="dxa"/>
            <w:vAlign w:val="bottom"/>
            <w:shd w:val="clear" w:color="auto" w:fill="CCEEFF"/>
          </w:tcPr>
          <w:p>
            <w:pPr>
              <w:spacing w:after="0"/>
              <w:rPr>
                <w:sz w:val="23"/>
                <w:szCs w:val="23"/>
                <w:color w:val="auto"/>
              </w:rPr>
            </w:pPr>
          </w:p>
        </w:tc>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4.5%</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4.3%</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614"/>
              <w:spacing w:after="0"/>
              <w:rPr>
                <w:sz w:val="20"/>
                <w:szCs w:val="20"/>
                <w:color w:val="auto"/>
              </w:rPr>
            </w:pPr>
            <w:r>
              <w:rPr>
                <w:rFonts w:ascii="Arial" w:cs="Arial" w:eastAsia="Arial" w:hAnsi="Arial"/>
                <w:sz w:val="14"/>
                <w:szCs w:val="14"/>
                <w:i w:val="1"/>
                <w:iCs w:val="1"/>
                <w:color w:val="auto"/>
              </w:rPr>
              <w:t>29 bps</w:t>
            </w:r>
          </w:p>
        </w:tc>
        <w:tc>
          <w:tcPr>
            <w:tcW w:w="1220" w:type="dxa"/>
            <w:vAlign w:val="bottom"/>
            <w:shd w:val="clear" w:color="auto" w:fill="CCEEFF"/>
          </w:tcPr>
          <w:p>
            <w:pPr>
              <w:spacing w:after="0"/>
              <w:rPr>
                <w:sz w:val="23"/>
                <w:szCs w:val="23"/>
                <w:color w:val="auto"/>
              </w:rPr>
            </w:pPr>
          </w:p>
        </w:tc>
      </w:tr>
    </w:tbl>
    <w:p>
      <w:pPr>
        <w:spacing w:after="0" w:line="13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Facility Services revenues increased by $2.6 million, or 0.4%, during 2016, as compared to 2015. The increase was primarily attributable to higher sales due to new contracts and increased scope of work from existing clients and additional tag revenue. This increase was partially offset by the impact of contract losses earlier in the year.</w:t>
      </w:r>
    </w:p>
    <w:p>
      <w:pPr>
        <w:spacing w:after="0" w:line="10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Operating profit increased by $1.9 million, or 7.2%, during 2016, as compared to 2015. Operating profit margin increased by 29 bps to 4.5% in 2016 from 4.3% in 2015. The increase in operating profit margin was primarily attributable to the contribution of higher margin revenue, savings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and the related timing of open positions, and lower legal expenses. This increase was partially offset by higher insurance expense and specific reserves established for client receivables.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Parking</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1"/>
        </w:trPr>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24"/>
        </w:trPr>
        <w:tc>
          <w:tcPr>
            <w:tcW w:w="41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20" w:type="dxa"/>
            <w:vAlign w:val="bottom"/>
            <w:gridSpan w:val="2"/>
          </w:tcPr>
          <w:p>
            <w:pPr>
              <w:ind w:left="38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64"/>
        </w:trPr>
        <w:tc>
          <w:tcPr>
            <w:tcW w:w="4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666.0</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631.9</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34.1</w:t>
            </w:r>
          </w:p>
        </w:tc>
        <w:tc>
          <w:tcPr>
            <w:tcW w:w="15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5.4%</w:t>
            </w:r>
          </w:p>
        </w:tc>
      </w:tr>
      <w:tr>
        <w:trPr>
          <w:trHeight w:val="265"/>
        </w:trPr>
        <w:tc>
          <w:tcPr>
            <w:tcW w:w="416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3"/>
                <w:szCs w:val="23"/>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jc w:val="right"/>
              <w:ind w:right="254"/>
              <w:spacing w:after="0"/>
              <w:rPr>
                <w:sz w:val="20"/>
                <w:szCs w:val="20"/>
                <w:color w:val="auto"/>
              </w:rPr>
            </w:pPr>
            <w:r>
              <w:rPr>
                <w:rFonts w:ascii="Arial" w:cs="Arial" w:eastAsia="Arial" w:hAnsi="Arial"/>
                <w:sz w:val="18"/>
                <w:szCs w:val="18"/>
                <w:color w:val="auto"/>
              </w:rPr>
              <w:t>(3.6)</w:t>
            </w:r>
          </w:p>
        </w:tc>
        <w:tc>
          <w:tcPr>
            <w:tcW w:w="1520" w:type="dxa"/>
            <w:vAlign w:val="bottom"/>
          </w:tcPr>
          <w:p>
            <w:pPr>
              <w:jc w:val="right"/>
              <w:ind w:right="450"/>
              <w:spacing w:after="0"/>
              <w:rPr>
                <w:sz w:val="20"/>
                <w:szCs w:val="20"/>
                <w:color w:val="auto"/>
              </w:rPr>
            </w:pPr>
            <w:r>
              <w:rPr>
                <w:rFonts w:ascii="Arial" w:cs="Arial" w:eastAsia="Arial" w:hAnsi="Arial"/>
                <w:sz w:val="18"/>
                <w:szCs w:val="18"/>
                <w:color w:val="auto"/>
              </w:rPr>
              <w:t>(12.2)%</w:t>
            </w:r>
          </w:p>
        </w:tc>
      </w:tr>
      <w:tr>
        <w:trPr>
          <w:trHeight w:val="275"/>
        </w:trPr>
        <w:tc>
          <w:tcPr>
            <w:tcW w:w="40" w:type="dxa"/>
            <w:vAlign w:val="bottom"/>
            <w:shd w:val="clear" w:color="auto" w:fill="CCEEFF"/>
          </w:tcPr>
          <w:p>
            <w:pPr>
              <w:spacing w:after="0"/>
              <w:rPr>
                <w:sz w:val="23"/>
                <w:szCs w:val="23"/>
                <w:color w:val="auto"/>
              </w:rPr>
            </w:pPr>
          </w:p>
        </w:tc>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3.9%</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4.7%</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14"/>
              <w:spacing w:after="0"/>
              <w:rPr>
                <w:sz w:val="20"/>
                <w:szCs w:val="20"/>
                <w:color w:val="auto"/>
              </w:rPr>
            </w:pPr>
            <w:r>
              <w:rPr>
                <w:rFonts w:ascii="Arial" w:cs="Arial" w:eastAsia="Arial" w:hAnsi="Arial"/>
                <w:sz w:val="14"/>
                <w:szCs w:val="14"/>
                <w:i w:val="1"/>
                <w:iCs w:val="1"/>
                <w:color w:val="auto"/>
              </w:rPr>
              <w:t>(78) bps</w:t>
            </w:r>
          </w:p>
        </w:tc>
        <w:tc>
          <w:tcPr>
            <w:tcW w:w="1520" w:type="dxa"/>
            <w:vAlign w:val="bottom"/>
            <w:shd w:val="clear" w:color="auto" w:fill="CCEEFF"/>
          </w:tcPr>
          <w:p>
            <w:pPr>
              <w:spacing w:after="0"/>
              <w:rPr>
                <w:sz w:val="23"/>
                <w:szCs w:val="23"/>
                <w:color w:val="auto"/>
              </w:rPr>
            </w:pPr>
          </w:p>
        </w:tc>
      </w:tr>
    </w:tbl>
    <w:p>
      <w:pPr>
        <w:spacing w:after="0" w:line="13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Parking revenues increased by $34.1 million, or 5.4%, during 2016, as compared to 2015. The increase was primarily related to net new business and increased scope of work from existing clients. Management reimbursement revenues totaled $323.4 million and $305.9 million for 2016 and 2015, respectively.</w:t>
      </w:r>
    </w:p>
    <w:p>
      <w:pPr>
        <w:spacing w:after="0" w:line="10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 xml:space="preserve">Operating profit decreased by $3.6 million, or 12.2%, during 2016, as compared to 2015. Operating profit margin decreased by 78 bps to 3.9% in 2016 from 4.7% in 2015. The decrease in operating profit margin was primarily attributable to higher costs relating to operational issues with certain accounts, higher expenses at new locations until the labor management and operations normalize, and the conversion of some contracts from managed to leased location arrangements. In addition, the Parking segment was negatively impacted by a legal settlement, a state tax audit, and a specific reserve established for a client receivable. This decrease was partially offset by savings from our </w:t>
      </w:r>
      <w:r>
        <w:rPr>
          <w:rFonts w:ascii="Arial" w:cs="Arial" w:eastAsia="Arial" w:hAnsi="Arial"/>
          <w:sz w:val="18"/>
          <w:szCs w:val="18"/>
          <w:b w:val="1"/>
          <w:bCs w:val="1"/>
          <w:color w:val="FF9900"/>
        </w:rPr>
        <w:t xml:space="preserve">2020 </w:t>
      </w:r>
      <w:r>
        <w:rPr>
          <w:rFonts w:ascii="Arial" w:cs="Arial" w:eastAsia="Arial" w:hAnsi="Arial"/>
          <w:sz w:val="18"/>
          <w:szCs w:val="18"/>
          <w:b w:val="1"/>
          <w:bCs w:val="1"/>
          <w:color w:val="0070C0"/>
        </w:rPr>
        <w:t>Vision</w:t>
      </w:r>
      <w:r>
        <w:rPr>
          <w:rFonts w:ascii="Arial" w:cs="Arial" w:eastAsia="Arial" w:hAnsi="Arial"/>
          <w:sz w:val="18"/>
          <w:szCs w:val="18"/>
          <w:b w:val="1"/>
          <w:bCs w:val="1"/>
          <w:color w:val="FF9900"/>
        </w:rPr>
        <w:t xml:space="preserve"> </w:t>
      </w:r>
      <w:r>
        <w:rPr>
          <w:rFonts w:ascii="Arial" w:cs="Arial" w:eastAsia="Arial" w:hAnsi="Arial"/>
          <w:sz w:val="18"/>
          <w:szCs w:val="18"/>
          <w:color w:val="000000"/>
        </w:rPr>
        <w:t>initiatives and the related timing of open positions.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Building &amp; Energy Solutions</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1"/>
        </w:trPr>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5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24"/>
        </w:trPr>
        <w:tc>
          <w:tcPr>
            <w:tcW w:w="41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980" w:type="dxa"/>
            <w:vAlign w:val="bottom"/>
            <w:gridSpan w:val="2"/>
          </w:tcPr>
          <w:p>
            <w:pPr>
              <w:jc w:val="right"/>
              <w:ind w:right="810"/>
              <w:spacing w:after="0"/>
              <w:rPr>
                <w:sz w:val="20"/>
                <w:szCs w:val="20"/>
                <w:color w:val="auto"/>
              </w:rPr>
            </w:pPr>
            <w:r>
              <w:rPr>
                <w:rFonts w:ascii="Arial" w:cs="Arial" w:eastAsia="Arial" w:hAnsi="Arial"/>
                <w:sz w:val="18"/>
                <w:szCs w:val="18"/>
                <w:b w:val="1"/>
                <w:bCs w:val="1"/>
                <w:color w:val="auto"/>
              </w:rPr>
              <w:t>Increase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64"/>
        </w:trPr>
        <w:tc>
          <w:tcPr>
            <w:tcW w:w="4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643.2</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557.7</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85.5</w:t>
            </w:r>
          </w:p>
        </w:tc>
        <w:tc>
          <w:tcPr>
            <w:tcW w:w="15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15.3%</w:t>
            </w:r>
          </w:p>
        </w:tc>
      </w:tr>
      <w:tr>
        <w:trPr>
          <w:trHeight w:val="265"/>
        </w:trPr>
        <w:tc>
          <w:tcPr>
            <w:tcW w:w="416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3"/>
                <w:szCs w:val="23"/>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60" w:type="dxa"/>
            <w:vAlign w:val="bottom"/>
          </w:tcPr>
          <w:p>
            <w:pPr>
              <w:jc w:val="right"/>
              <w:ind w:right="254"/>
              <w:spacing w:after="0"/>
              <w:rPr>
                <w:sz w:val="20"/>
                <w:szCs w:val="20"/>
                <w:color w:val="auto"/>
              </w:rPr>
            </w:pPr>
            <w:r>
              <w:rPr>
                <w:rFonts w:ascii="Arial" w:cs="Arial" w:eastAsia="Arial" w:hAnsi="Arial"/>
                <w:sz w:val="18"/>
                <w:szCs w:val="18"/>
                <w:color w:val="auto"/>
              </w:rPr>
              <w:t>(15.2)</w:t>
            </w:r>
          </w:p>
        </w:tc>
        <w:tc>
          <w:tcPr>
            <w:tcW w:w="1520" w:type="dxa"/>
            <w:vAlign w:val="bottom"/>
          </w:tcPr>
          <w:p>
            <w:pPr>
              <w:jc w:val="right"/>
              <w:ind w:right="450"/>
              <w:spacing w:after="0"/>
              <w:rPr>
                <w:sz w:val="20"/>
                <w:szCs w:val="20"/>
                <w:color w:val="auto"/>
              </w:rPr>
            </w:pPr>
            <w:r>
              <w:rPr>
                <w:rFonts w:ascii="Arial" w:cs="Arial" w:eastAsia="Arial" w:hAnsi="Arial"/>
                <w:sz w:val="18"/>
                <w:szCs w:val="18"/>
                <w:color w:val="auto"/>
              </w:rPr>
              <w:t>(57.9)%</w:t>
            </w:r>
          </w:p>
        </w:tc>
      </w:tr>
      <w:tr>
        <w:trPr>
          <w:trHeight w:val="275"/>
        </w:trPr>
        <w:tc>
          <w:tcPr>
            <w:tcW w:w="40" w:type="dxa"/>
            <w:vAlign w:val="bottom"/>
            <w:shd w:val="clear" w:color="auto" w:fill="CCEEFF"/>
          </w:tcPr>
          <w:p>
            <w:pPr>
              <w:spacing w:after="0"/>
              <w:rPr>
                <w:sz w:val="23"/>
                <w:szCs w:val="23"/>
                <w:color w:val="auto"/>
              </w:rPr>
            </w:pPr>
          </w:p>
        </w:tc>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1.7%</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4.7%</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314"/>
              <w:spacing w:after="0"/>
              <w:rPr>
                <w:sz w:val="20"/>
                <w:szCs w:val="20"/>
                <w:color w:val="auto"/>
              </w:rPr>
            </w:pPr>
            <w:r>
              <w:rPr>
                <w:rFonts w:ascii="Arial" w:cs="Arial" w:eastAsia="Arial" w:hAnsi="Arial"/>
                <w:sz w:val="14"/>
                <w:szCs w:val="14"/>
                <w:i w:val="1"/>
                <w:iCs w:val="1"/>
                <w:color w:val="auto"/>
              </w:rPr>
              <w:t>(300) bps</w:t>
            </w:r>
          </w:p>
        </w:tc>
        <w:tc>
          <w:tcPr>
            <w:tcW w:w="1520" w:type="dxa"/>
            <w:vAlign w:val="bottom"/>
            <w:shd w:val="clear" w:color="auto" w:fill="CCEEFF"/>
          </w:tcPr>
          <w:p>
            <w:pPr>
              <w:spacing w:after="0"/>
              <w:rPr>
                <w:sz w:val="23"/>
                <w:szCs w:val="23"/>
                <w:color w:val="auto"/>
              </w:rPr>
            </w:pPr>
          </w:p>
        </w:tc>
      </w:tr>
    </w:tbl>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Building &amp; Energy Solutions revenues increased by $85.5 million, or 15.3%, during 2016, as compared to 2015. The increase was primarily attributable to incremental revenues of $97.0 million from acquisitions and higher technical services revenue associated with energy savings performance contracts (“ESPC”) and a strong backlog. This increase was partially offset by lower government and healthcare services revenues.</w:t>
      </w:r>
    </w:p>
    <w:p>
      <w:pPr>
        <w:spacing w:after="0" w:line="11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Operating profit decreased by $15.2 million, or 57.9%, during 2016, as compared to 2015. Operating profit margin decreased by 300 bps to 1.7% in 2016 from 4.7% in 2015. The decrease in operating profit margin was primarily attributable to the $22.5 million impairment charge related to our government services business, lower equity earnings in unconsolidated affiliates, specific reserves established for client receivables, and higher legal fees and settlement costs. This decrease was partially offset by higher revenue contribution from technical services, higher margins on existing contracts within government and healthcare services, and savings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and the related timing of open positions.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697"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51"/>
        </w:trPr>
        <w:tc>
          <w:tcPr>
            <w:tcW w:w="4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Other</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1"/>
        </w:trPr>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7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24"/>
        </w:trPr>
        <w:tc>
          <w:tcPr>
            <w:tcW w:w="41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80" w:type="dxa"/>
            <w:vAlign w:val="bottom"/>
          </w:tcPr>
          <w:p>
            <w:pPr>
              <w:jc w:val="right"/>
              <w:ind w:right="54"/>
              <w:spacing w:after="0"/>
              <w:rPr>
                <w:sz w:val="20"/>
                <w:szCs w:val="20"/>
                <w:color w:val="auto"/>
              </w:rPr>
            </w:pPr>
            <w:r>
              <w:rPr>
                <w:rFonts w:ascii="Arial" w:cs="Arial" w:eastAsia="Arial" w:hAnsi="Arial"/>
                <w:sz w:val="18"/>
                <w:szCs w:val="18"/>
                <w:b w:val="1"/>
                <w:bCs w:val="1"/>
                <w:color w:val="auto"/>
              </w:rPr>
              <w:t>Increase</w:t>
            </w:r>
          </w:p>
        </w:tc>
        <w:tc>
          <w:tcPr>
            <w:tcW w:w="124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4"/>
        </w:trPr>
        <w:tc>
          <w:tcPr>
            <w:tcW w:w="4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469.9</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420.9</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49.0</w:t>
            </w:r>
          </w:p>
        </w:tc>
        <w:tc>
          <w:tcPr>
            <w:tcW w:w="12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11.6%</w:t>
            </w:r>
          </w:p>
        </w:tc>
      </w:tr>
      <w:tr>
        <w:trPr>
          <w:trHeight w:val="265"/>
        </w:trPr>
        <w:tc>
          <w:tcPr>
            <w:tcW w:w="416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3"/>
                <w:szCs w:val="23"/>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580" w:type="dxa"/>
            <w:vAlign w:val="bottom"/>
          </w:tcPr>
          <w:p>
            <w:pPr>
              <w:jc w:val="right"/>
              <w:ind w:right="594"/>
              <w:spacing w:after="0"/>
              <w:rPr>
                <w:sz w:val="20"/>
                <w:szCs w:val="20"/>
                <w:color w:val="auto"/>
              </w:rPr>
            </w:pPr>
            <w:r>
              <w:rPr>
                <w:rFonts w:ascii="Arial" w:cs="Arial" w:eastAsia="Arial" w:hAnsi="Arial"/>
                <w:sz w:val="18"/>
                <w:szCs w:val="18"/>
                <w:color w:val="auto"/>
              </w:rPr>
              <w:t>2.0</w:t>
            </w:r>
          </w:p>
        </w:tc>
        <w:tc>
          <w:tcPr>
            <w:tcW w:w="1240" w:type="dxa"/>
            <w:vAlign w:val="bottom"/>
          </w:tcPr>
          <w:p>
            <w:pPr>
              <w:jc w:val="right"/>
              <w:ind w:right="510"/>
              <w:spacing w:after="0"/>
              <w:rPr>
                <w:sz w:val="20"/>
                <w:szCs w:val="20"/>
                <w:color w:val="auto"/>
              </w:rPr>
            </w:pPr>
            <w:r>
              <w:rPr>
                <w:rFonts w:ascii="Arial" w:cs="Arial" w:eastAsia="Arial" w:hAnsi="Arial"/>
                <w:sz w:val="18"/>
                <w:szCs w:val="18"/>
                <w:color w:val="auto"/>
              </w:rPr>
              <w:t>13.0%</w:t>
            </w:r>
          </w:p>
        </w:tc>
      </w:tr>
      <w:tr>
        <w:trPr>
          <w:trHeight w:val="275"/>
        </w:trPr>
        <w:tc>
          <w:tcPr>
            <w:tcW w:w="40" w:type="dxa"/>
            <w:vAlign w:val="bottom"/>
            <w:shd w:val="clear" w:color="auto" w:fill="CCEEFF"/>
          </w:tcPr>
          <w:p>
            <w:pPr>
              <w:spacing w:after="0"/>
              <w:rPr>
                <w:sz w:val="23"/>
                <w:szCs w:val="23"/>
                <w:color w:val="auto"/>
              </w:rPr>
            </w:pPr>
          </w:p>
        </w:tc>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3.7%</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3.6%</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594"/>
              <w:spacing w:after="0"/>
              <w:rPr>
                <w:sz w:val="20"/>
                <w:szCs w:val="20"/>
                <w:color w:val="auto"/>
              </w:rPr>
            </w:pPr>
            <w:r>
              <w:rPr>
                <w:rFonts w:ascii="Arial" w:cs="Arial" w:eastAsia="Arial" w:hAnsi="Arial"/>
                <w:sz w:val="14"/>
                <w:szCs w:val="14"/>
                <w:i w:val="1"/>
                <w:iCs w:val="1"/>
                <w:color w:val="auto"/>
              </w:rPr>
              <w:t>4 bps</w:t>
            </w:r>
          </w:p>
        </w:tc>
        <w:tc>
          <w:tcPr>
            <w:tcW w:w="1240" w:type="dxa"/>
            <w:vAlign w:val="bottom"/>
            <w:shd w:val="clear" w:color="auto" w:fill="CCEEFF"/>
          </w:tcPr>
          <w:p>
            <w:pPr>
              <w:spacing w:after="0"/>
              <w:rPr>
                <w:sz w:val="23"/>
                <w:szCs w:val="23"/>
                <w:color w:val="auto"/>
              </w:rPr>
            </w:pPr>
          </w:p>
        </w:tc>
      </w:tr>
    </w:tbl>
    <w:p>
      <w:pPr>
        <w:spacing w:after="0" w:line="13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Revenues from our Other segment increased by $49.0 million, or 11.6%, during 2016, as compared to 2015. The increase was primarily driven by higher passenger services and cabin cleaning revenues in our U.S. operations.</w:t>
      </w:r>
    </w:p>
    <w:p>
      <w:pPr>
        <w:spacing w:after="0" w:line="9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Operating profit increased by $2.0 million, or 13.0%, during 2016, as compared to 2015. Operating profit margin increased by 4 bps to 3.7% in 2016 from 3.6% in 2015. The increase in operating profit margin was primarily attributable to lower amortization expense of intangible assets and a reduction in general and administrative expenses due to cost control measures. This increase was partially offset by higher insurance expense and a penalty imposed by a regulatory agency. Also negatively impacting operating profit margin was the operations in one region of a large multi-regional contract during the three months ended January 31, 2016. Through corrective steps, we improved the profitability of this contract within the impacted region.</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3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Corporate</w:t>
            </w: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1"/>
        </w:trPr>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Years Ended October 31,</w:t>
            </w:r>
          </w:p>
        </w:tc>
        <w:tc>
          <w:tcPr>
            <w:tcW w:w="620" w:type="dxa"/>
            <w:vAlign w:val="bottom"/>
            <w:tcBorders>
              <w:bottom w:val="single" w:sz="8" w:color="auto"/>
            </w:tcBorders>
          </w:tcPr>
          <w:p>
            <w:pPr>
              <w:spacing w:after="0"/>
              <w:rPr>
                <w:sz w:val="23"/>
                <w:szCs w:val="23"/>
                <w:color w:val="auto"/>
              </w:rPr>
            </w:pPr>
          </w:p>
        </w:tc>
        <w:tc>
          <w:tcPr>
            <w:tcW w:w="8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24"/>
        </w:trPr>
        <w:tc>
          <w:tcPr>
            <w:tcW w:w="43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20" w:type="dxa"/>
            <w:vAlign w:val="bottom"/>
          </w:tcPr>
          <w:p>
            <w:pPr>
              <w:ind w:left="620"/>
              <w:spacing w:after="0"/>
              <w:rPr>
                <w:sz w:val="20"/>
                <w:szCs w:val="20"/>
                <w:color w:val="auto"/>
              </w:rPr>
            </w:pPr>
            <w:r>
              <w:rPr>
                <w:rFonts w:ascii="Arial" w:cs="Arial" w:eastAsia="Arial" w:hAnsi="Arial"/>
                <w:sz w:val="18"/>
                <w:szCs w:val="18"/>
                <w:b w:val="1"/>
                <w:bCs w:val="1"/>
                <w:color w:val="auto"/>
              </w:rPr>
              <w:t>Increase</w:t>
            </w:r>
          </w:p>
        </w:tc>
        <w:tc>
          <w:tcPr>
            <w:tcW w:w="116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64"/>
        </w:trPr>
        <w:tc>
          <w:tcPr>
            <w:tcW w:w="4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170.0</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162.3</w:t>
            </w:r>
          </w:p>
        </w:tc>
        <w:tc>
          <w:tcPr>
            <w:tcW w:w="8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7.7</w:t>
            </w:r>
          </w:p>
        </w:tc>
        <w:tc>
          <w:tcPr>
            <w:tcW w:w="11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4.7%</w:t>
            </w:r>
          </w:p>
        </w:tc>
      </w:tr>
    </w:tbl>
    <w:p>
      <w:pPr>
        <w:spacing w:after="0" w:line="13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Corporate expenses increased by $7.7 million, or 4.7%, during 2016, as compared to 2015. The increase in corporate expenses was primarily related to:</w:t>
      </w:r>
    </w:p>
    <w:p>
      <w:pPr>
        <w:spacing w:after="0" w:line="91" w:lineRule="exact"/>
        <w:rPr>
          <w:sz w:val="20"/>
          <w:szCs w:val="20"/>
          <w:color w:val="auto"/>
        </w:rPr>
      </w:pPr>
    </w:p>
    <w:p>
      <w:pPr>
        <w:ind w:left="660" w:right="20" w:hanging="328"/>
        <w:spacing w:after="0" w:line="30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a $16.9 million increase in restructuring and related costs, net of the reversal of share-based compensation expense, in connection with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jc w:val="both"/>
        <w:ind w:left="660" w:right="20" w:hanging="328"/>
        <w:spacing w:after="0" w:line="27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$5.2 million increase in bad debt expense related to a specific reserve established for a client receivable that is being litigated and for which, based on recent unfavorable developments, a significant portion of the outstanding receivable amount is no longer deemed collectible;</w:t>
      </w:r>
    </w:p>
    <w:p>
      <w:pPr>
        <w:spacing w:after="0" w:line="109"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$3.4 million increase in compensation and related expenses primarily due to the impact of annual salary increases and the absence of a bonus reversal related to certain incentive plans in the prior year;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$3.3 million increase in sales tax reserve for certain sales tax audits; and</w:t>
      </w:r>
    </w:p>
    <w:p>
      <w:pPr>
        <w:spacing w:after="0" w:line="16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$1.7 million higher outside services costs incurred as a result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transition.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w:t>
      </w:r>
    </w:p>
    <w:p>
      <w:pPr>
        <w:spacing w:after="0" w:line="17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$4.7 million decrease in legal fees and settlement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absence of $4.6 million in severance expense related to the departures of our former CEO and CFO;</w:t>
      </w:r>
    </w:p>
    <w:p>
      <w:pPr>
        <w:spacing w:after="0" w:line="171"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$4.3 million year-over-year decrease in medical and dental expense as a result of actuarial evaluations completed in the three months ended April 30, 2016;</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$4.1 million in savings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and</w:t>
      </w:r>
    </w:p>
    <w:p>
      <w:pPr>
        <w:spacing w:after="0" w:line="173" w:lineRule="exact"/>
        <w:rPr>
          <w:rFonts w:ascii="Arial" w:cs="Arial" w:eastAsia="Arial" w:hAnsi="Arial"/>
          <w:sz w:val="18"/>
          <w:szCs w:val="18"/>
          <w:color w:val="auto"/>
        </w:rPr>
      </w:pPr>
    </w:p>
    <w:p>
      <w:pPr>
        <w:ind w:left="660" w:right="20" w:hanging="328"/>
        <w:spacing w:after="0" w:line="29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$3.0 million year-over-year decrease in self-insurance expense related to prior year claims as a result of actuarial evaluations completed in 2016.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69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The Year Ended October 31, 2015 Compared with the Year Ended October 31,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80" w:type="dxa"/>
            <w:vAlign w:val="bottom"/>
            <w:gridSpan w:val="5"/>
          </w:tcPr>
          <w:p>
            <w:pPr>
              <w:ind w:left="140"/>
              <w:spacing w:after="0"/>
              <w:rPr>
                <w:sz w:val="20"/>
                <w:szCs w:val="20"/>
                <w:color w:val="auto"/>
              </w:rPr>
            </w:pPr>
            <w:r>
              <w:rPr>
                <w:rFonts w:ascii="Arial" w:cs="Arial" w:eastAsia="Arial" w:hAnsi="Arial"/>
                <w:sz w:val="18"/>
                <w:szCs w:val="18"/>
                <w:b w:val="1"/>
                <w:bCs w:val="1"/>
                <w:color w:val="auto"/>
              </w:rPr>
              <w:t>Years Ended October 31,</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24"/>
        </w:trPr>
        <w:tc>
          <w:tcPr>
            <w:tcW w:w="59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gridSpan w:val="2"/>
          </w:tcPr>
          <w:p>
            <w:pPr>
              <w:ind w:left="10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4"/>
        </w:trPr>
        <w:tc>
          <w:tcPr>
            <w:tcW w:w="59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4,897.8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4,649.7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248.1</w:t>
            </w:r>
          </w:p>
        </w:tc>
        <w:tc>
          <w:tcPr>
            <w:tcW w:w="1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5.3%</w:t>
            </w:r>
          </w:p>
        </w:tc>
      </w:tr>
      <w:tr>
        <w:trPr>
          <w:trHeight w:val="269"/>
        </w:trPr>
        <w:tc>
          <w:tcPr>
            <w:tcW w:w="5960" w:type="dxa"/>
            <w:vAlign w:val="bottom"/>
            <w:gridSpan w:val="3"/>
          </w:tcPr>
          <w:p>
            <w:pPr>
              <w:ind w:left="40"/>
              <w:spacing w:after="0"/>
              <w:rPr>
                <w:sz w:val="20"/>
                <w:szCs w:val="20"/>
                <w:color w:val="auto"/>
              </w:rPr>
            </w:pPr>
            <w:r>
              <w:rPr>
                <w:rFonts w:ascii="Arial" w:cs="Arial" w:eastAsia="Arial" w:hAnsi="Arial"/>
                <w:sz w:val="18"/>
                <w:szCs w:val="18"/>
                <w:b w:val="1"/>
                <w:bCs w:val="1"/>
                <w:color w:val="auto"/>
              </w:rPr>
              <w:t>Expenses</w:t>
            </w: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1"/>
        </w:trPr>
        <w:tc>
          <w:tcPr>
            <w:tcW w:w="40" w:type="dxa"/>
            <w:vAlign w:val="bottom"/>
            <w:shd w:val="clear" w:color="auto" w:fill="CCEEFF"/>
          </w:tcPr>
          <w:p>
            <w:pPr>
              <w:spacing w:after="0"/>
              <w:rPr>
                <w:sz w:val="23"/>
                <w:szCs w:val="23"/>
                <w:color w:val="auto"/>
              </w:rPr>
            </w:pPr>
          </w:p>
        </w:tc>
        <w:tc>
          <w:tcPr>
            <w:tcW w:w="5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4,410.0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4,160.5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249.5</w:t>
            </w:r>
          </w:p>
        </w:tc>
        <w:tc>
          <w:tcPr>
            <w:tcW w:w="1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6.0%</w:t>
            </w:r>
          </w:p>
        </w:tc>
      </w:tr>
      <w:tr>
        <w:trPr>
          <w:trHeight w:val="266"/>
        </w:trPr>
        <w:tc>
          <w:tcPr>
            <w:tcW w:w="40" w:type="dxa"/>
            <w:vAlign w:val="bottom"/>
          </w:tcPr>
          <w:p>
            <w:pPr>
              <w:spacing w:after="0"/>
              <w:rPr>
                <w:sz w:val="23"/>
                <w:szCs w:val="23"/>
                <w:color w:val="auto"/>
              </w:rPr>
            </w:pPr>
          </w:p>
        </w:tc>
        <w:tc>
          <w:tcPr>
            <w:tcW w:w="5920" w:type="dxa"/>
            <w:vAlign w:val="bottom"/>
            <w:gridSpan w:val="2"/>
          </w:tcPr>
          <w:p>
            <w:pPr>
              <w:ind w:left="460"/>
              <w:spacing w:after="0"/>
              <w:rPr>
                <w:sz w:val="20"/>
                <w:szCs w:val="20"/>
                <w:color w:val="auto"/>
              </w:rPr>
            </w:pPr>
            <w:r>
              <w:rPr>
                <w:rFonts w:ascii="Arial" w:cs="Arial" w:eastAsia="Arial" w:hAnsi="Arial"/>
                <w:sz w:val="14"/>
                <w:szCs w:val="14"/>
                <w:i w:val="1"/>
                <w:iCs w:val="1"/>
                <w:color w:val="auto"/>
              </w:rPr>
              <w:t>Gross margin</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i w:val="1"/>
                <w:iCs w:val="1"/>
                <w:color w:val="auto"/>
              </w:rPr>
              <w:t>10.0%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10.5%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i w:val="1"/>
                <w:iCs w:val="1"/>
                <w:color w:val="auto"/>
              </w:rPr>
              <w:t>(56) bps</w:t>
            </w:r>
          </w:p>
        </w:tc>
        <w:tc>
          <w:tcPr>
            <w:tcW w:w="1240" w:type="dxa"/>
            <w:vAlign w:val="bottom"/>
          </w:tcPr>
          <w:p>
            <w:pPr>
              <w:spacing w:after="0"/>
              <w:rPr>
                <w:sz w:val="23"/>
                <w:szCs w:val="23"/>
                <w:color w:val="auto"/>
              </w:rPr>
            </w:pPr>
          </w:p>
        </w:tc>
      </w:tr>
      <w:tr>
        <w:trPr>
          <w:trHeight w:val="274"/>
        </w:trPr>
        <w:tc>
          <w:tcPr>
            <w:tcW w:w="40" w:type="dxa"/>
            <w:vAlign w:val="bottom"/>
            <w:shd w:val="clear" w:color="auto" w:fill="CCEEFF"/>
          </w:tcPr>
          <w:p>
            <w:pPr>
              <w:spacing w:after="0"/>
              <w:rPr>
                <w:sz w:val="23"/>
                <w:szCs w:val="23"/>
                <w:color w:val="auto"/>
              </w:rPr>
            </w:pPr>
          </w:p>
        </w:tc>
        <w:tc>
          <w:tcPr>
            <w:tcW w:w="5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377.3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348.2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29.1</w:t>
            </w:r>
          </w:p>
        </w:tc>
        <w:tc>
          <w:tcPr>
            <w:tcW w:w="1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8.4%</w:t>
            </w:r>
          </w:p>
        </w:tc>
      </w:tr>
      <w:tr>
        <w:trPr>
          <w:trHeight w:val="265"/>
        </w:trPr>
        <w:tc>
          <w:tcPr>
            <w:tcW w:w="40" w:type="dxa"/>
            <w:vAlign w:val="bottom"/>
          </w:tcPr>
          <w:p>
            <w:pPr>
              <w:spacing w:after="0"/>
              <w:rPr>
                <w:sz w:val="23"/>
                <w:szCs w:val="23"/>
                <w:color w:val="auto"/>
              </w:rPr>
            </w:pPr>
          </w:p>
        </w:tc>
        <w:tc>
          <w:tcPr>
            <w:tcW w:w="5920" w:type="dxa"/>
            <w:vAlign w:val="bottom"/>
            <w:gridSpan w:val="2"/>
          </w:tcPr>
          <w:p>
            <w:pPr>
              <w:ind w:left="340"/>
              <w:spacing w:after="0"/>
              <w:rPr>
                <w:sz w:val="20"/>
                <w:szCs w:val="20"/>
                <w:color w:val="auto"/>
              </w:rPr>
            </w:pPr>
            <w:r>
              <w:rPr>
                <w:rFonts w:ascii="Arial" w:cs="Arial" w:eastAsia="Arial" w:hAnsi="Arial"/>
                <w:sz w:val="18"/>
                <w:szCs w:val="18"/>
                <w:color w:val="auto"/>
              </w:rPr>
              <w:t>Restructuring and related</w:t>
            </w:r>
          </w:p>
        </w:tc>
        <w:tc>
          <w:tcPr>
            <w:tcW w:w="280" w:type="dxa"/>
            <w:vAlign w:val="bottom"/>
          </w:tcPr>
          <w:p>
            <w:pPr>
              <w:spacing w:after="0"/>
              <w:rPr>
                <w:sz w:val="23"/>
                <w:szCs w:val="23"/>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12.7</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rPr>
              <w:t>100.0%</w:t>
            </w:r>
          </w:p>
        </w:tc>
      </w:tr>
      <w:tr>
        <w:trPr>
          <w:trHeight w:val="275"/>
        </w:trPr>
        <w:tc>
          <w:tcPr>
            <w:tcW w:w="40" w:type="dxa"/>
            <w:vAlign w:val="bottom"/>
            <w:shd w:val="clear" w:color="auto" w:fill="CCEEFF"/>
          </w:tcPr>
          <w:p>
            <w:pPr>
              <w:spacing w:after="0"/>
              <w:rPr>
                <w:sz w:val="23"/>
                <w:szCs w:val="23"/>
                <w:color w:val="auto"/>
              </w:rPr>
            </w:pPr>
          </w:p>
        </w:tc>
        <w:tc>
          <w:tcPr>
            <w:tcW w:w="5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(7.3)%</w:t>
            </w:r>
          </w:p>
        </w:tc>
      </w:tr>
      <w:tr>
        <w:trPr>
          <w:trHeight w:val="245"/>
        </w:trPr>
        <w:tc>
          <w:tcPr>
            <w:tcW w:w="40" w:type="dxa"/>
            <w:vAlign w:val="bottom"/>
            <w:tcBorders>
              <w:bottom w:val="single" w:sz="8" w:color="CCEEFF"/>
            </w:tcBorders>
          </w:tcPr>
          <w:p>
            <w:pPr>
              <w:spacing w:after="0"/>
              <w:rPr>
                <w:sz w:val="21"/>
                <w:szCs w:val="21"/>
                <w:color w:val="auto"/>
              </w:rPr>
            </w:pPr>
          </w:p>
        </w:tc>
        <w:tc>
          <w:tcPr>
            <w:tcW w:w="592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4,824.2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4,534.9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289.3</w:t>
            </w:r>
          </w:p>
        </w:tc>
        <w:tc>
          <w:tcPr>
            <w:tcW w:w="124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rPr>
              <w:t>6.4%</w:t>
            </w:r>
          </w:p>
        </w:tc>
      </w:tr>
      <w:tr>
        <w:trPr>
          <w:trHeight w:val="255"/>
        </w:trPr>
        <w:tc>
          <w:tcPr>
            <w:tcW w:w="59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114.8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8"/>
              </w:rPr>
              <w:t>(35.9)%</w:t>
            </w:r>
          </w:p>
        </w:tc>
      </w:tr>
      <w:tr>
        <w:trPr>
          <w:trHeight w:val="265"/>
        </w:trPr>
        <w:tc>
          <w:tcPr>
            <w:tcW w:w="5960" w:type="dxa"/>
            <w:vAlign w:val="bottom"/>
            <w:gridSpan w:val="3"/>
          </w:tcPr>
          <w:p>
            <w:pPr>
              <w:ind w:left="40"/>
              <w:spacing w:after="0"/>
              <w:rPr>
                <w:sz w:val="20"/>
                <w:szCs w:val="20"/>
                <w:color w:val="auto"/>
              </w:rPr>
            </w:pPr>
            <w:r>
              <w:rPr>
                <w:rFonts w:ascii="Arial" w:cs="Arial" w:eastAsia="Arial" w:hAnsi="Arial"/>
                <w:sz w:val="18"/>
                <w:szCs w:val="18"/>
                <w:color w:val="auto"/>
              </w:rPr>
              <w:t>Income from unconsolidated affiliates, net</w:t>
            </w:r>
          </w:p>
        </w:tc>
        <w:tc>
          <w:tcPr>
            <w:tcW w:w="280" w:type="dxa"/>
            <w:vAlign w:val="bottom"/>
          </w:tcPr>
          <w:p>
            <w:pPr>
              <w:spacing w:after="0"/>
              <w:rPr>
                <w:sz w:val="23"/>
                <w:szCs w:val="23"/>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7"/>
              </w:rPr>
              <w:t>37.7%</w:t>
            </w:r>
          </w:p>
        </w:tc>
      </w:tr>
      <w:tr>
        <w:trPr>
          <w:trHeight w:val="275"/>
        </w:trPr>
        <w:tc>
          <w:tcPr>
            <w:tcW w:w="59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1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5.1%</w:t>
            </w:r>
          </w:p>
        </w:tc>
      </w:tr>
      <w:tr>
        <w:trPr>
          <w:trHeight w:val="245"/>
        </w:trPr>
        <w:tc>
          <w:tcPr>
            <w:tcW w:w="596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(38.2)</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8"/>
              </w:rPr>
              <w:t>(34.6)%</w:t>
            </w:r>
          </w:p>
        </w:tc>
      </w:tr>
      <w:tr>
        <w:trPr>
          <w:trHeight w:val="275"/>
        </w:trPr>
        <w:tc>
          <w:tcPr>
            <w:tcW w:w="59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25.4</w:t>
            </w:r>
          </w:p>
        </w:tc>
        <w:tc>
          <w:tcPr>
            <w:tcW w:w="1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7"/>
              </w:rPr>
              <w:t>58.2%</w:t>
            </w:r>
          </w:p>
        </w:tc>
      </w:tr>
      <w:tr>
        <w:trPr>
          <w:trHeight w:val="245"/>
        </w:trPr>
        <w:tc>
          <w:tcPr>
            <w:tcW w:w="596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8"/>
              </w:rPr>
              <w:t>(19.2)%</w:t>
            </w:r>
          </w:p>
        </w:tc>
      </w:tr>
      <w:tr>
        <w:trPr>
          <w:trHeight w:val="270"/>
        </w:trPr>
        <w:tc>
          <w:tcPr>
            <w:tcW w:w="59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income from discontinued operations</w:t>
            </w:r>
          </w:p>
        </w:tc>
        <w:tc>
          <w:tcPr>
            <w:tcW w:w="2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13.5</w:t>
            </w:r>
          </w:p>
        </w:tc>
        <w:tc>
          <w:tcPr>
            <w:tcW w:w="12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NM*</w:t>
            </w:r>
          </w:p>
        </w:tc>
      </w:tr>
      <w:tr>
        <w:trPr>
          <w:trHeight w:val="255"/>
        </w:trPr>
        <w:tc>
          <w:tcPr>
            <w:tcW w:w="596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0.7</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rPr>
              <w:t>1.0%</w:t>
            </w: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*Not meaningful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Revenues increased by $248.1 million, or 5.3%, during 2015, as compared to 2014. The increase in revenues was primarily attributable to: (i) organic growth within our Janitorial segment; (ii) higher healthcare, technical, and government services revenues within our Building &amp; Energy Solutions segment; (iii) contract expansion within our Air Serv U.S. operations; and (iv) $111.9 million of incremental revenues from acquisitions.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Operating expenses increased by $249.5 million, or 6.0%, during 2015, as compared to 2014. Gross margin decreased by 56 bps to 10.0% in 2015 from 10.5% in 2014. The decrease in gross margin was primarily attributable to the unfavorable impact of an insurance reserve adjustment, higher operating expenses from net new business that typically results in lower gross margins for a period of time until the labor management and facilities operations normalize, and higher operating expenses related to operational issues at certain clients within our Building &amp; Energy Solutions segment. This decrease was partially offset by the positive impact of the termination of certain lower margin contracts, higher revenue contribution from our technical services business, and one less working day during 2015.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7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Selling, general and administrative expenses increased by $29.1 million, or 8.4%, during 2015, as compared to 2014. The increase in selling, general and administrative expenses was primarily related to:</w:t>
      </w:r>
    </w:p>
    <w:p>
      <w:pPr>
        <w:spacing w:after="0" w:line="91" w:lineRule="exact"/>
        <w:rPr>
          <w:sz w:val="20"/>
          <w:szCs w:val="20"/>
          <w:color w:val="auto"/>
        </w:rPr>
      </w:pPr>
    </w:p>
    <w:p>
      <w:pPr>
        <w:jc w:val="both"/>
        <w:ind w:left="660" w:hanging="328"/>
        <w:spacing w:after="0" w:line="27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$10.9 million higher compensation and related expenses due to hiring additional personnel to support growth initiatives throughout the organization and the addition of certain IT positions since the prior year, partially offset by a bonus reversal related to certain incentive plans;</w:t>
      </w:r>
    </w:p>
    <w:p>
      <w:pPr>
        <w:spacing w:after="0" w:line="10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$10.8 million of incremental selling, general and administrative expenses from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$6.2 million increase in legal fees and settlement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$4.6 million increase in severance expense related to the departures of our former CEO and CFO; and</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522" w:right="239" w:bottom="1440" w:gutter="0" w:footer="0" w:header="0"/>
        </w:sectPr>
      </w:pPr>
    </w:p>
    <w:bookmarkStart w:id="34" w:name="page35"/>
    <w:bookmarkEnd w:id="34"/>
    <w:p>
      <w:pPr>
        <w:ind w:right="920" w:firstLine="332"/>
        <w:spacing w:after="0" w:line="438"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$3.0 million year-over-year increase in medical and dental expense as a result of actuarial evaluations completed in 2015. The increase was partially offset by:</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$3.4 million decrease in costs associated with our re-branding initiative;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$1.4 million gain from a property sale that occurred in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Related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Restructuring and related costs increased by $12.7 million during 2015, as compared to 2014, in connection with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9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Amortization of intangible assets decreased by $2.0 million, or 7.3%, during 2015, as compared to 2014. This decrease was primarily related to intangible assets being amortized using the sum-of-the-years-digits method over their useful lives, which is consistent with the estimated useful life considerations used in determining their fair values and results in declining amortization expense.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Unconsolidated Affiliates, Net</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Income from unconsolidated affiliates, net, increased by $2.5 million, or 37.7%, during 2015, as compared to 2014. The increase was primarily related to higher equity earnings from certain investments in unconsolidated affiliates that provide facility solutions principally to the U.S. government and international clients.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effective tax rates on income from continuing operations for 2015 and 2014 were 25.3% and 39.5%, respectively. The effective tax rate for 2015 was lower than the rate for 2014 principally due to (i) $2.8 million of WOTC from the retroactive reinstatement of the WOTC for calendar year 2014, (ii) $2.0 million of tax deductions for energy efficient government buildings, (iii) $1.6 million of state employment-based tax credits, and (iv) $1.6 million of tax benefits related to a lapse of statutes of limitations.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from Discontinued Operations</w:t>
      </w:r>
    </w:p>
    <w:p>
      <w:pPr>
        <w:spacing w:after="0" w:line="171" w:lineRule="exact"/>
        <w:rPr>
          <w:sz w:val="20"/>
          <w:szCs w:val="20"/>
          <w:color w:val="auto"/>
        </w:rPr>
      </w:pPr>
    </w:p>
    <w:p>
      <w:pPr>
        <w:jc w:val="both"/>
        <w:ind w:firstLine="486"/>
        <w:spacing w:after="0" w:line="292" w:lineRule="auto"/>
        <w:rPr>
          <w:sz w:val="20"/>
          <w:szCs w:val="20"/>
          <w:color w:val="auto"/>
        </w:rPr>
      </w:pPr>
      <w:r>
        <w:rPr>
          <w:rFonts w:ascii="Arial" w:cs="Arial" w:eastAsia="Arial" w:hAnsi="Arial"/>
          <w:sz w:val="18"/>
          <w:szCs w:val="18"/>
          <w:color w:val="auto"/>
        </w:rPr>
        <w:t>Net income from discontinued operations increased by $13.5 million during 2015, as compared to 2014. The increase was primarily attributable to the $14.4 million after-tax gain on the sale of the Security business.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522"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 for Each Reportable Segment</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5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1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60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601"/>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20" w:type="dxa"/>
            <w:vAlign w:val="bottom"/>
            <w:gridSpan w:val="2"/>
          </w:tcPr>
          <w:p>
            <w:pPr>
              <w:ind w:left="380"/>
              <w:spacing w:after="0"/>
              <w:rPr>
                <w:sz w:val="20"/>
                <w:szCs w:val="20"/>
                <w:color w:val="auto"/>
              </w:rPr>
            </w:pPr>
            <w:r>
              <w:rPr>
                <w:rFonts w:ascii="Arial" w:cs="Arial" w:eastAsia="Arial" w:hAnsi="Arial"/>
                <w:sz w:val="18"/>
                <w:szCs w:val="18"/>
                <w:b w:val="1"/>
                <w:bCs w:val="1"/>
                <w:color w:val="auto"/>
              </w:rPr>
              <w:t>Increase / (Decrease)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1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160" w:type="dxa"/>
            <w:vAlign w:val="bottom"/>
            <w:gridSpan w:val="3"/>
          </w:tcPr>
          <w:p>
            <w:pPr>
              <w:ind w:left="40"/>
              <w:spacing w:after="0"/>
              <w:rPr>
                <w:sz w:val="20"/>
                <w:szCs w:val="20"/>
                <w:color w:val="auto"/>
              </w:rPr>
            </w:pPr>
            <w:r>
              <w:rPr>
                <w:rFonts w:ascii="Arial" w:cs="Arial" w:eastAsia="Arial" w:hAnsi="Arial"/>
                <w:sz w:val="18"/>
                <w:szCs w:val="18"/>
                <w:color w:val="auto"/>
              </w:rPr>
              <w:t>Janitorial</w:t>
            </w: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60"/>
              <w:spacing w:after="0"/>
              <w:rPr>
                <w:sz w:val="20"/>
                <w:szCs w:val="20"/>
                <w:color w:val="auto"/>
              </w:rPr>
            </w:pPr>
            <w:r>
              <w:rPr>
                <w:rFonts w:ascii="Arial" w:cs="Arial" w:eastAsia="Arial" w:hAnsi="Arial"/>
                <w:sz w:val="18"/>
                <w:szCs w:val="18"/>
                <w:color w:val="auto"/>
              </w:rPr>
              <w:t>2,692.7</w:t>
            </w:r>
          </w:p>
        </w:tc>
        <w:tc>
          <w:tcPr>
            <w:tcW w:w="120" w:type="dxa"/>
            <w:vAlign w:val="bottom"/>
          </w:tcPr>
          <w:p>
            <w:pPr>
              <w:spacing w:after="0"/>
              <w:rPr>
                <w:sz w:val="23"/>
                <w:szCs w:val="23"/>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61"/>
              <w:spacing w:after="0"/>
              <w:rPr>
                <w:sz w:val="20"/>
                <w:szCs w:val="20"/>
                <w:color w:val="auto"/>
              </w:rPr>
            </w:pPr>
            <w:r>
              <w:rPr>
                <w:rFonts w:ascii="Arial" w:cs="Arial" w:eastAsia="Arial" w:hAnsi="Arial"/>
                <w:sz w:val="18"/>
                <w:szCs w:val="18"/>
                <w:color w:val="auto"/>
              </w:rPr>
              <w:t>2,583.2</w:t>
            </w:r>
          </w:p>
        </w:tc>
        <w:tc>
          <w:tcPr>
            <w:tcW w:w="120" w:type="dxa"/>
            <w:vAlign w:val="bottom"/>
          </w:tcPr>
          <w:p>
            <w:pPr>
              <w:spacing w:after="0"/>
              <w:rPr>
                <w:sz w:val="23"/>
                <w:szCs w:val="23"/>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1"/>
              <w:spacing w:after="0"/>
              <w:rPr>
                <w:sz w:val="20"/>
                <w:szCs w:val="20"/>
                <w:color w:val="auto"/>
              </w:rPr>
            </w:pPr>
            <w:r>
              <w:rPr>
                <w:rFonts w:ascii="Arial" w:cs="Arial" w:eastAsia="Arial" w:hAnsi="Arial"/>
                <w:sz w:val="18"/>
                <w:szCs w:val="18"/>
                <w:color w:val="auto"/>
              </w:rPr>
              <w:t>109.5</w:t>
            </w:r>
          </w:p>
        </w:tc>
        <w:tc>
          <w:tcPr>
            <w:tcW w:w="1800" w:type="dxa"/>
            <w:vAlign w:val="bottom"/>
          </w:tcPr>
          <w:p>
            <w:pPr>
              <w:jc w:val="center"/>
              <w:ind w:lef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5"/>
        </w:trPr>
        <w:tc>
          <w:tcPr>
            <w:tcW w:w="4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Facility Services</w:t>
            </w: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594.6</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599.3</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65"/>
        </w:trPr>
        <w:tc>
          <w:tcPr>
            <w:tcW w:w="4160" w:type="dxa"/>
            <w:vAlign w:val="bottom"/>
            <w:gridSpan w:val="3"/>
          </w:tcPr>
          <w:p>
            <w:pPr>
              <w:ind w:left="40"/>
              <w:spacing w:after="0"/>
              <w:rPr>
                <w:sz w:val="20"/>
                <w:szCs w:val="20"/>
                <w:color w:val="auto"/>
              </w:rPr>
            </w:pPr>
            <w:r>
              <w:rPr>
                <w:rFonts w:ascii="Arial" w:cs="Arial" w:eastAsia="Arial" w:hAnsi="Arial"/>
                <w:sz w:val="18"/>
                <w:szCs w:val="18"/>
                <w:color w:val="auto"/>
              </w:rPr>
              <w:t>Parking</w:t>
            </w:r>
          </w:p>
        </w:tc>
        <w:tc>
          <w:tcPr>
            <w:tcW w:w="42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8"/>
                <w:szCs w:val="18"/>
                <w:color w:val="auto"/>
              </w:rPr>
              <w:t>631.9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jc w:val="right"/>
              <w:ind w:right="61"/>
              <w:spacing w:after="0"/>
              <w:rPr>
                <w:sz w:val="20"/>
                <w:szCs w:val="20"/>
                <w:color w:val="auto"/>
              </w:rPr>
            </w:pPr>
            <w:r>
              <w:rPr>
                <w:rFonts w:ascii="Arial" w:cs="Arial" w:eastAsia="Arial" w:hAnsi="Arial"/>
                <w:sz w:val="18"/>
                <w:szCs w:val="18"/>
                <w:color w:val="auto"/>
              </w:rPr>
              <w:t>616.1</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20" w:type="dxa"/>
            <w:vAlign w:val="bottom"/>
          </w:tcPr>
          <w:p>
            <w:pPr>
              <w:jc w:val="right"/>
              <w:ind w:right="41"/>
              <w:spacing w:after="0"/>
              <w:rPr>
                <w:sz w:val="20"/>
                <w:szCs w:val="20"/>
                <w:color w:val="auto"/>
              </w:rPr>
            </w:pPr>
            <w:r>
              <w:rPr>
                <w:rFonts w:ascii="Arial" w:cs="Arial" w:eastAsia="Arial" w:hAnsi="Arial"/>
                <w:sz w:val="18"/>
                <w:szCs w:val="18"/>
                <w:color w:val="auto"/>
              </w:rPr>
              <w:t>15.8</w:t>
            </w:r>
          </w:p>
        </w:tc>
        <w:tc>
          <w:tcPr>
            <w:tcW w:w="1800" w:type="dxa"/>
            <w:vAlign w:val="bottom"/>
          </w:tcPr>
          <w:p>
            <w:pPr>
              <w:jc w:val="center"/>
              <w:ind w:lef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5"/>
        </w:trPr>
        <w:tc>
          <w:tcPr>
            <w:tcW w:w="4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Building &amp; Energy Solutions</w:t>
            </w: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557.7</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483.8</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73.9</w:t>
            </w:r>
          </w:p>
        </w:tc>
        <w:tc>
          <w:tcPr>
            <w:tcW w:w="18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7"/>
              </w:rPr>
              <w:t>15.3%</w:t>
            </w:r>
          </w:p>
        </w:tc>
        <w:tc>
          <w:tcPr>
            <w:tcW w:w="0" w:type="dxa"/>
            <w:vAlign w:val="bottom"/>
          </w:tcPr>
          <w:p>
            <w:pPr>
              <w:spacing w:after="0"/>
              <w:rPr>
                <w:sz w:val="1"/>
                <w:szCs w:val="1"/>
                <w:color w:val="auto"/>
              </w:rPr>
            </w:pPr>
          </w:p>
        </w:tc>
      </w:tr>
      <w:tr>
        <w:trPr>
          <w:trHeight w:val="265"/>
        </w:trPr>
        <w:tc>
          <w:tcPr>
            <w:tcW w:w="41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8"/>
                <w:szCs w:val="18"/>
                <w:color w:val="auto"/>
              </w:rPr>
              <w:t>420.9</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61"/>
              <w:spacing w:after="0"/>
              <w:rPr>
                <w:sz w:val="20"/>
                <w:szCs w:val="20"/>
                <w:color w:val="auto"/>
              </w:rPr>
            </w:pPr>
            <w:r>
              <w:rPr>
                <w:rFonts w:ascii="Arial" w:cs="Arial" w:eastAsia="Arial" w:hAnsi="Arial"/>
                <w:sz w:val="18"/>
                <w:szCs w:val="18"/>
                <w:color w:val="auto"/>
              </w:rPr>
              <w:t>367.3</w:t>
            </w:r>
          </w:p>
        </w:tc>
        <w:tc>
          <w:tcPr>
            <w:tcW w:w="12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53.6</w:t>
            </w:r>
          </w:p>
        </w:tc>
        <w:tc>
          <w:tcPr>
            <w:tcW w:w="180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w w:val="97"/>
              </w:rPr>
              <w:t>14.6%</w:t>
            </w:r>
          </w:p>
        </w:tc>
        <w:tc>
          <w:tcPr>
            <w:tcW w:w="0" w:type="dxa"/>
            <w:vAlign w:val="bottom"/>
          </w:tcPr>
          <w:p>
            <w:pPr>
              <w:spacing w:after="0"/>
              <w:rPr>
                <w:sz w:val="1"/>
                <w:szCs w:val="1"/>
                <w:color w:val="auto"/>
              </w:rPr>
            </w:pPr>
          </w:p>
        </w:tc>
      </w:tr>
      <w:tr>
        <w:trPr>
          <w:trHeight w:val="255"/>
        </w:trPr>
        <w:tc>
          <w:tcPr>
            <w:tcW w:w="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8"/>
                <w:szCs w:val="18"/>
                <w:color w:val="auto"/>
              </w:rPr>
              <w:t>4,897.8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8"/>
                <w:szCs w:val="18"/>
                <w:color w:val="auto"/>
              </w:rPr>
              <w:t>4,649.7</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248.1</w:t>
            </w:r>
          </w:p>
        </w:tc>
        <w:tc>
          <w:tcPr>
            <w:tcW w:w="18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41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Operating profit</w:t>
            </w: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gridSpan w:val="3"/>
            <w:vMerge w:val="continue"/>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4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Janitorial</w:t>
            </w:r>
          </w:p>
        </w:tc>
        <w:tc>
          <w:tcPr>
            <w:tcW w:w="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150.5</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147.0</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3.5</w:t>
            </w:r>
          </w:p>
        </w:tc>
        <w:tc>
          <w:tcPr>
            <w:tcW w:w="18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12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3"/>
                <w:szCs w:val="13"/>
                <w:i w:val="1"/>
                <w:iCs w:val="1"/>
                <w:color w:val="auto"/>
              </w:rPr>
              <w:t>5.6%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3"/>
                <w:szCs w:val="13"/>
                <w:i w:val="1"/>
                <w:iCs w:val="1"/>
                <w:color w:val="auto"/>
              </w:rPr>
              <w:t>5.7%</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20" w:type="dxa"/>
            <w:vAlign w:val="bottom"/>
          </w:tcPr>
          <w:p>
            <w:pPr>
              <w:jc w:val="right"/>
              <w:ind w:right="41"/>
              <w:spacing w:after="0"/>
              <w:rPr>
                <w:sz w:val="20"/>
                <w:szCs w:val="20"/>
                <w:color w:val="auto"/>
              </w:rPr>
            </w:pPr>
            <w:r>
              <w:rPr>
                <w:rFonts w:ascii="Arial" w:cs="Arial" w:eastAsia="Arial" w:hAnsi="Arial"/>
                <w:sz w:val="13"/>
                <w:szCs w:val="13"/>
                <w:i w:val="1"/>
                <w:iCs w:val="1"/>
                <w:color w:val="auto"/>
              </w:rPr>
              <w:t>(11) bps</w:t>
            </w: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Facility Services</w:t>
            </w: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25.3</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25.2</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0.1</w:t>
            </w:r>
          </w:p>
        </w:tc>
        <w:tc>
          <w:tcPr>
            <w:tcW w:w="18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12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3"/>
                <w:szCs w:val="13"/>
                <w:i w:val="1"/>
                <w:iCs w:val="1"/>
                <w:color w:val="auto"/>
              </w:rPr>
              <w:t>4.3%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3"/>
                <w:szCs w:val="13"/>
                <w:i w:val="1"/>
                <w:iCs w:val="1"/>
                <w:color w:val="auto"/>
              </w:rPr>
              <w:t>4.2%</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20" w:type="dxa"/>
            <w:vAlign w:val="bottom"/>
          </w:tcPr>
          <w:p>
            <w:pPr>
              <w:jc w:val="right"/>
              <w:ind w:right="41"/>
              <w:spacing w:after="0"/>
              <w:rPr>
                <w:sz w:val="20"/>
                <w:szCs w:val="20"/>
                <w:color w:val="auto"/>
              </w:rPr>
            </w:pPr>
            <w:r>
              <w:rPr>
                <w:rFonts w:ascii="Arial" w:cs="Arial" w:eastAsia="Arial" w:hAnsi="Arial"/>
                <w:sz w:val="13"/>
                <w:szCs w:val="13"/>
                <w:i w:val="1"/>
                <w:iCs w:val="1"/>
                <w:color w:val="auto"/>
              </w:rPr>
              <w:t>5 bps</w:t>
            </w: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Parking</w:t>
            </w: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29.6</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29.2</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0.4</w:t>
            </w:r>
          </w:p>
        </w:tc>
        <w:tc>
          <w:tcPr>
            <w:tcW w:w="18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12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3"/>
                <w:szCs w:val="13"/>
                <w:i w:val="1"/>
                <w:iCs w:val="1"/>
                <w:color w:val="auto"/>
              </w:rPr>
              <w:t>4.7%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3"/>
                <w:szCs w:val="13"/>
                <w:i w:val="1"/>
                <w:iCs w:val="1"/>
                <w:color w:val="auto"/>
              </w:rPr>
              <w:t>4.7%</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20" w:type="dxa"/>
            <w:vAlign w:val="bottom"/>
          </w:tcPr>
          <w:p>
            <w:pPr>
              <w:jc w:val="right"/>
              <w:ind w:right="41"/>
              <w:spacing w:after="0"/>
              <w:rPr>
                <w:sz w:val="20"/>
                <w:szCs w:val="20"/>
                <w:color w:val="auto"/>
              </w:rPr>
            </w:pPr>
            <w:r>
              <w:rPr>
                <w:rFonts w:ascii="Arial" w:cs="Arial" w:eastAsia="Arial" w:hAnsi="Arial"/>
                <w:sz w:val="13"/>
                <w:szCs w:val="13"/>
                <w:i w:val="1"/>
                <w:iCs w:val="1"/>
                <w:color w:val="auto"/>
              </w:rPr>
              <w:t>(5) bps</w:t>
            </w: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Building &amp; Energy Solutions</w:t>
            </w: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26.3</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23.1</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3.2</w:t>
            </w:r>
          </w:p>
        </w:tc>
        <w:tc>
          <w:tcPr>
            <w:tcW w:w="18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7"/>
              </w:rPr>
              <w:t>14.0%</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12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3"/>
                <w:szCs w:val="13"/>
                <w:i w:val="1"/>
                <w:iCs w:val="1"/>
                <w:color w:val="auto"/>
              </w:rPr>
              <w:t>4.7%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3"/>
                <w:szCs w:val="13"/>
                <w:i w:val="1"/>
                <w:iCs w:val="1"/>
                <w:color w:val="auto"/>
              </w:rPr>
              <w:t>4.8%</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20" w:type="dxa"/>
            <w:vAlign w:val="bottom"/>
          </w:tcPr>
          <w:p>
            <w:pPr>
              <w:jc w:val="right"/>
              <w:ind w:right="41"/>
              <w:spacing w:after="0"/>
              <w:rPr>
                <w:sz w:val="20"/>
                <w:szCs w:val="20"/>
                <w:color w:val="auto"/>
              </w:rPr>
            </w:pPr>
            <w:r>
              <w:rPr>
                <w:rFonts w:ascii="Arial" w:cs="Arial" w:eastAsia="Arial" w:hAnsi="Arial"/>
                <w:sz w:val="13"/>
                <w:szCs w:val="13"/>
                <w:i w:val="1"/>
                <w:iCs w:val="1"/>
                <w:color w:val="auto"/>
              </w:rPr>
              <w:t>(5) bps</w:t>
            </w: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15.2</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3.0</w:t>
            </w:r>
          </w:p>
        </w:tc>
        <w:tc>
          <w:tcPr>
            <w:tcW w:w="18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7"/>
              </w:rPr>
              <w:t>25.0%</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412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3"/>
                <w:szCs w:val="13"/>
                <w:i w:val="1"/>
                <w:iCs w:val="1"/>
                <w:color w:val="auto"/>
              </w:rPr>
              <w:t>3.6%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3"/>
                <w:szCs w:val="13"/>
                <w:i w:val="1"/>
                <w:iCs w:val="1"/>
                <w:color w:val="auto"/>
              </w:rPr>
              <w:t>3.3%</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20" w:type="dxa"/>
            <w:vAlign w:val="bottom"/>
          </w:tcPr>
          <w:p>
            <w:pPr>
              <w:jc w:val="right"/>
              <w:ind w:right="41"/>
              <w:spacing w:after="0"/>
              <w:rPr>
                <w:sz w:val="20"/>
                <w:szCs w:val="20"/>
                <w:color w:val="auto"/>
              </w:rPr>
            </w:pPr>
            <w:r>
              <w:rPr>
                <w:rFonts w:ascii="Arial" w:cs="Arial" w:eastAsia="Arial" w:hAnsi="Arial"/>
                <w:sz w:val="13"/>
                <w:szCs w:val="13"/>
                <w:i w:val="1"/>
                <w:iCs w:val="1"/>
                <w:color w:val="auto"/>
              </w:rPr>
              <w:t>30 bps</w:t>
            </w: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Corporate</w:t>
      </w:r>
    </w:p>
    <w:p>
      <w:pPr>
        <w:spacing w:after="0" w:line="54" w:lineRule="exact"/>
        <w:rPr>
          <w:sz w:val="20"/>
          <w:szCs w:val="20"/>
          <w:color w:val="auto"/>
        </w:rPr>
      </w:pPr>
    </w:p>
    <w:p>
      <w:pPr>
        <w:ind w:left="200" w:hanging="161"/>
        <w:spacing w:after="0" w:line="281" w:lineRule="auto"/>
        <w:rPr>
          <w:sz w:val="20"/>
          <w:szCs w:val="20"/>
          <w:color w:val="auto"/>
        </w:rPr>
      </w:pPr>
      <w:r>
        <w:rPr>
          <w:rFonts w:ascii="Arial" w:cs="Arial" w:eastAsia="Arial" w:hAnsi="Arial"/>
          <w:sz w:val="16"/>
          <w:szCs w:val="16"/>
          <w:color w:val="auto"/>
        </w:rPr>
        <w:t>Adjustment for income from unconsolidated affiliates, net, included in Building &amp; Energy Solutions</w:t>
      </w:r>
    </w:p>
    <w:p>
      <w:pPr>
        <w:spacing w:after="0" w:line="1" w:lineRule="exact"/>
        <w:rPr>
          <w:sz w:val="20"/>
          <w:szCs w:val="20"/>
          <w:color w:val="auto"/>
        </w:rPr>
      </w:pPr>
    </w:p>
    <w:p>
      <w:pPr>
        <w:ind w:left="180" w:right="660" w:hanging="134"/>
        <w:spacing w:after="0" w:line="269" w:lineRule="auto"/>
        <w:rPr>
          <w:sz w:val="20"/>
          <w:szCs w:val="20"/>
          <w:color w:val="auto"/>
        </w:rPr>
      </w:pPr>
      <w:r>
        <w:rPr>
          <w:rFonts w:ascii="Arial" w:cs="Arial" w:eastAsia="Arial" w:hAnsi="Arial"/>
          <w:sz w:val="16"/>
          <w:szCs w:val="16"/>
          <w:color w:val="auto"/>
        </w:rPr>
        <w:t>Adjustment for tax deductions for energy efficient government buildings, included in Building &amp; Energy Solutions</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(115.3)</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(47.0)</w:t>
            </w:r>
          </w:p>
        </w:tc>
        <w:tc>
          <w:tcPr>
            <w:tcW w:w="1320" w:type="dxa"/>
            <w:vAlign w:val="bottom"/>
          </w:tcPr>
          <w:p>
            <w:pPr>
              <w:jc w:val="center"/>
              <w:ind w:left="490"/>
              <w:spacing w:after="0"/>
              <w:rPr>
                <w:sz w:val="20"/>
                <w:szCs w:val="20"/>
                <w:color w:val="auto"/>
              </w:rPr>
            </w:pPr>
            <w:r>
              <w:rPr>
                <w:rFonts w:ascii="Arial" w:cs="Arial" w:eastAsia="Arial" w:hAnsi="Arial"/>
                <w:sz w:val="18"/>
                <w:szCs w:val="18"/>
                <w:color w:val="auto"/>
                <w:w w:val="98"/>
              </w:rPr>
              <w:t>(40.8)%</w:t>
            </w:r>
          </w:p>
        </w:tc>
      </w:tr>
      <w:tr>
        <w:trPr>
          <w:trHeight w:val="338"/>
        </w:trPr>
        <w:tc>
          <w:tcPr>
            <w:tcW w:w="6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320" w:type="dxa"/>
            <w:vAlign w:val="bottom"/>
          </w:tcPr>
          <w:p>
            <w:pPr>
              <w:jc w:val="center"/>
              <w:ind w:left="490"/>
              <w:spacing w:after="0"/>
              <w:rPr>
                <w:sz w:val="20"/>
                <w:szCs w:val="20"/>
                <w:color w:val="auto"/>
              </w:rPr>
            </w:pPr>
            <w:r>
              <w:rPr>
                <w:rFonts w:ascii="Arial" w:cs="Arial" w:eastAsia="Arial" w:hAnsi="Arial"/>
                <w:sz w:val="18"/>
                <w:szCs w:val="18"/>
                <w:color w:val="auto"/>
                <w:w w:val="98"/>
              </w:rPr>
              <w:t>(36.2)%</w:t>
            </w:r>
          </w:p>
        </w:tc>
      </w:tr>
      <w:tr>
        <w:trPr>
          <w:trHeight w:val="721"/>
        </w:trPr>
        <w:tc>
          <w:tcPr>
            <w:tcW w:w="6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1320" w:type="dxa"/>
            <w:vAlign w:val="bottom"/>
          </w:tcPr>
          <w:p>
            <w:pPr>
              <w:jc w:val="center"/>
              <w:ind w:left="490"/>
              <w:spacing w:after="0"/>
              <w:rPr>
                <w:sz w:val="20"/>
                <w:szCs w:val="20"/>
                <w:color w:val="auto"/>
              </w:rPr>
            </w:pPr>
            <w:r>
              <w:rPr>
                <w:rFonts w:ascii="Arial" w:cs="Arial" w:eastAsia="Arial" w:hAnsi="Arial"/>
                <w:sz w:val="18"/>
                <w:szCs w:val="18"/>
                <w:color w:val="auto"/>
              </w:rPr>
              <w:t>(100.0)%</w:t>
            </w:r>
          </w:p>
        </w:tc>
      </w:tr>
      <w:tr>
        <w:trPr>
          <w:trHeight w:val="255"/>
        </w:trPr>
        <w:tc>
          <w:tcPr>
            <w:tcW w:w="6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114.8</w:t>
            </w:r>
          </w:p>
        </w:tc>
        <w:tc>
          <w:tcPr>
            <w:tcW w:w="12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320" w:type="dxa"/>
            <w:vAlign w:val="bottom"/>
          </w:tcPr>
          <w:p>
            <w:pPr>
              <w:jc w:val="center"/>
              <w:ind w:left="490"/>
              <w:spacing w:after="0"/>
              <w:rPr>
                <w:sz w:val="20"/>
                <w:szCs w:val="20"/>
                <w:color w:val="auto"/>
              </w:rPr>
            </w:pPr>
            <w:r>
              <w:rPr>
                <w:rFonts w:ascii="Arial" w:cs="Arial" w:eastAsia="Arial" w:hAnsi="Arial"/>
                <w:sz w:val="18"/>
                <w:szCs w:val="18"/>
                <w:color w:val="auto"/>
                <w:w w:val="98"/>
              </w:rPr>
              <w:t>(35.9)%</w:t>
            </w: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-591185</wp:posOffset>
            </wp:positionV>
            <wp:extent cx="7246620" cy="394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943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40" w:space="320"/>
            <w:col w:w="7260"/>
          </w:cols>
          <w:pgMar w:left="240" w:top="522" w:right="239" w:bottom="1440" w:gutter="0" w:footer="0" w:header="0"/>
          <w:type w:val="continuous"/>
        </w:sectPr>
      </w:pP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Janitorial</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1"/>
        </w:trPr>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5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24"/>
        </w:trPr>
        <w:tc>
          <w:tcPr>
            <w:tcW w:w="41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2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64"/>
        </w:trPr>
        <w:tc>
          <w:tcPr>
            <w:tcW w:w="4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2,692.7</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2,583.2</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109.5</w:t>
            </w:r>
          </w:p>
        </w:tc>
        <w:tc>
          <w:tcPr>
            <w:tcW w:w="14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4.2%</w:t>
            </w:r>
          </w:p>
        </w:tc>
      </w:tr>
      <w:tr>
        <w:trPr>
          <w:trHeight w:val="265"/>
        </w:trPr>
        <w:tc>
          <w:tcPr>
            <w:tcW w:w="416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3"/>
                <w:szCs w:val="23"/>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150.5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40" w:type="dxa"/>
            <w:vAlign w:val="bottom"/>
          </w:tcPr>
          <w:p>
            <w:pPr>
              <w:jc w:val="right"/>
              <w:ind w:right="354"/>
              <w:spacing w:after="0"/>
              <w:rPr>
                <w:sz w:val="20"/>
                <w:szCs w:val="20"/>
                <w:color w:val="auto"/>
              </w:rPr>
            </w:pPr>
            <w:r>
              <w:rPr>
                <w:rFonts w:ascii="Arial" w:cs="Arial" w:eastAsia="Arial" w:hAnsi="Arial"/>
                <w:sz w:val="18"/>
                <w:szCs w:val="18"/>
                <w:color w:val="auto"/>
              </w:rPr>
              <w:t>3.5</w:t>
            </w:r>
          </w:p>
        </w:tc>
        <w:tc>
          <w:tcPr>
            <w:tcW w:w="1480" w:type="dxa"/>
            <w:vAlign w:val="bottom"/>
          </w:tcPr>
          <w:p>
            <w:pPr>
              <w:jc w:val="right"/>
              <w:ind w:right="550"/>
              <w:spacing w:after="0"/>
              <w:rPr>
                <w:sz w:val="20"/>
                <w:szCs w:val="20"/>
                <w:color w:val="auto"/>
              </w:rPr>
            </w:pPr>
            <w:r>
              <w:rPr>
                <w:rFonts w:ascii="Arial" w:cs="Arial" w:eastAsia="Arial" w:hAnsi="Arial"/>
                <w:sz w:val="18"/>
                <w:szCs w:val="18"/>
                <w:color w:val="auto"/>
              </w:rPr>
              <w:t>2.3%</w:t>
            </w:r>
          </w:p>
        </w:tc>
      </w:tr>
      <w:tr>
        <w:trPr>
          <w:trHeight w:val="275"/>
        </w:trPr>
        <w:tc>
          <w:tcPr>
            <w:tcW w:w="40" w:type="dxa"/>
            <w:vAlign w:val="bottom"/>
            <w:shd w:val="clear" w:color="auto" w:fill="CCEEFF"/>
          </w:tcPr>
          <w:p>
            <w:pPr>
              <w:spacing w:after="0"/>
              <w:rPr>
                <w:sz w:val="23"/>
                <w:szCs w:val="23"/>
                <w:color w:val="auto"/>
              </w:rPr>
            </w:pPr>
          </w:p>
        </w:tc>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5.6%</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5.7%</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354"/>
              <w:spacing w:after="0"/>
              <w:rPr>
                <w:sz w:val="20"/>
                <w:szCs w:val="20"/>
                <w:color w:val="auto"/>
              </w:rPr>
            </w:pPr>
            <w:r>
              <w:rPr>
                <w:rFonts w:ascii="Arial" w:cs="Arial" w:eastAsia="Arial" w:hAnsi="Arial"/>
                <w:sz w:val="14"/>
                <w:szCs w:val="14"/>
                <w:i w:val="1"/>
                <w:iCs w:val="1"/>
                <w:color w:val="auto"/>
              </w:rPr>
              <w:t>(11) bps</w:t>
            </w:r>
          </w:p>
        </w:tc>
        <w:tc>
          <w:tcPr>
            <w:tcW w:w="1480" w:type="dxa"/>
            <w:vAlign w:val="bottom"/>
            <w:shd w:val="clear" w:color="auto" w:fill="CCEEFF"/>
          </w:tcPr>
          <w:p>
            <w:pPr>
              <w:spacing w:after="0"/>
              <w:rPr>
                <w:sz w:val="23"/>
                <w:szCs w:val="23"/>
                <w:color w:val="auto"/>
              </w:rPr>
            </w:pPr>
          </w:p>
        </w:tc>
      </w:tr>
    </w:tbl>
    <w:p>
      <w:pPr>
        <w:spacing w:after="0" w:line="139"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Janitorial revenues increased by $109.5 million, or 4.2%, during 2015, as compared to 2014. The increase was attributable to incremental revenues from acquisitions of $68.9 million and to organic growth, including additional tag revenue.</w:t>
      </w:r>
    </w:p>
    <w:p>
      <w:pPr>
        <w:spacing w:after="0" w:line="9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Operating profit increased by $3.5 million, or 2.3%, during 2015, as compared to 2014. Operating profit margin decreased by 11 bps to 5.6% in 2015 from 5.7% in 2014. The decrease in operating profit margin was primarily attributable to the unfavorable impact of an insurance reserve adjustment and higher operating expenses from net new business that typically results in lower gross margins for a period of time until the labor management and facilities operations normalize. Also negatively impacting operating profit margin was higher compensation expense due to hiring additional personnel to support selling and safety initiatives and higher legal fees and settlement costs. This decrease was partially offset by the positive impact of the termination of a large multi-regional contract, one less working day during 2015, and a gain from a property sale.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522" w:right="239" w:bottom="144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251"/>
        </w:trPr>
        <w:tc>
          <w:tcPr>
            <w:tcW w:w="4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Facility Services</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1"/>
        </w:trPr>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5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24"/>
        </w:trPr>
        <w:tc>
          <w:tcPr>
            <w:tcW w:w="41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2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64"/>
        </w:trPr>
        <w:tc>
          <w:tcPr>
            <w:tcW w:w="4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594.6</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599.3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(4.7)</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(0.8)%</w:t>
            </w:r>
          </w:p>
        </w:tc>
      </w:tr>
      <w:tr>
        <w:trPr>
          <w:trHeight w:val="265"/>
        </w:trPr>
        <w:tc>
          <w:tcPr>
            <w:tcW w:w="416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3"/>
                <w:szCs w:val="23"/>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40" w:type="dxa"/>
            <w:vAlign w:val="bottom"/>
          </w:tcPr>
          <w:p>
            <w:pPr>
              <w:jc w:val="right"/>
              <w:ind w:right="354"/>
              <w:spacing w:after="0"/>
              <w:rPr>
                <w:sz w:val="20"/>
                <w:szCs w:val="20"/>
                <w:color w:val="auto"/>
              </w:rPr>
            </w:pPr>
            <w:r>
              <w:rPr>
                <w:rFonts w:ascii="Arial" w:cs="Arial" w:eastAsia="Arial" w:hAnsi="Arial"/>
                <w:sz w:val="18"/>
                <w:szCs w:val="18"/>
                <w:color w:val="auto"/>
              </w:rPr>
              <w:t>0.1</w:t>
            </w:r>
          </w:p>
        </w:tc>
        <w:tc>
          <w:tcPr>
            <w:tcW w:w="1480" w:type="dxa"/>
            <w:vAlign w:val="bottom"/>
          </w:tcPr>
          <w:p>
            <w:pPr>
              <w:jc w:val="right"/>
              <w:ind w:right="550"/>
              <w:spacing w:after="0"/>
              <w:rPr>
                <w:sz w:val="20"/>
                <w:szCs w:val="20"/>
                <w:color w:val="auto"/>
              </w:rPr>
            </w:pPr>
            <w:r>
              <w:rPr>
                <w:rFonts w:ascii="Arial" w:cs="Arial" w:eastAsia="Arial" w:hAnsi="Arial"/>
                <w:sz w:val="18"/>
                <w:szCs w:val="18"/>
                <w:color w:val="auto"/>
              </w:rPr>
              <w:t>0.5%</w:t>
            </w:r>
          </w:p>
        </w:tc>
      </w:tr>
      <w:tr>
        <w:trPr>
          <w:trHeight w:val="275"/>
        </w:trPr>
        <w:tc>
          <w:tcPr>
            <w:tcW w:w="40" w:type="dxa"/>
            <w:vAlign w:val="bottom"/>
            <w:shd w:val="clear" w:color="auto" w:fill="CCEEFF"/>
          </w:tcPr>
          <w:p>
            <w:pPr>
              <w:spacing w:after="0"/>
              <w:rPr>
                <w:sz w:val="23"/>
                <w:szCs w:val="23"/>
                <w:color w:val="auto"/>
              </w:rPr>
            </w:pPr>
          </w:p>
        </w:tc>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4.3%</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4.2%</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354"/>
              <w:spacing w:after="0"/>
              <w:rPr>
                <w:sz w:val="20"/>
                <w:szCs w:val="20"/>
                <w:color w:val="auto"/>
              </w:rPr>
            </w:pPr>
            <w:r>
              <w:rPr>
                <w:rFonts w:ascii="Arial" w:cs="Arial" w:eastAsia="Arial" w:hAnsi="Arial"/>
                <w:sz w:val="14"/>
                <w:szCs w:val="14"/>
                <w:i w:val="1"/>
                <w:iCs w:val="1"/>
                <w:color w:val="auto"/>
              </w:rPr>
              <w:t>5 bps</w:t>
            </w:r>
          </w:p>
        </w:tc>
        <w:tc>
          <w:tcPr>
            <w:tcW w:w="1480" w:type="dxa"/>
            <w:vAlign w:val="bottom"/>
            <w:shd w:val="clear" w:color="auto" w:fill="CCEEFF"/>
          </w:tcPr>
          <w:p>
            <w:pPr>
              <w:spacing w:after="0"/>
              <w:rPr>
                <w:sz w:val="23"/>
                <w:szCs w:val="23"/>
                <w:color w:val="auto"/>
              </w:rPr>
            </w:pPr>
          </w:p>
        </w:tc>
      </w:tr>
    </w:tbl>
    <w:p>
      <w:pPr>
        <w:spacing w:after="0" w:line="13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Facility Services revenues decreased by $4.7 million, or 0.8%, during 2015, as compared to 2014. The decrease was primarily attributable to the termination of certain lower margin contracts that exceeded new business and the timing of a biannual contractual performance-based award.</w:t>
      </w:r>
    </w:p>
    <w:p>
      <w:pPr>
        <w:spacing w:after="0" w:line="10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Operating profit increased by $0.1 million, or 0.5%, during 2015, as compared to 2014. Operating profit margin increased by 5 bps to 4.3% in 2015 from 4.2% in 2014. The increase in operating profit margin was primarily attributable to the termination of certain lower margin contracts and lower legal expenses. This increase was partially offset by the absence of a benefit related to the sale of leased vehicles for a certain closed job in the prior year, the unfavorable impact of an insurance reserve adjustment, and the timing of a biannual contractual performance-based award.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Parking</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1"/>
        </w:trPr>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5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24"/>
        </w:trPr>
        <w:tc>
          <w:tcPr>
            <w:tcW w:w="41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2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64"/>
        </w:trPr>
        <w:tc>
          <w:tcPr>
            <w:tcW w:w="4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631.9</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616.1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15.8</w:t>
            </w:r>
          </w:p>
        </w:tc>
        <w:tc>
          <w:tcPr>
            <w:tcW w:w="14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2.6%</w:t>
            </w:r>
          </w:p>
        </w:tc>
      </w:tr>
      <w:tr>
        <w:trPr>
          <w:trHeight w:val="265"/>
        </w:trPr>
        <w:tc>
          <w:tcPr>
            <w:tcW w:w="416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3"/>
                <w:szCs w:val="23"/>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40" w:type="dxa"/>
            <w:vAlign w:val="bottom"/>
          </w:tcPr>
          <w:p>
            <w:pPr>
              <w:jc w:val="right"/>
              <w:ind w:right="354"/>
              <w:spacing w:after="0"/>
              <w:rPr>
                <w:sz w:val="20"/>
                <w:szCs w:val="20"/>
                <w:color w:val="auto"/>
              </w:rPr>
            </w:pPr>
            <w:r>
              <w:rPr>
                <w:rFonts w:ascii="Arial" w:cs="Arial" w:eastAsia="Arial" w:hAnsi="Arial"/>
                <w:sz w:val="18"/>
                <w:szCs w:val="18"/>
                <w:color w:val="auto"/>
              </w:rPr>
              <w:t>0.4</w:t>
            </w:r>
          </w:p>
        </w:tc>
        <w:tc>
          <w:tcPr>
            <w:tcW w:w="1480" w:type="dxa"/>
            <w:vAlign w:val="bottom"/>
          </w:tcPr>
          <w:p>
            <w:pPr>
              <w:jc w:val="right"/>
              <w:ind w:right="550"/>
              <w:spacing w:after="0"/>
              <w:rPr>
                <w:sz w:val="20"/>
                <w:szCs w:val="20"/>
                <w:color w:val="auto"/>
              </w:rPr>
            </w:pPr>
            <w:r>
              <w:rPr>
                <w:rFonts w:ascii="Arial" w:cs="Arial" w:eastAsia="Arial" w:hAnsi="Arial"/>
                <w:sz w:val="18"/>
                <w:szCs w:val="18"/>
                <w:color w:val="auto"/>
              </w:rPr>
              <w:t>1.5%</w:t>
            </w:r>
          </w:p>
        </w:tc>
      </w:tr>
      <w:tr>
        <w:trPr>
          <w:trHeight w:val="275"/>
        </w:trPr>
        <w:tc>
          <w:tcPr>
            <w:tcW w:w="40" w:type="dxa"/>
            <w:vAlign w:val="bottom"/>
            <w:shd w:val="clear" w:color="auto" w:fill="CCEEFF"/>
          </w:tcPr>
          <w:p>
            <w:pPr>
              <w:spacing w:after="0"/>
              <w:rPr>
                <w:sz w:val="23"/>
                <w:szCs w:val="23"/>
                <w:color w:val="auto"/>
              </w:rPr>
            </w:pPr>
          </w:p>
        </w:tc>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4.7%</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4.7%</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354"/>
              <w:spacing w:after="0"/>
              <w:rPr>
                <w:sz w:val="20"/>
                <w:szCs w:val="20"/>
                <w:color w:val="auto"/>
              </w:rPr>
            </w:pPr>
            <w:r>
              <w:rPr>
                <w:rFonts w:ascii="Arial" w:cs="Arial" w:eastAsia="Arial" w:hAnsi="Arial"/>
                <w:sz w:val="14"/>
                <w:szCs w:val="14"/>
                <w:i w:val="1"/>
                <w:iCs w:val="1"/>
                <w:color w:val="auto"/>
              </w:rPr>
              <w:t>(5) bps</w:t>
            </w:r>
          </w:p>
        </w:tc>
        <w:tc>
          <w:tcPr>
            <w:tcW w:w="1480" w:type="dxa"/>
            <w:vAlign w:val="bottom"/>
            <w:shd w:val="clear" w:color="auto" w:fill="CCEEFF"/>
          </w:tcPr>
          <w:p>
            <w:pPr>
              <w:spacing w:after="0"/>
              <w:rPr>
                <w:sz w:val="23"/>
                <w:szCs w:val="23"/>
                <w:color w:val="auto"/>
              </w:rPr>
            </w:pPr>
          </w:p>
        </w:tc>
      </w:tr>
    </w:tbl>
    <w:p>
      <w:pPr>
        <w:spacing w:after="0" w:line="13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Parking revenues increased by $15.8 million, or 2.6%, during 2015, as compared to 2014. The increase was primarily related to increased scope of work from existing clients. Management reimbursement revenues totaled $305.9 million and $306.1 million for 2015 and 2014, respectively.</w:t>
      </w:r>
    </w:p>
    <w:p>
      <w:pPr>
        <w:spacing w:after="0" w:line="10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Operating profit increased by $0.4 million, or 1.5%, during 2015, as compared to 2014. Operating profit margin decreased by 5 bps in 2015 from 2014. This slight decrease in operating profit margin was primarily attributable to the unfavorable impact of an insurance reserve adjustment, higher legal costs, and the absence of a benefit related to the collection of previously reserved accounts receivable in the prior year.</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Building &amp; Energy Solutions</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1"/>
        </w:trPr>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24"/>
        </w:trPr>
        <w:tc>
          <w:tcPr>
            <w:tcW w:w="41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2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64"/>
        </w:trPr>
        <w:tc>
          <w:tcPr>
            <w:tcW w:w="4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557.7</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483.8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73.9</w:t>
            </w:r>
          </w:p>
        </w:tc>
        <w:tc>
          <w:tcPr>
            <w:tcW w:w="15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15.3%</w:t>
            </w:r>
          </w:p>
        </w:tc>
      </w:tr>
      <w:tr>
        <w:trPr>
          <w:trHeight w:val="265"/>
        </w:trPr>
        <w:tc>
          <w:tcPr>
            <w:tcW w:w="416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3"/>
                <w:szCs w:val="23"/>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jc w:val="right"/>
              <w:ind w:right="314"/>
              <w:spacing w:after="0"/>
              <w:rPr>
                <w:sz w:val="20"/>
                <w:szCs w:val="20"/>
                <w:color w:val="auto"/>
              </w:rPr>
            </w:pPr>
            <w:r>
              <w:rPr>
                <w:rFonts w:ascii="Arial" w:cs="Arial" w:eastAsia="Arial" w:hAnsi="Arial"/>
                <w:sz w:val="18"/>
                <w:szCs w:val="18"/>
                <w:color w:val="auto"/>
              </w:rPr>
              <w:t>3.2</w:t>
            </w:r>
          </w:p>
        </w:tc>
        <w:tc>
          <w:tcPr>
            <w:tcW w:w="1520" w:type="dxa"/>
            <w:vAlign w:val="bottom"/>
          </w:tcPr>
          <w:p>
            <w:pPr>
              <w:jc w:val="right"/>
              <w:ind w:right="510"/>
              <w:spacing w:after="0"/>
              <w:rPr>
                <w:sz w:val="20"/>
                <w:szCs w:val="20"/>
                <w:color w:val="auto"/>
              </w:rPr>
            </w:pPr>
            <w:r>
              <w:rPr>
                <w:rFonts w:ascii="Arial" w:cs="Arial" w:eastAsia="Arial" w:hAnsi="Arial"/>
                <w:sz w:val="18"/>
                <w:szCs w:val="18"/>
                <w:color w:val="auto"/>
              </w:rPr>
              <w:t>14.0%</w:t>
            </w:r>
          </w:p>
        </w:tc>
      </w:tr>
      <w:tr>
        <w:trPr>
          <w:trHeight w:val="275"/>
        </w:trPr>
        <w:tc>
          <w:tcPr>
            <w:tcW w:w="40" w:type="dxa"/>
            <w:vAlign w:val="bottom"/>
            <w:shd w:val="clear" w:color="auto" w:fill="CCEEFF"/>
          </w:tcPr>
          <w:p>
            <w:pPr>
              <w:spacing w:after="0"/>
              <w:rPr>
                <w:sz w:val="23"/>
                <w:szCs w:val="23"/>
                <w:color w:val="auto"/>
              </w:rPr>
            </w:pPr>
          </w:p>
        </w:tc>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4.7%</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4.8%</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14"/>
              <w:spacing w:after="0"/>
              <w:rPr>
                <w:sz w:val="20"/>
                <w:szCs w:val="20"/>
                <w:color w:val="auto"/>
              </w:rPr>
            </w:pPr>
            <w:r>
              <w:rPr>
                <w:rFonts w:ascii="Arial" w:cs="Arial" w:eastAsia="Arial" w:hAnsi="Arial"/>
                <w:sz w:val="14"/>
                <w:szCs w:val="14"/>
                <w:i w:val="1"/>
                <w:iCs w:val="1"/>
                <w:color w:val="auto"/>
              </w:rPr>
              <w:t>(5) bps</w:t>
            </w:r>
          </w:p>
        </w:tc>
        <w:tc>
          <w:tcPr>
            <w:tcW w:w="1520" w:type="dxa"/>
            <w:vAlign w:val="bottom"/>
            <w:shd w:val="clear" w:color="auto" w:fill="CCEEFF"/>
          </w:tcPr>
          <w:p>
            <w:pPr>
              <w:spacing w:after="0"/>
              <w:rPr>
                <w:sz w:val="23"/>
                <w:szCs w:val="23"/>
                <w:color w:val="auto"/>
              </w:rPr>
            </w:pPr>
          </w:p>
        </w:tc>
      </w:tr>
    </w:tbl>
    <w:p>
      <w:pPr>
        <w:spacing w:after="0" w:line="13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Building &amp; Energy Solutions revenues increased by $73.9 million, or 15.3%, during 2015, as compared to 2014. The increase was primarily attributable to incremental revenues of $43.0 million from acquisitions and organic growth from healthcare, technical, and government services.</w:t>
      </w:r>
    </w:p>
    <w:p>
      <w:pPr>
        <w:spacing w:after="0" w:line="10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Operating profit increased by $3.2 million, or 14.0%, during 2015, as compared to 2014. Operating profit margin decreased by 5 bps to 4.7% in 2015 from 4.8% in 2014. The slight decrease in operating profit margin was principally attributable to higher operating expenses related to operational issues at certain clients, higher compensation expense due to hiring additional personnel to support selling initiatives, and specific reserves established for certain government services receivables. This decrease was partially offset by higher equity earnings in unconsolidated affiliates that provide facility solutions to the U.S. government and international clients and higher revenue contribution from our technical services business. Additionally, operating profit margin benefited from operational tax deductions for energy efficient government building projects in the current year.</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697"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51"/>
        </w:trPr>
        <w:tc>
          <w:tcPr>
            <w:tcW w:w="4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Other</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1"/>
        </w:trPr>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6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24"/>
        </w:trPr>
        <w:tc>
          <w:tcPr>
            <w:tcW w:w="41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20" w:type="dxa"/>
            <w:vAlign w:val="bottom"/>
          </w:tcPr>
          <w:p>
            <w:pPr>
              <w:jc w:val="right"/>
              <w:ind w:right="54"/>
              <w:spacing w:after="0"/>
              <w:rPr>
                <w:sz w:val="20"/>
                <w:szCs w:val="20"/>
                <w:color w:val="auto"/>
              </w:rPr>
            </w:pPr>
            <w:r>
              <w:rPr>
                <w:rFonts w:ascii="Arial" w:cs="Arial" w:eastAsia="Arial" w:hAnsi="Arial"/>
                <w:sz w:val="18"/>
                <w:szCs w:val="18"/>
                <w:b w:val="1"/>
                <w:bCs w:val="1"/>
                <w:color w:val="auto"/>
              </w:rPr>
              <w:t>Increase</w:t>
            </w:r>
          </w:p>
        </w:tc>
        <w:tc>
          <w:tcPr>
            <w:tcW w:w="124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4"/>
        </w:trPr>
        <w:tc>
          <w:tcPr>
            <w:tcW w:w="4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420.9</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367.3</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53.6</w:t>
            </w:r>
          </w:p>
        </w:tc>
        <w:tc>
          <w:tcPr>
            <w:tcW w:w="12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14.6%</w:t>
            </w:r>
          </w:p>
        </w:tc>
      </w:tr>
      <w:tr>
        <w:trPr>
          <w:trHeight w:val="265"/>
        </w:trPr>
        <w:tc>
          <w:tcPr>
            <w:tcW w:w="4160" w:type="dxa"/>
            <w:vAlign w:val="bottom"/>
            <w:gridSpan w:val="3"/>
          </w:tcPr>
          <w:p>
            <w:pPr>
              <w:ind w:left="40"/>
              <w:spacing w:after="0"/>
              <w:rPr>
                <w:sz w:val="20"/>
                <w:szCs w:val="20"/>
                <w:color w:val="auto"/>
              </w:rPr>
            </w:pPr>
            <w:r>
              <w:rPr>
                <w:rFonts w:ascii="Arial" w:cs="Arial" w:eastAsia="Arial" w:hAnsi="Arial"/>
                <w:sz w:val="16"/>
                <w:szCs w:val="16"/>
                <w:color w:val="auto"/>
              </w:rPr>
              <w:t>Operating profit</w:t>
            </w:r>
          </w:p>
        </w:tc>
        <w:tc>
          <w:tcPr>
            <w:tcW w:w="420" w:type="dxa"/>
            <w:vAlign w:val="bottom"/>
          </w:tcPr>
          <w:p>
            <w:pPr>
              <w:spacing w:after="0"/>
              <w:rPr>
                <w:sz w:val="23"/>
                <w:szCs w:val="23"/>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20" w:type="dxa"/>
            <w:vAlign w:val="bottom"/>
          </w:tcPr>
          <w:p>
            <w:pPr>
              <w:jc w:val="right"/>
              <w:ind w:right="594"/>
              <w:spacing w:after="0"/>
              <w:rPr>
                <w:sz w:val="20"/>
                <w:szCs w:val="20"/>
                <w:color w:val="auto"/>
              </w:rPr>
            </w:pPr>
            <w:r>
              <w:rPr>
                <w:rFonts w:ascii="Arial" w:cs="Arial" w:eastAsia="Arial" w:hAnsi="Arial"/>
                <w:sz w:val="18"/>
                <w:szCs w:val="18"/>
                <w:color w:val="auto"/>
              </w:rPr>
              <w:t>3.0</w:t>
            </w:r>
          </w:p>
        </w:tc>
        <w:tc>
          <w:tcPr>
            <w:tcW w:w="1240" w:type="dxa"/>
            <w:vAlign w:val="bottom"/>
          </w:tcPr>
          <w:p>
            <w:pPr>
              <w:jc w:val="right"/>
              <w:ind w:right="510"/>
              <w:spacing w:after="0"/>
              <w:rPr>
                <w:sz w:val="20"/>
                <w:szCs w:val="20"/>
                <w:color w:val="auto"/>
              </w:rPr>
            </w:pPr>
            <w:r>
              <w:rPr>
                <w:rFonts w:ascii="Arial" w:cs="Arial" w:eastAsia="Arial" w:hAnsi="Arial"/>
                <w:sz w:val="18"/>
                <w:szCs w:val="18"/>
                <w:color w:val="auto"/>
              </w:rPr>
              <w:t>25.0%</w:t>
            </w:r>
          </w:p>
        </w:tc>
      </w:tr>
      <w:tr>
        <w:trPr>
          <w:trHeight w:val="275"/>
        </w:trPr>
        <w:tc>
          <w:tcPr>
            <w:tcW w:w="40" w:type="dxa"/>
            <w:vAlign w:val="bottom"/>
            <w:shd w:val="clear" w:color="auto" w:fill="CCEEFF"/>
          </w:tcPr>
          <w:p>
            <w:pPr>
              <w:spacing w:after="0"/>
              <w:rPr>
                <w:sz w:val="23"/>
                <w:szCs w:val="23"/>
                <w:color w:val="auto"/>
              </w:rPr>
            </w:pPr>
          </w:p>
        </w:tc>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3.6%</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3.3%</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594"/>
              <w:spacing w:after="0"/>
              <w:rPr>
                <w:sz w:val="20"/>
                <w:szCs w:val="20"/>
                <w:color w:val="auto"/>
              </w:rPr>
            </w:pPr>
            <w:r>
              <w:rPr>
                <w:rFonts w:ascii="Arial" w:cs="Arial" w:eastAsia="Arial" w:hAnsi="Arial"/>
                <w:sz w:val="14"/>
                <w:szCs w:val="14"/>
                <w:i w:val="1"/>
                <w:iCs w:val="1"/>
                <w:color w:val="auto"/>
              </w:rPr>
              <w:t>30 bps</w:t>
            </w:r>
          </w:p>
        </w:tc>
        <w:tc>
          <w:tcPr>
            <w:tcW w:w="1240" w:type="dxa"/>
            <w:vAlign w:val="bottom"/>
            <w:shd w:val="clear" w:color="auto" w:fill="CCEEFF"/>
          </w:tcPr>
          <w:p>
            <w:pPr>
              <w:spacing w:after="0"/>
              <w:rPr>
                <w:sz w:val="23"/>
                <w:szCs w:val="23"/>
                <w:color w:val="auto"/>
              </w:rPr>
            </w:pPr>
          </w:p>
        </w:tc>
      </w:tr>
    </w:tbl>
    <w:p>
      <w:pPr>
        <w:spacing w:after="0" w:line="13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Revenues from our Other segment increased by $53.6 million, or 14.6%, during 2015, as compared to 2014. The increase was primarily driven by higher passenger services and cabin cleaning revenue in our U.S. operations.</w:t>
      </w:r>
    </w:p>
    <w:p>
      <w:pPr>
        <w:spacing w:after="0" w:line="9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Operating profit increased by $3.0 million or 25.0%, during 2015, as compared to 2014. Operating profit margin increased by 30 bps to 3.6% in 2015 from 3.3% in 2014. The increase in operating profit margin was primarily attributable to lower amortization expense of intangible assets. This increase was partially offset by higher operating expenses from net new business that typically results in lower gross margins for a period of time until the labor management and facilities operations normalize and by the unfavorable impact of an insurance reserve adjustment. Also negatively impacting operating profit margin was higher compensation expense due to the reorganization of the executive structure and the settlement of a client dispute.</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24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Corporate</w:t>
            </w: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1"/>
        </w:trPr>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29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Years Ended October 31,</w:t>
            </w:r>
          </w:p>
        </w:tc>
        <w:tc>
          <w:tcPr>
            <w:tcW w:w="6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24"/>
        </w:trPr>
        <w:tc>
          <w:tcPr>
            <w:tcW w:w="42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b w:val="1"/>
                <w:bCs w:val="1"/>
                <w:color w:val="auto"/>
              </w:rPr>
              <w:t>Increase</w:t>
            </w:r>
          </w:p>
        </w:tc>
        <w:tc>
          <w:tcPr>
            <w:tcW w:w="124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4"/>
        </w:trPr>
        <w:tc>
          <w:tcPr>
            <w:tcW w:w="4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162.3</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115.3</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47.0</w:t>
            </w:r>
          </w:p>
        </w:tc>
        <w:tc>
          <w:tcPr>
            <w:tcW w:w="12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40.8%</w:t>
            </w:r>
          </w:p>
        </w:tc>
      </w:tr>
    </w:tbl>
    <w:p>
      <w:pPr>
        <w:spacing w:after="0" w:line="13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Corporate expenses increased by $47.0 million, or 40.8%, during 2015, as compared to 2014. The increase in corporate expenses was primarily related to:</w:t>
      </w:r>
    </w:p>
    <w:p>
      <w:pPr>
        <w:spacing w:after="0" w:line="91" w:lineRule="exact"/>
        <w:rPr>
          <w:sz w:val="20"/>
          <w:szCs w:val="20"/>
          <w:color w:val="auto"/>
        </w:rPr>
      </w:pPr>
    </w:p>
    <w:p>
      <w:pPr>
        <w:ind w:left="660" w:right="20" w:hanging="328"/>
        <w:spacing w:after="0" w:line="29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$25.6 million year-over-year increase in self-insurance expense related to prior year claims as a result of an actuarial evaluation completed in 2015;</w:t>
      </w:r>
    </w:p>
    <w:p>
      <w:pPr>
        <w:spacing w:after="0" w:line="90" w:lineRule="exact"/>
        <w:rPr>
          <w:rFonts w:ascii="Arial" w:cs="Arial" w:eastAsia="Arial" w:hAnsi="Arial"/>
          <w:sz w:val="18"/>
          <w:szCs w:val="18"/>
          <w:color w:val="auto"/>
        </w:rPr>
      </w:pPr>
    </w:p>
    <w:p>
      <w:pPr>
        <w:ind w:left="660" w:hanging="328"/>
        <w:spacing w:after="0" w:line="30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an $11.7 million increase in restructuring and related costs, net of the reversal of share-based compensation expense, in connection with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$4.9 million increase in legal fees and settlement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$4.6 million increase in severance expense related to the departures of our former CEO and CFO;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$3.0 million year-over-year increase in medical and dental expense as a result of actuarial evaluations completed in 2015; and</w:t>
      </w:r>
    </w:p>
    <w:p>
      <w:pPr>
        <w:spacing w:after="0" w:line="171"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$1.7 million higher compensation and related expenses, primarily as a result of adding certain IT positions since the prior year and the hiring of additional personnel to support growth initiatives throughout the organization, partially offset by a bonus reversal related to certain incentive plans.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 a $3.4 million decrease in costs associated with our re-branding initiative.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697"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Our primary sources of liquidity are operating cash flows and borrowing capacity under our line of credit. We assess our liquidity in terms of our ability to generate cash to fund our short- and long-term cash requirements. As such, we project our anticipated cash requirements as well as cash flows generated from operating activities to meet those needs.</w:t>
      </w:r>
    </w:p>
    <w:p>
      <w:pPr>
        <w:spacing w:after="0" w:line="10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Other than normal working capital requirements, we anticipate that our short- and long-term cash requirements will include costs associated with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share repurchases, dividend payments, and legal settlements. In addition, our management continues to evaluate strategic opportunities to acquire new businesses, which may impact our future cash requirements.</w:t>
      </w:r>
    </w:p>
    <w:p>
      <w:pPr>
        <w:spacing w:after="0" w:line="10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our operating cash flows and borrowing capacity under our line of credit are sufficient to fund our cash requirements for the next twelve months. In the event that our plans change or our cash requirements are greater than we anticipate, we may access the capital markets to finance future cash requirements. However, there can be no assurance that such financing will be available to us when we need it or, if available, that the terms will be satisfactory to us and not dilutive to existing shareholders.</w:t>
      </w:r>
    </w:p>
    <w:p>
      <w:pPr>
        <w:spacing w:after="0" w:line="1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On a long-term basis, we will continue to rely on our line of credit for any necessary long-term funding not provided by operating cash flows. In addition, we anticipate that future cash generated from operations will be augmented by working capital improvements driven by our </w:t>
      </w:r>
      <w:r>
        <w:rPr>
          <w:rFonts w:ascii="Arial" w:cs="Arial" w:eastAsia="Arial" w:hAnsi="Arial"/>
          <w:sz w:val="18"/>
          <w:szCs w:val="18"/>
          <w:b w:val="1"/>
          <w:bCs w:val="1"/>
          <w:color w:val="FF9900"/>
        </w:rPr>
        <w:t xml:space="preserve">2020 </w:t>
      </w:r>
      <w:r>
        <w:rPr>
          <w:rFonts w:ascii="Arial" w:cs="Arial" w:eastAsia="Arial" w:hAnsi="Arial"/>
          <w:sz w:val="18"/>
          <w:szCs w:val="18"/>
          <w:b w:val="1"/>
          <w:bCs w:val="1"/>
          <w:color w:val="0070C0"/>
        </w:rPr>
        <w:t>Vision</w:t>
      </w:r>
      <w:r>
        <w:rPr>
          <w:rFonts w:ascii="Arial" w:cs="Arial" w:eastAsia="Arial" w:hAnsi="Arial"/>
          <w:sz w:val="18"/>
          <w:szCs w:val="18"/>
          <w:color w:val="000000"/>
        </w:rPr>
        <w:t>, such as the management of costs through consolidated procurement.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Reinvestment of Foreign Earnings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plan to permanently reinvest our foreign earnings to fund future non-U.S. growth and expansion. As a result, we have not provided for federal and state income taxes or foreign withholding taxes that may result if such earnings of our foreign subsidiaries are remitted to the United States. We believe that our cash on hand in the United States, along with available lines of credit and future domestic cash flows, are sufficient to satisfy our domestic liquidity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At October 31, 2016, the total outstanding amounts under our $800.0 million line of credit in the form of cash borrowings and standby letters of credit were $268.3 million and $130.9 million, respectively. At October 31, 2016, we had up to $400.8 million borrowing capacity under our line of credit.</w:t>
      </w:r>
    </w:p>
    <w:p>
      <w:pPr>
        <w:spacing w:after="0" w:line="10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ability to draw down available capacity under our line of credit is subject to, and limited by, compliance with certain financial covenants, including covenants relating to a fixed charge coverage ratio, a leverage ratio, and consolidated net worth. Other covenants under our line of credit include limitations on liens, dispositions, fundamental changes, investments, and certain transactions and payments. As of October 31, 2016, we were in compliance with these covenants and expect to be in compliance in the foreseeable future.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Proceeds from Federal Energy Savings Performance Contracts</w:t>
      </w:r>
    </w:p>
    <w:p>
      <w:pPr>
        <w:spacing w:after="0" w:line="22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As part of our technical services business, we enter into ESPCs with the federal government pursuant to which we agree to develop, design, engineer, and construct a project and guarantee that the project will satisfy agreed-upon performance standards. Proceeds from ESPC projects are generally received in advance of construction through agreements to sell the ESPC receivables to unaffiliated third parties. We use the advances from the third parties under these agreements to finance the projects, which are recorded as cash flows from financing activities. The use of the cash received under these arrangements to pay project costs is classified as operating 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Captive Insurance Company</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In the first quarter of 2015, we formed IFM Assurance Company (“IFM”), a wholly-owned captive insurance company. IFM is part of our enterprise-wide, multi-year insurance strategy that is intended to better position our risk and safety programs and provide us with increased flexibility in the end-to-end management of our insurance programs. IFM began providing coverage to us as of January 1, 2015. In 2016, cash tax savings related to coverage provided by IFM was approximately $10 million. We project cash tax savings for 2017 also to be approximately $10 million.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52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Effect of Inflation</w:t>
      </w:r>
    </w:p>
    <w:p>
      <w:pPr>
        <w:spacing w:after="0" w:line="17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The rates of inflation experienced in recent years have not had a material impact on our financial statements. We attempt to recover increased costs by increasing prices for our services, to the extent permitted by contracts and competition.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Environment and Environmental Compliance</w:t>
      </w:r>
    </w:p>
    <w:p>
      <w:pPr>
        <w:spacing w:after="0" w:line="17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Our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 In addition, from time to time we are involved in environmental matters at certain of our locations or in connection with our operations. Historically, the cost of complying with environmental laws or resolving environmental issues relating to locations or operations in the United States or abroad has not had a material adverse effect on our financial position, results of operations, or cash flows. We do not believe that the resolution of matters known at this time will be material.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7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On September 2, 2015, our Board of Directors authorized a program to repurchase up to $ 200.0 million shares of our common stock. 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share price, and share availability. Repurchased shares are retired and returned to an authorized but unissued status. The repurchase program may be suspended or discontinued at any time without prior notice. At October 31, 2016, authorization for $141.9 million of repurchases remained under our share repurchase program.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 Activity</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gridSpan w:val="6"/>
          </w:tcPr>
          <w:p>
            <w:pPr>
              <w:jc w:val="right"/>
              <w:ind w:right="270"/>
              <w:spacing w:after="0"/>
              <w:rPr>
                <w:sz w:val="20"/>
                <w:szCs w:val="20"/>
                <w:color w:val="auto"/>
              </w:rPr>
            </w:pPr>
            <w:r>
              <w:rPr>
                <w:rFonts w:ascii="Arial" w:cs="Arial" w:eastAsia="Arial" w:hAnsi="Arial"/>
                <w:sz w:val="18"/>
                <w:szCs w:val="18"/>
                <w:b w:val="1"/>
                <w:bCs w:val="1"/>
                <w:color w:val="auto"/>
              </w:rPr>
              <w:t>Years Ended October 31,</w:t>
            </w:r>
          </w:p>
        </w:tc>
        <w:tc>
          <w:tcPr>
            <w:tcW w:w="1420" w:type="dxa"/>
            <w:vAlign w:val="bottom"/>
            <w:tcBorders>
              <w:bottom w:val="single" w:sz="8" w:color="auto"/>
            </w:tcBorders>
          </w:tcPr>
          <w:p>
            <w:pPr>
              <w:spacing w:after="0"/>
              <w:rPr>
                <w:sz w:val="22"/>
                <w:szCs w:val="22"/>
                <w:color w:val="auto"/>
              </w:rPr>
            </w:pPr>
          </w:p>
        </w:tc>
      </w:tr>
      <w:tr>
        <w:trPr>
          <w:trHeight w:val="224"/>
        </w:trPr>
        <w:tc>
          <w:tcPr>
            <w:tcW w:w="57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420" w:type="dxa"/>
            <w:vAlign w:val="bottom"/>
          </w:tcPr>
          <w:p>
            <w:pPr>
              <w:spacing w:after="0"/>
              <w:rPr>
                <w:sz w:val="19"/>
                <w:szCs w:val="19"/>
                <w:color w:val="auto"/>
              </w:rPr>
            </w:pPr>
          </w:p>
        </w:tc>
        <w:tc>
          <w:tcPr>
            <w:tcW w:w="13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40" w:type="dxa"/>
            <w:vAlign w:val="bottom"/>
            <w:tcBorders>
              <w:top w:val="single" w:sz="8" w:color="auto"/>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50"/>
        </w:trPr>
        <w:tc>
          <w:tcPr>
            <w:tcW w:w="5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number of shares repurchased</w:t>
            </w: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65"/>
        </w:trPr>
        <w:tc>
          <w:tcPr>
            <w:tcW w:w="5700" w:type="dxa"/>
            <w:vAlign w:val="bottom"/>
            <w:gridSpan w:val="3"/>
          </w:tcPr>
          <w:p>
            <w:pPr>
              <w:ind w:left="40"/>
              <w:spacing w:after="0"/>
              <w:rPr>
                <w:sz w:val="20"/>
                <w:szCs w:val="20"/>
                <w:color w:val="auto"/>
              </w:rPr>
            </w:pPr>
            <w:r>
              <w:rPr>
                <w:rFonts w:ascii="Arial" w:cs="Arial" w:eastAsia="Arial" w:hAnsi="Arial"/>
                <w:sz w:val="18"/>
                <w:szCs w:val="18"/>
                <w:color w:val="auto"/>
              </w:rPr>
              <w:t>Average price paid per share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33.48</w:t>
            </w:r>
          </w:p>
        </w:tc>
        <w:tc>
          <w:tcPr>
            <w:tcW w:w="6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30.72</w:t>
            </w:r>
          </w:p>
        </w:tc>
        <w:tc>
          <w:tcPr>
            <w:tcW w:w="100" w:type="dxa"/>
            <w:vAlign w:val="bottom"/>
          </w:tcPr>
          <w:p>
            <w:pPr>
              <w:spacing w:after="0"/>
              <w:rPr>
                <w:sz w:val="23"/>
                <w:szCs w:val="23"/>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26.20</w:t>
            </w:r>
          </w:p>
        </w:tc>
      </w:tr>
      <w:tr>
        <w:trPr>
          <w:trHeight w:val="275"/>
        </w:trPr>
        <w:tc>
          <w:tcPr>
            <w:tcW w:w="5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cash paid for share repurchases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In addition to revenues and operating profit, our management views operating cash flows as a good indicator of financial performance, because strong operating cash flows provide opportunities for growth both organically and through acquisitions. Net cash provided by operating activities of continuing operations was $110.5 million during 2016. Operating cash flows primarily depend on: revenue levels; the quality and timing of collections of accounts receivable (including receivables from U.S. government contracts, which generally have longer collection periods); the timing of payments to suppliers and other vendors; the timing and amount of income tax payments; and the timing and amount of payments on insurance claims.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6"/>
                <w:szCs w:val="16"/>
                <w:b w:val="1"/>
                <w:bCs w:val="1"/>
                <w:color w:val="auto"/>
              </w:rPr>
              <w:t>Years Ended October 31,</w:t>
            </w:r>
          </w:p>
        </w:tc>
        <w:tc>
          <w:tcPr>
            <w:tcW w:w="1040" w:type="dxa"/>
            <w:vAlign w:val="bottom"/>
            <w:tcBorders>
              <w:bottom w:val="single" w:sz="8" w:color="auto"/>
            </w:tcBorders>
          </w:tcPr>
          <w:p>
            <w:pPr>
              <w:spacing w:after="0"/>
              <w:rPr>
                <w:sz w:val="20"/>
                <w:szCs w:val="20"/>
                <w:color w:val="auto"/>
              </w:rPr>
            </w:pPr>
          </w:p>
        </w:tc>
      </w:tr>
      <w:tr>
        <w:trPr>
          <w:trHeight w:val="227"/>
        </w:trPr>
        <w:tc>
          <w:tcPr>
            <w:tcW w:w="7080" w:type="dxa"/>
            <w:vAlign w:val="bottom"/>
            <w:gridSpan w:val="3"/>
          </w:tcPr>
          <w:p>
            <w:pPr>
              <w:ind w:left="4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20" w:type="dxa"/>
            <w:vAlign w:val="bottom"/>
          </w:tcPr>
          <w:p>
            <w:pPr>
              <w:spacing w:after="0"/>
              <w:rPr>
                <w:sz w:val="19"/>
                <w:szCs w:val="19"/>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0"/>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 of continuing operations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110.5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145.5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115.6</w:t>
            </w:r>
          </w:p>
        </w:tc>
      </w:tr>
      <w:tr>
        <w:trPr>
          <w:trHeight w:val="264"/>
        </w:trPr>
        <w:tc>
          <w:tcPr>
            <w:tcW w:w="708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Net cash (used in) provided by operating activities of discontinued operations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w:t>
            </w:r>
          </w:p>
        </w:tc>
      </w:tr>
      <w:tr>
        <w:trPr>
          <w:trHeight w:val="257"/>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146.4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121.2</w:t>
            </w:r>
          </w:p>
        </w:tc>
      </w:tr>
      <w:tr>
        <w:trPr>
          <w:trHeight w:val="297"/>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 of continuing operations</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w:t>
            </w:r>
          </w:p>
        </w:tc>
      </w:tr>
      <w:tr>
        <w:trPr>
          <w:trHeight w:val="264"/>
        </w:trPr>
        <w:tc>
          <w:tcPr>
            <w:tcW w:w="708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Net cash (used in) provided by investing activities of discontinued operations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7"/>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w:t>
            </w:r>
          </w:p>
        </w:tc>
      </w:tr>
      <w:tr>
        <w:trPr>
          <w:trHeight w:val="324"/>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522" w:right="239" w:bottom="1440" w:gutter="0" w:footer="0" w:header="0"/>
        </w:sectPr>
      </w:pPr>
    </w:p>
    <w:bookmarkStart w:id="40" w:name="page41"/>
    <w:bookmarkEnd w:id="40"/>
    <w:p>
      <w:pPr>
        <w:ind w:left="660"/>
        <w:spacing w:after="0"/>
        <w:rPr>
          <w:sz w:val="20"/>
          <w:szCs w:val="20"/>
          <w:color w:val="auto"/>
        </w:rPr>
      </w:pPr>
      <w:r>
        <w:rPr>
          <w:rFonts w:ascii="Arial" w:cs="Arial" w:eastAsia="Arial" w:hAnsi="Arial"/>
          <w:sz w:val="18"/>
          <w:szCs w:val="18"/>
          <w:i w:val="1"/>
          <w:iCs w:val="1"/>
          <w:color w:val="auto"/>
        </w:rPr>
        <w:t>Operating Activities of Continuing Operations</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Net cash provided by operating activities of continuing operations decreased by $35.0 million during 2016, as compared to 2015. The decrease was primarily related to the timing of ESPC and trade receivable collections, as well as the timing of vendor payments. This decrease was partially offset by the timing of tax payments.</w:t>
      </w:r>
    </w:p>
    <w:p>
      <w:pPr>
        <w:spacing w:after="0" w:line="10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Net cash provided by operating activities of continuing operations increased by $29.9 million during 2015, as compared to 2014. This increase was primarily related to the timing of payments made for vendor invoices.</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 of Discontinued Operations</w:t>
      </w:r>
    </w:p>
    <w:p>
      <w:pPr>
        <w:spacing w:after="0" w:line="16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Net cash used in operating activities of discontinued operations increased by $27.9 million during 2016, as compared to 2015. This increase was primarily attributable to $20.0 million in taxes paid in connection with the sale of our Security business.</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 of Continuing Operations</w:t>
      </w:r>
    </w:p>
    <w:p>
      <w:pPr>
        <w:spacing w:after="0" w:line="16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Net cash used in investing activities of continuing operations increased by $91.2 million during 2016, as compared to 2015. The increase was primarily related to a $76.8 million year-over-year increase in cash paid, net of cash acquired, for acquisitions.</w:t>
      </w:r>
    </w:p>
    <w:p>
      <w:pPr>
        <w:spacing w:after="0" w:line="9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Net cash used in investing activities of continuing operations decreased by $41.5 million during 2015, as compared to 2014. The decrease was primarily related to a reduction in cash paid both for acquisitions and for property, plant and equipment additions.</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 of Discontinued Operations</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used in investing activities of discontinued operations was $3.1 million in 2016, a deterioration of $134.0 million, as compared to net cash provided by investing activities of discontinued operations of $ 130.9 million during 2015. We sold our Security business in 2015 and recognized $131.0 million of cash proceeds from the sale. The cash used in 2016 was associated with the payment of $3.1 million in settlement of the final working capital adjustment from the sale.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provided by investing activities of discontinued operations increased by $130.9 million during 2015, as compared to 2014.</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due to $131.0 million of cash proceeds from the sale of our Security business.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16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change in net cash provided by financing activities was $269.5 million in 2016 when compared to 2015. During 2016, our net cash provided by financing activities of $52.6 million was primarily a result of borrowings from our line of credit to fund two acquisitions made in 2016. During 2015, our net cash used in financing activities of $216.9 million was a result of the repayment of borrowings from our line of credit primarily resulting from the cash proceeds from the sale of our Security business. Also contributing to the change in net cash provided by financing activities was a $17.4 million increase in proceeds from ESPC projects, partially offset by higher common stock repurchases of $15.2 million.</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used in financing activities increased by $ 182.3 million during 2015, as compared to 2014. The increase was primarily related to a $166.7 million net repayment of borrowings as a result of the use of the cash proceeds from the sale of our Security business to pay down a portion of our line of credit. In addition, net cash used in financing activities increased as a result of an $11.4 million increase in common stock repurchases.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On December 13, 2016, we announced a quarterly cash dividend of $0.170 per share on our common stock, payable on February 6, 2017. We declared a quarterly cash dividend on our common stock every quarter during 2016, 2015, and 2014. We paid total annual dividends of $36.9 million, $36.0 million, and $34.6 million during 2016, 2015, and 2014, respectively.</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52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Future Contractual Obligations, Other Long-Term Liabilities, and Commercial Commitments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20" w:type="dxa"/>
            <w:vAlign w:val="bottom"/>
            <w:gridSpan w:val="4"/>
          </w:tcPr>
          <w:p>
            <w:pPr>
              <w:ind w:left="4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60" w:type="dxa"/>
            <w:vAlign w:val="bottom"/>
            <w:gridSpan w:val="8"/>
          </w:tcPr>
          <w:p>
            <w:pPr>
              <w:ind w:left="700"/>
              <w:spacing w:after="0"/>
              <w:rPr>
                <w:sz w:val="20"/>
                <w:szCs w:val="20"/>
                <w:color w:val="auto"/>
              </w:rPr>
            </w:pPr>
            <w:r>
              <w:rPr>
                <w:rFonts w:ascii="Arial" w:cs="Arial" w:eastAsia="Arial" w:hAnsi="Arial"/>
                <w:sz w:val="16"/>
                <w:szCs w:val="16"/>
                <w:b w:val="1"/>
                <w:bCs w:val="1"/>
                <w:color w:val="auto"/>
              </w:rPr>
              <w:t>Payments Due By Period</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
        </w:trPr>
        <w:tc>
          <w:tcPr>
            <w:tcW w:w="4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0"/>
        </w:trPr>
        <w:tc>
          <w:tcPr>
            <w:tcW w:w="5120" w:type="dxa"/>
            <w:vAlign w:val="bottom"/>
            <w:gridSpan w:val="4"/>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26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2018-2019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b w:val="1"/>
                <w:bCs w:val="1"/>
                <w:color w:val="auto"/>
              </w:rPr>
              <w:t>2020-2021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Thereafter</w:t>
            </w:r>
          </w:p>
        </w:tc>
      </w:tr>
      <w:tr>
        <w:trPr>
          <w:trHeight w:val="34"/>
        </w:trPr>
        <w:tc>
          <w:tcPr>
            <w:tcW w:w="4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512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Operating leases and other similar commitments</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289.8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78.2</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76.5</w:t>
            </w:r>
          </w:p>
        </w:tc>
      </w:tr>
      <w:tr>
        <w:trPr>
          <w:trHeight w:val="270"/>
        </w:trPr>
        <w:tc>
          <w:tcPr>
            <w:tcW w:w="5120" w:type="dxa"/>
            <w:vAlign w:val="bottom"/>
            <w:gridSpan w:val="4"/>
          </w:tcPr>
          <w:p>
            <w:pPr>
              <w:ind w:left="40"/>
              <w:spacing w:after="0"/>
              <w:rPr>
                <w:sz w:val="20"/>
                <w:szCs w:val="20"/>
                <w:color w:val="auto"/>
              </w:rPr>
            </w:pPr>
            <w:r>
              <w:rPr>
                <w:rFonts w:ascii="Arial" w:cs="Arial" w:eastAsia="Arial" w:hAnsi="Arial"/>
                <w:sz w:val="16"/>
                <w:szCs w:val="16"/>
                <w:color w:val="auto"/>
              </w:rPr>
              <w:t>Capital leases</w:t>
            </w:r>
            <w:r>
              <w:rPr>
                <w:rFonts w:ascii="Arial" w:cs="Arial" w:eastAsia="Arial" w:hAnsi="Arial"/>
                <w:sz w:val="21"/>
                <w:szCs w:val="21"/>
                <w:color w:val="auto"/>
                <w:vertAlign w:val="superscript"/>
              </w:rPr>
              <w:t>(1)</w:t>
            </w: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12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Information technology service agreements</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2"/>
        </w:trPr>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295.2</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80.3</w:t>
            </w:r>
          </w:p>
        </w:tc>
        <w:tc>
          <w:tcPr>
            <w:tcW w:w="3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93.0</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45.5</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76.5</w:t>
            </w:r>
          </w:p>
        </w:tc>
      </w:tr>
      <w:tr>
        <w:trPr>
          <w:trHeight w:val="305"/>
        </w:trPr>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2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bl>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 w:type="dxa"/>
            <w:vAlign w:val="bottom"/>
            <w:tcBorders>
              <w:bottom w:val="single" w:sz="8" w:color="CCEEFF"/>
            </w:tcBorders>
          </w:tcPr>
          <w:p>
            <w:pPr>
              <w:spacing w:after="0"/>
              <w:rPr>
                <w:sz w:val="20"/>
                <w:szCs w:val="20"/>
                <w:color w:val="auto"/>
              </w:rPr>
            </w:pPr>
          </w:p>
        </w:tc>
        <w:tc>
          <w:tcPr>
            <w:tcW w:w="2100" w:type="dxa"/>
            <w:vAlign w:val="bottom"/>
            <w:tcBorders>
              <w:bottom w:val="single" w:sz="8" w:color="CCEEFF"/>
            </w:tcBorders>
          </w:tcPr>
          <w:p>
            <w:pPr>
              <w:spacing w:after="0"/>
              <w:rPr>
                <w:sz w:val="20"/>
                <w:szCs w:val="20"/>
                <w:color w:val="auto"/>
              </w:rPr>
            </w:pPr>
          </w:p>
        </w:tc>
        <w:tc>
          <w:tcPr>
            <w:tcW w:w="29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8"/>
          </w:tcPr>
          <w:p>
            <w:pPr>
              <w:ind w:left="700"/>
              <w:spacing w:after="0"/>
              <w:rPr>
                <w:sz w:val="20"/>
                <w:szCs w:val="20"/>
                <w:color w:val="auto"/>
              </w:rPr>
            </w:pPr>
            <w:r>
              <w:rPr>
                <w:rFonts w:ascii="Arial" w:cs="Arial" w:eastAsia="Arial" w:hAnsi="Arial"/>
                <w:sz w:val="16"/>
                <w:szCs w:val="16"/>
                <w:b w:val="1"/>
                <w:bCs w:val="1"/>
                <w:color w:val="auto"/>
              </w:rPr>
              <w:t>Payments Due By Period</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47"/>
        </w:trPr>
        <w:tc>
          <w:tcPr>
            <w:tcW w:w="512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Other Long-Term Liabilities</w:t>
            </w: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Total</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2018-2019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2020-2021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Thereafter</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auto"/>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10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9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1000" w:type="dxa"/>
            <w:vAlign w:val="bottom"/>
            <w:tcBorders>
              <w:top w:val="single" w:sz="8" w:color="CCEEFF"/>
            </w:tcBorders>
            <w:shd w:val="clear" w:color="auto" w:fill="000000"/>
          </w:tcPr>
          <w:p>
            <w:pPr>
              <w:spacing w:after="0" w:line="20" w:lineRule="exact"/>
              <w:rPr>
                <w:sz w:val="1"/>
                <w:szCs w:val="1"/>
                <w:color w:val="auto"/>
              </w:rPr>
            </w:pPr>
          </w:p>
        </w:tc>
      </w:tr>
      <w:tr>
        <w:trPr>
          <w:trHeight w:val="250"/>
        </w:trPr>
        <w:tc>
          <w:tcPr>
            <w:tcW w:w="5120" w:type="dxa"/>
            <w:vAlign w:val="bottom"/>
            <w:gridSpan w:val="3"/>
          </w:tcPr>
          <w:p>
            <w:pPr>
              <w:ind w:left="40"/>
              <w:spacing w:after="0"/>
              <w:rPr>
                <w:sz w:val="20"/>
                <w:szCs w:val="20"/>
                <w:color w:val="auto"/>
              </w:rPr>
            </w:pPr>
            <w:r>
              <w:rPr>
                <w:rFonts w:ascii="Arial" w:cs="Arial" w:eastAsia="Arial" w:hAnsi="Arial"/>
                <w:sz w:val="16"/>
                <w:szCs w:val="16"/>
                <w:color w:val="auto"/>
              </w:rPr>
              <w:t>Benefit obligations</w:t>
            </w:r>
            <w:r>
              <w:rPr>
                <w:rFonts w:ascii="Arial" w:cs="Arial" w:eastAsia="Arial" w:hAnsi="Arial"/>
                <w:sz w:val="21"/>
                <w:szCs w:val="21"/>
                <w:color w:val="auto"/>
                <w:vertAlign w:val="superscript"/>
              </w:rPr>
              <w:t>(3)</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300" w:type="dxa"/>
            <w:vAlign w:val="bottom"/>
          </w:tcPr>
          <w:p>
            <w:pPr>
              <w:ind w:left="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16.1</w:t>
            </w:r>
          </w:p>
        </w:tc>
      </w:tr>
      <w:tr>
        <w:trPr>
          <w:trHeight w:val="270"/>
        </w:trPr>
        <w:tc>
          <w:tcPr>
            <w:tcW w:w="51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Contingent consideration liability</w:t>
            </w:r>
            <w:r>
              <w:rPr>
                <w:rFonts w:ascii="Arial" w:cs="Arial" w:eastAsia="Arial" w:hAnsi="Arial"/>
                <w:sz w:val="21"/>
                <w:szCs w:val="21"/>
                <w:color w:val="auto"/>
                <w:vertAlign w:val="superscript"/>
              </w:rPr>
              <w:t>(4)</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2"/>
        </w:trPr>
        <w:tc>
          <w:tcPr>
            <w:tcW w:w="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w:t>
            </w:r>
          </w:p>
        </w:tc>
        <w:tc>
          <w:tcPr>
            <w:tcW w:w="3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16.1</w:t>
            </w:r>
          </w:p>
        </w:tc>
      </w:tr>
      <w:tr>
        <w:trPr>
          <w:trHeight w:val="305"/>
        </w:trPr>
        <w:tc>
          <w:tcPr>
            <w:tcW w:w="4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29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bl>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 w:type="dxa"/>
            <w:vAlign w:val="bottom"/>
            <w:tcBorders>
              <w:bottom w:val="single" w:sz="8" w:color="CCEEFF"/>
            </w:tcBorders>
          </w:tcPr>
          <w:p>
            <w:pPr>
              <w:spacing w:after="0"/>
              <w:rPr>
                <w:sz w:val="20"/>
                <w:szCs w:val="20"/>
                <w:color w:val="auto"/>
              </w:rPr>
            </w:pPr>
          </w:p>
        </w:tc>
        <w:tc>
          <w:tcPr>
            <w:tcW w:w="2040" w:type="dxa"/>
            <w:vAlign w:val="bottom"/>
            <w:tcBorders>
              <w:bottom w:val="single" w:sz="8" w:color="CCEEFF"/>
            </w:tcBorders>
          </w:tcPr>
          <w:p>
            <w:pPr>
              <w:spacing w:after="0"/>
              <w:rPr>
                <w:sz w:val="20"/>
                <w:szCs w:val="20"/>
                <w:color w:val="auto"/>
              </w:rPr>
            </w:pPr>
          </w:p>
        </w:tc>
        <w:tc>
          <w:tcPr>
            <w:tcW w:w="30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9"/>
          </w:tcPr>
          <w:p>
            <w:pPr>
              <w:ind w:left="120"/>
              <w:spacing w:after="0"/>
              <w:rPr>
                <w:sz w:val="20"/>
                <w:szCs w:val="20"/>
                <w:color w:val="auto"/>
              </w:rPr>
            </w:pPr>
            <w:r>
              <w:rPr>
                <w:rFonts w:ascii="Arial" w:cs="Arial" w:eastAsia="Arial" w:hAnsi="Arial"/>
                <w:sz w:val="16"/>
                <w:szCs w:val="16"/>
                <w:b w:val="1"/>
                <w:bCs w:val="1"/>
                <w:color w:val="auto"/>
              </w:rPr>
              <w:t>Amounts of Commitment Expiration Per Period</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47"/>
        </w:trPr>
        <w:tc>
          <w:tcPr>
            <w:tcW w:w="512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Commercial Commitments</w:t>
            </w: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Total</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2018-2019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2020-2021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Thereafter</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10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9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1000" w:type="dxa"/>
            <w:vAlign w:val="bottom"/>
            <w:tcBorders>
              <w:top w:val="single" w:sz="8" w:color="CCEEFF"/>
            </w:tcBorders>
            <w:shd w:val="clear" w:color="auto" w:fill="000000"/>
          </w:tcPr>
          <w:p>
            <w:pPr>
              <w:spacing w:after="0" w:line="20" w:lineRule="exact"/>
              <w:rPr>
                <w:sz w:val="1"/>
                <w:szCs w:val="1"/>
                <w:color w:val="auto"/>
              </w:rPr>
            </w:pPr>
          </w:p>
        </w:tc>
      </w:tr>
      <w:tr>
        <w:trPr>
          <w:trHeight w:val="250"/>
        </w:trPr>
        <w:tc>
          <w:tcPr>
            <w:tcW w:w="5120" w:type="dxa"/>
            <w:vAlign w:val="bottom"/>
            <w:gridSpan w:val="3"/>
          </w:tcPr>
          <w:p>
            <w:pPr>
              <w:ind w:left="40"/>
              <w:spacing w:after="0"/>
              <w:rPr>
                <w:sz w:val="20"/>
                <w:szCs w:val="20"/>
                <w:color w:val="auto"/>
              </w:rPr>
            </w:pPr>
            <w:r>
              <w:rPr>
                <w:rFonts w:ascii="Arial" w:cs="Arial" w:eastAsia="Arial" w:hAnsi="Arial"/>
                <w:sz w:val="16"/>
                <w:szCs w:val="16"/>
                <w:color w:val="auto"/>
              </w:rPr>
              <w:t>Borrowings under line of credit</w:t>
            </w:r>
            <w:r>
              <w:rPr>
                <w:rFonts w:ascii="Arial" w:cs="Arial" w:eastAsia="Arial" w:hAnsi="Arial"/>
                <w:sz w:val="21"/>
                <w:szCs w:val="21"/>
                <w:color w:val="auto"/>
                <w:vertAlign w:val="superscript"/>
              </w:rPr>
              <w:t>(5)</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268.3</w:t>
            </w:r>
          </w:p>
        </w:tc>
        <w:tc>
          <w:tcPr>
            <w:tcW w:w="10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268.3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1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Fixed interest related to interest rate swaps</w:t>
            </w:r>
            <w:r>
              <w:rPr>
                <w:rFonts w:ascii="Arial" w:cs="Arial" w:eastAsia="Arial" w:hAnsi="Arial"/>
                <w:sz w:val="21"/>
                <w:szCs w:val="21"/>
                <w:color w:val="auto"/>
                <w:vertAlign w:val="superscript"/>
              </w:rPr>
              <w:t>(6)</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120" w:type="dxa"/>
            <w:vAlign w:val="bottom"/>
            <w:gridSpan w:val="3"/>
          </w:tcPr>
          <w:p>
            <w:pPr>
              <w:ind w:left="40"/>
              <w:spacing w:after="0"/>
              <w:rPr>
                <w:sz w:val="20"/>
                <w:szCs w:val="20"/>
                <w:color w:val="auto"/>
              </w:rPr>
            </w:pPr>
            <w:r>
              <w:rPr>
                <w:rFonts w:ascii="Arial" w:cs="Arial" w:eastAsia="Arial" w:hAnsi="Arial"/>
                <w:sz w:val="16"/>
                <w:szCs w:val="16"/>
                <w:color w:val="auto"/>
              </w:rPr>
              <w:t>Standby letters of credit</w:t>
            </w:r>
            <w:r>
              <w:rPr>
                <w:rFonts w:ascii="Arial" w:cs="Arial" w:eastAsia="Arial" w:hAnsi="Arial"/>
                <w:sz w:val="21"/>
                <w:szCs w:val="21"/>
                <w:color w:val="auto"/>
                <w:vertAlign w:val="superscript"/>
              </w:rPr>
              <w:t>(7)</w:t>
            </w: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130.9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130.9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1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Surety bonds</w:t>
            </w:r>
            <w:r>
              <w:rPr>
                <w:rFonts w:ascii="Arial" w:cs="Arial" w:eastAsia="Arial" w:hAnsi="Arial"/>
                <w:sz w:val="21"/>
                <w:szCs w:val="21"/>
                <w:color w:val="auto"/>
                <w:vertAlign w:val="superscript"/>
              </w:rPr>
              <w:t>(8)</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420.4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368.6</w:t>
            </w:r>
          </w:p>
        </w:tc>
        <w:tc>
          <w:tcPr>
            <w:tcW w:w="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40" w:type="dxa"/>
            <w:vAlign w:val="bottom"/>
            <w:tcBorders>
              <w:bottom w:val="single" w:sz="8" w:color="CCEEFF"/>
            </w:tcBorders>
          </w:tcPr>
          <w:p>
            <w:pPr>
              <w:spacing w:after="0"/>
              <w:rPr>
                <w:sz w:val="21"/>
                <w:szCs w:val="21"/>
                <w:color w:val="auto"/>
              </w:rPr>
            </w:pPr>
          </w:p>
        </w:tc>
        <w:tc>
          <w:tcPr>
            <w:tcW w:w="2040" w:type="dxa"/>
            <w:vAlign w:val="bottom"/>
            <w:tcBorders>
              <w:bottom w:val="single" w:sz="8" w:color="CCEEFF"/>
            </w:tcBorders>
          </w:tcPr>
          <w:p>
            <w:pPr>
              <w:spacing w:after="0"/>
              <w:rPr>
                <w:sz w:val="21"/>
                <w:szCs w:val="21"/>
                <w:color w:val="auto"/>
              </w:rPr>
            </w:pPr>
          </w:p>
        </w:tc>
        <w:tc>
          <w:tcPr>
            <w:tcW w:w="30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824.5</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369.7</w:t>
            </w:r>
          </w:p>
        </w:tc>
        <w:tc>
          <w:tcPr>
            <w:tcW w:w="3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453.1</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5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1,156.1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459.6</w:t>
            </w: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551.9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92.6</w:t>
            </w:r>
          </w:p>
        </w:tc>
      </w:tr>
      <w:tr>
        <w:trPr>
          <w:trHeight w:val="20"/>
        </w:trPr>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firstLine="8"/>
        <w:spacing w:after="0" w:line="223" w:lineRule="auto"/>
        <w:tabs>
          <w:tab w:leader="none" w:pos="203"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Reflects our contractual obligations to make future payments under non-cancelable operating leases, capital lease agreements, and other similar commitments for various facilities, vehicles, and other equipment.</w:t>
      </w:r>
    </w:p>
    <w:p>
      <w:pPr>
        <w:spacing w:after="0" w:line="134" w:lineRule="exact"/>
        <w:rPr>
          <w:rFonts w:ascii="Arial" w:cs="Arial" w:eastAsia="Arial" w:hAnsi="Arial"/>
          <w:sz w:val="22"/>
          <w:szCs w:val="22"/>
          <w:color w:val="auto"/>
          <w:vertAlign w:val="superscript"/>
        </w:rPr>
      </w:pPr>
    </w:p>
    <w:p>
      <w:pPr>
        <w:ind w:firstLine="8"/>
        <w:spacing w:after="0"/>
        <w:tabs>
          <w:tab w:leader="none" w:pos="226"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Reflects our contractual obligations to make future payments for outsourced services and licensing costs pursuant to our information technology agreements.</w:t>
      </w:r>
    </w:p>
    <w:p>
      <w:pPr>
        <w:spacing w:after="0" w:line="287" w:lineRule="exact"/>
        <w:rPr>
          <w:rFonts w:ascii="Arial" w:cs="Arial" w:eastAsia="Arial" w:hAnsi="Arial"/>
          <w:sz w:val="22"/>
          <w:szCs w:val="22"/>
          <w:color w:val="auto"/>
          <w:vertAlign w:val="superscript"/>
        </w:rPr>
      </w:pPr>
    </w:p>
    <w:p>
      <w:pPr>
        <w:ind w:firstLine="8"/>
        <w:spacing w:after="0" w:line="299" w:lineRule="auto"/>
        <w:tabs>
          <w:tab w:leader="none" w:pos="162"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Reflects future expected payments relating to our defined benefit, postretirement, and deferred compensation plans. These amounts are based on expected future service and were calculated using the same assumptions used to measure our benefit obligation at October 31, 2016.</w:t>
      </w:r>
    </w:p>
    <w:p>
      <w:pPr>
        <w:spacing w:after="0" w:line="8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addition to our company sponsored plans, we participate in certain multiemployer pension and other postretirement plans. The cost of these plans is equal to the annual required contributions determined in accordance with the provisions of negotiated collective bargaining arrangements. During 2016, 2015, and 2014, contributions made to these plans were $290.4 million, $282.1 million, and $274.9 million, respectively; however, the future contributions to the multiemployer plans is dependent upon a number of factors, including the funded status of the plans, the ability of other participating companies to meet ongoing funding obligations, and the level of our ongoing participation in these plans. As the amount of future contributions that we would be contractually obligated to make pursuant to these plans cannot be reasonably estimated, such amounts have been excluded from the above table. See Note 15, “Employee Benefit Plans,” in the Financial Statements for more information.</w:t>
      </w:r>
    </w:p>
    <w:p>
      <w:pPr>
        <w:spacing w:after="0" w:line="123" w:lineRule="exact"/>
        <w:rPr>
          <w:sz w:val="20"/>
          <w:szCs w:val="20"/>
          <w:color w:val="auto"/>
        </w:rPr>
      </w:pPr>
    </w:p>
    <w:p>
      <w:pPr>
        <w:ind w:firstLine="8"/>
        <w:spacing w:after="0" w:line="263" w:lineRule="auto"/>
        <w:tabs>
          <w:tab w:leader="none" w:pos="178" w:val="left"/>
        </w:tabs>
        <w:numPr>
          <w:ilvl w:val="0"/>
          <w:numId w:val="19"/>
        </w:numPr>
        <w:rPr>
          <w:rFonts w:ascii="Arial" w:cs="Arial" w:eastAsia="Arial" w:hAnsi="Arial"/>
          <w:sz w:val="19"/>
          <w:szCs w:val="19"/>
          <w:color w:val="auto"/>
          <w:vertAlign w:val="superscript"/>
        </w:rPr>
      </w:pPr>
      <w:r>
        <w:rPr>
          <w:rFonts w:ascii="Arial" w:cs="Arial" w:eastAsia="Arial" w:hAnsi="Arial"/>
          <w:sz w:val="15"/>
          <w:szCs w:val="15"/>
          <w:color w:val="auto"/>
        </w:rPr>
        <w:t>Represents the expected future contingent consideration payment associated with a certain acquisition that is based on the expected achievement of certain pre-established revenue goals.</w:t>
      </w:r>
    </w:p>
    <w:p>
      <w:pPr>
        <w:spacing w:after="0" w:line="88" w:lineRule="exact"/>
        <w:rPr>
          <w:rFonts w:ascii="Arial" w:cs="Arial" w:eastAsia="Arial" w:hAnsi="Arial"/>
          <w:sz w:val="19"/>
          <w:szCs w:val="19"/>
          <w:color w:val="auto"/>
          <w:vertAlign w:val="superscript"/>
        </w:rPr>
      </w:pPr>
    </w:p>
    <w:p>
      <w:pPr>
        <w:ind w:left="180" w:hanging="172"/>
        <w:spacing w:after="0"/>
        <w:tabs>
          <w:tab w:leader="none" w:pos="180" w:val="left"/>
        </w:tabs>
        <w:numPr>
          <w:ilvl w:val="0"/>
          <w:numId w:val="19"/>
        </w:numPr>
        <w:rPr>
          <w:rFonts w:ascii="Arial" w:cs="Arial" w:eastAsia="Arial" w:hAnsi="Arial"/>
          <w:sz w:val="21"/>
          <w:szCs w:val="21"/>
          <w:color w:val="auto"/>
          <w:vertAlign w:val="superscript"/>
        </w:rPr>
      </w:pPr>
      <w:r>
        <w:rPr>
          <w:rFonts w:ascii="Arial" w:cs="Arial" w:eastAsia="Arial" w:hAnsi="Arial"/>
          <w:sz w:val="15"/>
          <w:szCs w:val="15"/>
          <w:color w:val="auto"/>
        </w:rPr>
        <w:t>Borrowings under our line of credit are presented at face value.</w:t>
      </w:r>
    </w:p>
    <w:p>
      <w:pPr>
        <w:spacing w:after="0" w:line="132" w:lineRule="exact"/>
        <w:rPr>
          <w:rFonts w:ascii="Arial" w:cs="Arial" w:eastAsia="Arial" w:hAnsi="Arial"/>
          <w:sz w:val="21"/>
          <w:szCs w:val="21"/>
          <w:color w:val="auto"/>
          <w:vertAlign w:val="superscript"/>
        </w:rPr>
      </w:pPr>
    </w:p>
    <w:p>
      <w:pPr>
        <w:jc w:val="both"/>
        <w:ind w:firstLine="8"/>
        <w:spacing w:after="0" w:line="236" w:lineRule="auto"/>
        <w:tabs>
          <w:tab w:leader="none" w:pos="188"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Our estimates of future interest payments are calculated based on our hedged borrowings under our line of credit, using the fixed rates under our interest rate swap agreements for the applicable notional amounts. See Note 14, “Line of Credit,” in the Financial Statements for additional disclosure related to our interest rate swaps. We exclude interest payments on our remaining borrowings from this table because the cash outlay for the interest is unknown and cannot be reliably estimated as all of the debt is under a revolving credit facility. The interest payments on these remaining borrowings will be determined based upon the daily outstanding balance of the revolving credit facility and the prevailing interest rate during that time.</w:t>
      </w:r>
    </w:p>
    <w:p>
      <w:pPr>
        <w:spacing w:after="0" w:line="112" w:lineRule="exact"/>
        <w:rPr>
          <w:rFonts w:ascii="Arial" w:cs="Arial" w:eastAsia="Arial" w:hAnsi="Arial"/>
          <w:sz w:val="22"/>
          <w:szCs w:val="22"/>
          <w:color w:val="auto"/>
          <w:vertAlign w:val="superscript"/>
        </w:rPr>
      </w:pPr>
    </w:p>
    <w:p>
      <w:pPr>
        <w:ind w:left="180" w:hanging="172"/>
        <w:spacing w:after="0"/>
        <w:tabs>
          <w:tab w:leader="none" w:pos="180" w:val="left"/>
        </w:tabs>
        <w:numPr>
          <w:ilvl w:val="0"/>
          <w:numId w:val="19"/>
        </w:numPr>
        <w:rPr>
          <w:rFonts w:ascii="Arial" w:cs="Arial" w:eastAsia="Arial" w:hAnsi="Arial"/>
          <w:sz w:val="21"/>
          <w:szCs w:val="21"/>
          <w:color w:val="auto"/>
          <w:vertAlign w:val="superscript"/>
        </w:rPr>
      </w:pPr>
      <w:r>
        <w:rPr>
          <w:rFonts w:ascii="Arial" w:cs="Arial" w:eastAsia="Arial" w:hAnsi="Arial"/>
          <w:sz w:val="15"/>
          <w:szCs w:val="15"/>
          <w:color w:val="auto"/>
        </w:rPr>
        <w:t>At October 31, 2016, we had $130.9 million of standby letters of credit, primarily related to our insurance programs.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522" w:right="239" w:bottom="1440" w:gutter="0" w:footer="0" w:header="0"/>
        </w:sectPr>
      </w:pPr>
    </w:p>
    <w:bookmarkStart w:id="42" w:name="page43"/>
    <w:bookmarkEnd w:id="42"/>
    <w:p>
      <w:pPr>
        <w:jc w:val="both"/>
        <w:ind w:firstLine="8"/>
        <w:spacing w:after="0" w:line="236" w:lineRule="auto"/>
        <w:tabs>
          <w:tab w:leader="none" w:pos="192"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We use surety bonds, principally performance, payment, and insurance bonds, related to contractual obligations in the normal course of business and to collateralize self-insurance obligations in the event we are unable to meet our claim payment obligations. As we already have reserves on our books for the claims costs, these surety bonds do not represent additional liabilities. These bonds typically remain in force for one to five years and may include optional renewal periods. At October 31, 2016, outstanding surety bonds totaled $420.4 million, of which $14.4 million have an effective date starting after October 31, 2016. We do not believe that these bonds will be drawn upon by the beneficiaries.</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At October 31, 2016, our total liability for unrecognized tax benefits was $33.4 million. The resolution or settlement of these tax positions with the taxing authorities is subject to significant uncertainty, and therefore we are unable to make a reliable estimate of the amount or timing of cash that may be required to settle these matters. In addition, certain of these matters may not require cash settlements due to the exercise of credits and net operating loss carryforwards as well as other offsets, including the indirect benefit from other taxing jurisdictions that may be available.</w:t>
      </w:r>
    </w:p>
    <w:p>
      <w:pPr>
        <w:spacing w:after="0" w:line="1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have no off-balance sheet arrangements other than the unrecorded standby letters of credit and surety bonds noted in the above table. Neither of these arrangements has a material current effect, or is reasonably likely to have a material future effect, on our financial condition, changes in financial condition, revenues or expenses, results of operations, liquidity, capital expenditures, or capital resources.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527"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The preparation of consolidated financial statements in accordance with United States generally accepted accounting principles requires our management to make certain estimates that affect the reported amounts. We base our estimates on historical experience, known or expected trends, independent valuations, and various other assumptions. As future events and their effects cannot be determined with precision, actual results could differ significantly from these estimates. We believe the following critical accounting policies govern the more significant judgments and estimates used in the preparation of our financial statements.</w:t>
      </w:r>
    </w:p>
    <w:p>
      <w:pPr>
        <w:sectPr>
          <w:pgSz w:w="11900" w:h="16838" w:orient="portrait"/>
          <w:cols w:equalWidth="0" w:num="1">
            <w:col w:w="11420"/>
          </w:cols>
          <w:pgMar w:left="240" w:top="520" w:right="2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24701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Allowance for Doubtful Accounts</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tcPr>
          <w:p>
            <w:pPr>
              <w:ind w:left="20"/>
              <w:spacing w:after="0"/>
              <w:rPr>
                <w:sz w:val="20"/>
                <w:szCs w:val="20"/>
                <w:color w:val="auto"/>
              </w:rPr>
            </w:pPr>
            <w:r>
              <w:rPr>
                <w:rFonts w:ascii="Arial" w:cs="Arial" w:eastAsia="Arial" w:hAnsi="Arial"/>
                <w:sz w:val="16"/>
                <w:szCs w:val="16"/>
                <w:b w:val="1"/>
                <w:bCs w:val="1"/>
                <w:color w:val="auto"/>
              </w:rPr>
              <w:t>Effect if Actual Results Differ from</w:t>
            </w:r>
          </w:p>
        </w:tc>
      </w:tr>
      <w:tr>
        <w:trPr>
          <w:trHeight w:val="232"/>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Judgments and Uncertainties</w:t>
            </w:r>
          </w:p>
        </w:tc>
        <w:tc>
          <w:tcPr>
            <w:tcW w:w="120" w:type="dxa"/>
            <w:vAlign w:val="bottom"/>
          </w:tcPr>
          <w:p>
            <w:pPr>
              <w:spacing w:after="0"/>
              <w:rPr>
                <w:sz w:val="20"/>
                <w:szCs w:val="20"/>
                <w:color w:val="auto"/>
              </w:rPr>
            </w:pPr>
          </w:p>
        </w:tc>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Assumptions</w:t>
            </w:r>
          </w:p>
        </w:tc>
      </w:tr>
    </w:tbl>
    <w:p>
      <w:pPr>
        <w:spacing w:after="0" w:line="386" w:lineRule="exact"/>
        <w:rPr>
          <w:sz w:val="20"/>
          <w:szCs w:val="20"/>
          <w:color w:val="auto"/>
        </w:rPr>
      </w:pPr>
    </w:p>
    <w:p>
      <w:pPr>
        <w:sectPr>
          <w:pgSz w:w="11900" w:h="16838" w:orient="portrait"/>
          <w:cols w:equalWidth="0" w:num="2">
            <w:col w:w="3300" w:space="720"/>
            <w:col w:w="7400"/>
          </w:cols>
          <w:pgMar w:left="240" w:top="520" w:right="239" w:bottom="1440" w:gutter="0" w:footer="0" w:header="0"/>
          <w:type w:val="continuous"/>
        </w:sectPr>
      </w:pPr>
    </w:p>
    <w:p>
      <w:pPr>
        <w:ind w:left="40"/>
        <w:spacing w:after="0" w:line="257" w:lineRule="auto"/>
        <w:rPr>
          <w:sz w:val="20"/>
          <w:szCs w:val="20"/>
          <w:color w:val="auto"/>
        </w:rPr>
      </w:pPr>
      <w:r>
        <w:rPr>
          <w:rFonts w:ascii="Arial" w:cs="Arial" w:eastAsia="Arial" w:hAnsi="Arial"/>
          <w:sz w:val="16"/>
          <w:szCs w:val="16"/>
          <w:color w:val="auto"/>
        </w:rPr>
        <w:t>We estimate the allowance for doubtful accounts based on a variety of factors, including an analysis of the historical rate of credit losses or write-offs, specific client concerns, and known or expected trends.</w:t>
      </w:r>
    </w:p>
    <w:p>
      <w:pPr>
        <w:spacing w:after="0" w:line="20" w:lineRule="exact"/>
        <w:rPr>
          <w:sz w:val="20"/>
          <w:szCs w:val="20"/>
          <w:color w:val="auto"/>
        </w:rPr>
      </w:pPr>
      <w:r>
        <w:rPr>
          <w:sz w:val="20"/>
          <w:szCs w:val="20"/>
          <w:color w:val="auto"/>
        </w:rPr>
        <w:br w:type="column"/>
      </w:r>
    </w:p>
    <w:p>
      <w:pPr>
        <w:ind w:right="160"/>
        <w:spacing w:after="0" w:line="257" w:lineRule="auto"/>
        <w:rPr>
          <w:sz w:val="20"/>
          <w:szCs w:val="20"/>
          <w:color w:val="auto"/>
        </w:rPr>
      </w:pPr>
      <w:r>
        <w:rPr>
          <w:rFonts w:ascii="Arial" w:cs="Arial" w:eastAsia="Arial" w:hAnsi="Arial"/>
          <w:sz w:val="16"/>
          <w:szCs w:val="16"/>
          <w:color w:val="auto"/>
        </w:rPr>
        <w:t>The determination of our allowance for doubtful accounts contains uncertainties because it requires our management to make assumptions and apply judgment about future uncollectible accounts.</w:t>
      </w:r>
    </w:p>
    <w:p>
      <w:pPr>
        <w:spacing w:after="0" w:line="149"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Actual write-offs and adjustments could differ from the allowance estimates due to unanticipated changes in the business environment as well as factors and risks associated with specific clients.</w:t>
      </w:r>
    </w:p>
    <w:p>
      <w:pPr>
        <w:spacing w:after="0" w:line="145"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In addition, adverse developments in negotiations or legal proceedings to obtain payment could result in the actual loss exceeding the estimated allowance.</w:t>
      </w:r>
    </w:p>
    <w:p>
      <w:pPr>
        <w:spacing w:after="0" w:line="22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br w:type="column"/>
      </w:r>
    </w:p>
    <w:p>
      <w:pPr>
        <w:ind w:right="20"/>
        <w:spacing w:after="0" w:line="269" w:lineRule="auto"/>
        <w:rPr>
          <w:sz w:val="20"/>
          <w:szCs w:val="20"/>
          <w:color w:val="auto"/>
        </w:rPr>
      </w:pPr>
      <w:r>
        <w:rPr>
          <w:rFonts w:ascii="Arial" w:cs="Arial" w:eastAsia="Arial" w:hAnsi="Arial"/>
          <w:sz w:val="16"/>
          <w:szCs w:val="16"/>
          <w:color w:val="auto"/>
        </w:rPr>
        <w:t>We have not made any changes in the accounting methodology used to record our allowance for doubtful accounts during the past three years.</w:t>
      </w:r>
    </w:p>
    <w:p>
      <w:pPr>
        <w:spacing w:after="0" w:line="138" w:lineRule="exact"/>
        <w:rPr>
          <w:sz w:val="20"/>
          <w:szCs w:val="20"/>
          <w:color w:val="auto"/>
        </w:rPr>
      </w:pPr>
    </w:p>
    <w:p>
      <w:pPr>
        <w:jc w:val="both"/>
        <w:ind w:right="440"/>
        <w:spacing w:after="0" w:line="269" w:lineRule="auto"/>
        <w:rPr>
          <w:sz w:val="20"/>
          <w:szCs w:val="20"/>
          <w:color w:val="auto"/>
        </w:rPr>
      </w:pPr>
      <w:r>
        <w:rPr>
          <w:rFonts w:ascii="Arial" w:cs="Arial" w:eastAsia="Arial" w:hAnsi="Arial"/>
          <w:sz w:val="16"/>
          <w:szCs w:val="16"/>
          <w:color w:val="auto"/>
        </w:rPr>
        <w:t>A 10% change in our allowance for doubtful accounts would have affected net income by approximately $0.7 million for 2016.</w:t>
      </w:r>
    </w:p>
    <w:p>
      <w:pPr>
        <w:sectPr>
          <w:pgSz w:w="11900" w:h="16838" w:orient="portrait"/>
          <w:cols w:equalWidth="0" w:num="3">
            <w:col w:w="3840" w:space="200"/>
            <w:col w:w="3600" w:space="160"/>
            <w:col w:w="3620"/>
          </w:cols>
          <w:pgMar w:left="240" w:top="520" w:right="239" w:bottom="1440" w:gutter="0" w:footer="0" w:header="0"/>
          <w:type w:val="continuous"/>
        </w:sectPr>
      </w:pPr>
    </w:p>
    <w:bookmarkStart w:id="44" w:name="page45"/>
    <w:bookmarkEnd w:id="44"/>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33020</wp:posOffset>
            </wp:positionV>
            <wp:extent cx="24701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53" w:lineRule="exact"/>
        <w:rPr>
          <w:sz w:val="20"/>
          <w:szCs w:val="20"/>
          <w:color w:val="auto"/>
        </w:rPr>
      </w:pPr>
    </w:p>
    <w:p>
      <w:pPr>
        <w:spacing w:after="0" w:line="304" w:lineRule="auto"/>
        <w:rPr>
          <w:sz w:val="20"/>
          <w:szCs w:val="20"/>
          <w:color w:val="auto"/>
        </w:rPr>
      </w:pPr>
      <w:r>
        <w:rPr>
          <w:rFonts w:ascii="Arial" w:cs="Arial" w:eastAsia="Arial" w:hAnsi="Arial"/>
          <w:sz w:val="16"/>
          <w:szCs w:val="16"/>
          <w:b w:val="1"/>
          <w:bCs w:val="1"/>
          <w:color w:val="auto"/>
        </w:rPr>
        <w:t>Amortization and Impairment of Long-Lived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tcPr>
          <w:p>
            <w:pPr>
              <w:ind w:left="20"/>
              <w:spacing w:after="0"/>
              <w:rPr>
                <w:sz w:val="20"/>
                <w:szCs w:val="20"/>
                <w:color w:val="auto"/>
              </w:rPr>
            </w:pPr>
            <w:r>
              <w:rPr>
                <w:rFonts w:ascii="Arial" w:cs="Arial" w:eastAsia="Arial" w:hAnsi="Arial"/>
                <w:sz w:val="16"/>
                <w:szCs w:val="16"/>
                <w:b w:val="1"/>
                <w:bCs w:val="1"/>
                <w:color w:val="auto"/>
              </w:rPr>
              <w:t>Effect if Actual Results Differ from</w:t>
            </w:r>
          </w:p>
        </w:tc>
      </w:tr>
      <w:tr>
        <w:trPr>
          <w:trHeight w:val="232"/>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Judgments and Uncertainties</w:t>
            </w:r>
          </w:p>
        </w:tc>
        <w:tc>
          <w:tcPr>
            <w:tcW w:w="120" w:type="dxa"/>
            <w:vAlign w:val="bottom"/>
          </w:tcPr>
          <w:p>
            <w:pPr>
              <w:spacing w:after="0"/>
              <w:rPr>
                <w:sz w:val="20"/>
                <w:szCs w:val="20"/>
                <w:color w:val="auto"/>
              </w:rPr>
            </w:pPr>
          </w:p>
        </w:tc>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Assumptions</w:t>
            </w:r>
          </w:p>
        </w:tc>
      </w:tr>
    </w:tbl>
    <w:p>
      <w:pPr>
        <w:spacing w:after="0" w:line="575" w:lineRule="exact"/>
        <w:rPr>
          <w:sz w:val="20"/>
          <w:szCs w:val="20"/>
          <w:color w:val="auto"/>
        </w:rPr>
      </w:pPr>
    </w:p>
    <w:p>
      <w:pPr>
        <w:sectPr>
          <w:pgSz w:w="11900" w:h="16838" w:orient="portrait"/>
          <w:cols w:equalWidth="0" w:num="2">
            <w:col w:w="3360" w:space="620"/>
            <w:col w:w="7400"/>
          </w:cols>
          <w:pgMar w:left="280" w:top="687" w:right="239" w:bottom="1440" w:gutter="0" w:footer="0" w:header="0"/>
        </w:sectPr>
      </w:pPr>
    </w:p>
    <w:p>
      <w:pPr>
        <w:ind w:right="360"/>
        <w:spacing w:after="0" w:line="291" w:lineRule="auto"/>
        <w:rPr>
          <w:sz w:val="20"/>
          <w:szCs w:val="20"/>
          <w:color w:val="auto"/>
        </w:rPr>
      </w:pPr>
      <w:r>
        <w:rPr>
          <w:rFonts w:ascii="Arial" w:cs="Arial" w:eastAsia="Arial" w:hAnsi="Arial"/>
          <w:sz w:val="16"/>
          <w:szCs w:val="16"/>
          <w:color w:val="auto"/>
        </w:rPr>
        <w:t>Our long-lived assets include property, plant and equipment and amortizable intangible assets.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We estimate the depreciable lives of our long-lived assets. For depreciable fixed assets, our depreciable lives are based on our accounting policy, which is intended to mirror the expected useful life of the asset.</w:t>
      </w:r>
    </w:p>
    <w:p>
      <w:pPr>
        <w:spacing w:after="0" w:line="149"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In determining the estimated useful life of amortizable intangible assets, such as customer contracts and relationships, we rely on our historical experience to estimate the useful life of the applicable asset and consider industry norms as a benchmark.</w:t>
      </w:r>
    </w:p>
    <w:p>
      <w:pPr>
        <w:spacing w:after="0" w:line="15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evaluate our long-lived assets for impairment whenever events or changes in circumstances indicate that the carrying amount of such assets may not be recoverable. These events and circumstances include, but are not limited to, a current expectation that a long-lived asset will be disposed of significantly before the end of its previously estimated useful life, a significant adverse change in the extent or manner in which we use a long-lived asset, or a change in its physical condition.</w:t>
      </w:r>
    </w:p>
    <w:p>
      <w:pPr>
        <w:spacing w:after="0" w:line="15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When this occurs, a recoverability test is performed that compares the projected undiscounted cash flows from the use and eventual disposition of an asset or asset group to its carrying amount. If the projected undiscounted cash flows are less than the carrying amount, we calculate an impairment loss. The impairment loss calculation compares the fair value, which is based on projected discounted cash flows, to the carrying value. We record an impairment loss if the carrying value exceeds the fair value.</w:t>
      </w:r>
    </w:p>
    <w:p>
      <w:pPr>
        <w:spacing w:after="0" w:line="156"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If we recognize an impairment loss, the adjusted carrying amount of the asset becomes the new cost basis.</w:t>
      </w:r>
    </w:p>
    <w:p>
      <w:pPr>
        <w:spacing w:after="0" w:line="138" w:lineRule="exact"/>
        <w:rPr>
          <w:sz w:val="20"/>
          <w:szCs w:val="20"/>
          <w:color w:val="auto"/>
        </w:rPr>
      </w:pPr>
    </w:p>
    <w:p>
      <w:pPr>
        <w:ind w:right="400"/>
        <w:spacing w:after="0" w:line="269" w:lineRule="auto"/>
        <w:rPr>
          <w:sz w:val="20"/>
          <w:szCs w:val="20"/>
          <w:color w:val="auto"/>
        </w:rPr>
      </w:pPr>
      <w:r>
        <w:rPr>
          <w:rFonts w:ascii="Arial" w:cs="Arial" w:eastAsia="Arial" w:hAnsi="Arial"/>
          <w:sz w:val="16"/>
          <w:szCs w:val="16"/>
          <w:color w:val="auto"/>
        </w:rPr>
        <w:t>For a depreciable long-lived asset, the new cost basis will be depreciated (amortized) over the remaining estimated useful life of that asset.</w:t>
      </w:r>
    </w:p>
    <w:p>
      <w:pPr>
        <w:spacing w:after="0" w:line="20" w:lineRule="exact"/>
        <w:rPr>
          <w:sz w:val="20"/>
          <w:szCs w:val="20"/>
          <w:color w:val="auto"/>
        </w:rPr>
      </w:pPr>
      <w:r>
        <w:rPr>
          <w:sz w:val="20"/>
          <w:szCs w:val="20"/>
          <w:color w:val="auto"/>
        </w:rPr>
        <w:br w:type="column"/>
      </w:r>
    </w:p>
    <w:p>
      <w:pPr>
        <w:ind w:right="40"/>
        <w:spacing w:after="0" w:line="252" w:lineRule="auto"/>
        <w:rPr>
          <w:sz w:val="20"/>
          <w:szCs w:val="20"/>
          <w:color w:val="auto"/>
        </w:rPr>
      </w:pPr>
      <w:r>
        <w:rPr>
          <w:rFonts w:ascii="Arial" w:cs="Arial" w:eastAsia="Arial" w:hAnsi="Arial"/>
          <w:sz w:val="16"/>
          <w:szCs w:val="16"/>
          <w:color w:val="auto"/>
        </w:rPr>
        <w:t>Our impairment evaluations require us to apply judgment in determining whether a triggering event has occurred, including the evaluation of whether it is more likely than not that a long-lived asset will be disposed of significantly before the end of its previously estimated useful life. Incorrect estimation of useful lives may result in inaccurate depreciation and amortization charges over future periods leading to future impairment.</w:t>
      </w:r>
    </w:p>
    <w:p>
      <w:pPr>
        <w:spacing w:after="0" w:line="152"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Our impairment loss calculations contain uncertainties because they require management to make assumptions and to apply judgment to estimate future cash flows and asset fair values, including forecasting useful lives of the assets and selecting the discount rate that reflects the risk inherent in future cash flows.</w:t>
      </w:r>
    </w:p>
    <w:p>
      <w:pPr>
        <w:spacing w:after="0" w:line="15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determination of fair value for held-for-sale businesses involves significant judgments and assumptions. Development of estimates of fair values in this circumstance is complex and is dependent upon, among other factors, the composition of assets in the disposal group, the comparability of the disposal group to similar market transactions, and negotiations with third-party purchasers. Such factors bear directly on the range of potential fair values and the selection of the best estimates.</w:t>
      </w:r>
    </w:p>
    <w:p>
      <w:pPr>
        <w:spacing w:after="0" w:line="20" w:lineRule="exact"/>
        <w:rPr>
          <w:sz w:val="20"/>
          <w:szCs w:val="20"/>
          <w:color w:val="auto"/>
        </w:rPr>
      </w:pPr>
      <w:r>
        <w:rPr>
          <w:sz w:val="20"/>
          <w:szCs w:val="20"/>
          <w:color w:val="auto"/>
        </w:rPr>
        <w:br w:type="column"/>
      </w:r>
    </w:p>
    <w:p>
      <w:pPr>
        <w:ind w:right="20"/>
        <w:spacing w:after="0" w:line="269" w:lineRule="auto"/>
        <w:rPr>
          <w:sz w:val="20"/>
          <w:szCs w:val="20"/>
          <w:color w:val="auto"/>
        </w:rPr>
      </w:pPr>
      <w:r>
        <w:rPr>
          <w:rFonts w:ascii="Arial" w:cs="Arial" w:eastAsia="Arial" w:hAnsi="Arial"/>
          <w:sz w:val="16"/>
          <w:szCs w:val="16"/>
          <w:color w:val="auto"/>
        </w:rPr>
        <w:t>We have not made any changes in the accounting methodology used to evaluate the impairment of long-lived assets during the last three years.</w:t>
      </w:r>
    </w:p>
    <w:p>
      <w:pPr>
        <w:spacing w:after="0" w:line="138"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Additionally, we have not made any changes to estimated useful lives of our long-lived assets.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classifying our Government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Services business as held for sale, we were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required to measure the Government Services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business at the lower of its carrying value or fair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value less estimated costs to sell. As a result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significant underperformance relative to expected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operating results, we determined the fair value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this business was less than the carrying amount,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which resulted in the recognition of a long-lived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asset impairment charge of $15.3 million in 2016.</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was also implied by the estimated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sales price, but the fair values that are ultimately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realized upon the sale of the business may differ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from the current estimate of fair value. See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color w:val="auto"/>
        </w:rPr>
        <w:t>Impairment of Goodwill” critical accounting policy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for details about the goodwill impairment charge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associated with our held-for-sale Government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Services business in 2016.</w:t>
      </w:r>
    </w:p>
    <w:p>
      <w:pPr>
        <w:spacing w:after="0" w:line="174"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If actual results are not consistent with our estimates and assumptions used to calculate estimated future cash flows, we may be exposed to future impairment losses that could be material.</w:t>
      </w:r>
    </w:p>
    <w:p>
      <w:pPr>
        <w:spacing w:after="0" w:line="3043" w:lineRule="exact"/>
        <w:rPr>
          <w:sz w:val="20"/>
          <w:szCs w:val="20"/>
          <w:color w:val="auto"/>
        </w:rPr>
      </w:pPr>
    </w:p>
    <w:p>
      <w:pPr>
        <w:sectPr>
          <w:pgSz w:w="11900" w:h="16838" w:orient="portrait"/>
          <w:cols w:equalWidth="0" w:num="3">
            <w:col w:w="3820" w:space="180"/>
            <w:col w:w="3580" w:space="180"/>
            <w:col w:w="3620"/>
          </w:cols>
          <w:pgMar w:left="280" w:top="687" w:right="239" w:bottom="1440" w:gutter="0" w:footer="0" w:header="0"/>
          <w:type w:val="continuous"/>
        </w:sectPr>
      </w:pP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80"/>
          </w:cols>
          <w:pgMar w:left="280" w:top="687" w:right="239" w:bottom="1440" w:gutter="0" w:footer="0" w:header="0"/>
          <w:type w:val="continuous"/>
        </w:sectPr>
      </w:pPr>
    </w:p>
    <w:bookmarkStart w:id="45" w:name="page46"/>
    <w:bookmarkEnd w:id="45"/>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33020</wp:posOffset>
            </wp:positionV>
            <wp:extent cx="24701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Goodwill</w:t>
      </w:r>
    </w:p>
    <w:p>
      <w:pPr>
        <w:spacing w:after="0" w:line="196"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We have elected to make the first day of our fourth quarter, August 1st, the annual impairment assessment date for goodwill. However, we could be required to evaluate the recoverability of goodwill more frequently if certain triggering events occur, such as a significant change in the business climate or the classification of a significant portion of our business as held for sale.</w:t>
      </w:r>
    </w:p>
    <w:p>
      <w:pPr>
        <w:spacing w:after="0" w:line="150" w:lineRule="exact"/>
        <w:rPr>
          <w:sz w:val="20"/>
          <w:szCs w:val="20"/>
          <w:color w:val="auto"/>
        </w:rPr>
      </w:pPr>
    </w:p>
    <w:p>
      <w:pPr>
        <w:jc w:val="both"/>
        <w:ind w:right="40"/>
        <w:spacing w:after="0" w:line="291" w:lineRule="auto"/>
        <w:rPr>
          <w:sz w:val="20"/>
          <w:szCs w:val="20"/>
          <w:color w:val="auto"/>
        </w:rPr>
      </w:pPr>
      <w:r>
        <w:rPr>
          <w:rFonts w:ascii="Arial" w:cs="Arial" w:eastAsia="Arial" w:hAnsi="Arial"/>
          <w:sz w:val="16"/>
          <w:szCs w:val="16"/>
          <w:color w:val="auto"/>
        </w:rPr>
        <w:t>We test the carrying value of goodwill for impairment at a “reporting unit” level using a two-step approach.</w:t>
      </w:r>
    </w:p>
    <w:p>
      <w:pPr>
        <w:spacing w:after="0" w:line="121"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The first step of the process is to evaluate whether the fair value of a reporting unit is less than its carrying value, which is an indicator that the goodwill assigned to that reporting unit may be impaired.</w:t>
      </w:r>
    </w:p>
    <w:p>
      <w:pPr>
        <w:spacing w:after="0" w:line="145"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If the fair value is less than the carrying value, a second step of impairment testing is performed to allocate the fair value of the reporting unit to the assets and liabilities of the reporting unit, as if it had just been acquired in a business combination and as if the purchase price was equivalent to the fair value of the reporting unit.</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excess of the fair value of the reporting unit over the amounts assigned to its assets and liabilities is referred to as the implied fair value of goodwill. The implied fair value of the reporting unit’s goodwill is then compared to the actual carrying value of goodwill. If the implied fair value is less than its carrying value, we would record an impairment for the excess of the carrying amount over the estimated fair value.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Judgments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33020</wp:posOffset>
            </wp:positionV>
            <wp:extent cx="23152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color w:val="auto"/>
        </w:rPr>
        <w:t>We estimate the fair value of each reporting unit using a combination of the income approach and the market approach.</w:t>
      </w:r>
    </w:p>
    <w:p>
      <w:pPr>
        <w:spacing w:after="0" w:line="138"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income approach incorporates the use of a discounted cash flow method in which the estimated future cash flows and terminal value are calculated for each reporting unit and then discounted to present value using an appropriate discount rate.</w:t>
      </w:r>
    </w:p>
    <w:p>
      <w:pPr>
        <w:spacing w:after="0" w:line="151"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In making these estimates, weighted average cost of capital is utilized to calculate the present value of future cash flows and terminal value. Many variables go into estimating future cash flows, including our future sales growth and operating results. When estimating our projected revenue growth and future operating results, we consider industry trends, economic data, and our competitive advantage.</w:t>
      </w:r>
    </w:p>
    <w:p>
      <w:pPr>
        <w:spacing w:after="0" w:line="152"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The market approach estimates fair value by using market comparables for reasonably similar public companies.</w:t>
      </w:r>
    </w:p>
    <w:p>
      <w:pPr>
        <w:spacing w:after="0" w:line="138"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valuation of our reporting units requires significant judgment in evaluation of recent indicators of market activity and estimated future cash flows, discount rates, and other factors. Our impairment analyses contain inherent uncertainties due to uncontrollable events that could positively or negatively impact the anticipated future economic and operating conditions.</w:t>
      </w:r>
    </w:p>
    <w:p>
      <w:pPr>
        <w:spacing w:after="0" w:line="20" w:lineRule="exact"/>
        <w:rPr>
          <w:sz w:val="20"/>
          <w:szCs w:val="20"/>
          <w:color w:val="auto"/>
        </w:rPr>
      </w:pPr>
      <w:r>
        <w:rPr>
          <w:sz w:val="20"/>
          <w:szCs w:val="20"/>
          <w:color w:val="auto"/>
        </w:rPr>
        <w:br w:type="column"/>
      </w:r>
    </w:p>
    <w:p>
      <w:pPr>
        <w:ind w:right="960"/>
        <w:spacing w:after="0" w:line="304" w:lineRule="auto"/>
        <w:rPr>
          <w:sz w:val="20"/>
          <w:szCs w:val="20"/>
          <w:color w:val="auto"/>
        </w:rPr>
      </w:pPr>
      <w:r>
        <w:rPr>
          <w:rFonts w:ascii="Arial" w:cs="Arial" w:eastAsia="Arial" w:hAnsi="Arial"/>
          <w:sz w:val="16"/>
          <w:szCs w:val="16"/>
          <w:b w:val="1"/>
          <w:bCs w:val="1"/>
          <w:color w:val="auto"/>
        </w:rPr>
        <w:t>Effect if Actual Results Differ from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-25400</wp:posOffset>
            </wp:positionV>
            <wp:extent cx="23152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40"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have not made any changes in the accounting methodology used to evaluate impairment of goodwill during the last three years, other than the creation of a new reporting unit with the acquisition of Westway.</w:t>
      </w:r>
    </w:p>
    <w:p>
      <w:pPr>
        <w:spacing w:after="0" w:line="149"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At October 31, 2016, we had $912.8 million of goodwill. Our goodwill is included in the following segments: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$499.0 million — Janitorial</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$72.6 million — Facility Services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$69.2 million — Parking</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$184.0 million — Building &amp; Energy Solutions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$87.9 million — Other</w:t>
      </w:r>
    </w:p>
    <w:p>
      <w:pPr>
        <w:spacing w:after="0" w:line="194"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A goodwill impairment analysis was performed for each of our reporting units as of August 1, 2016. In addition, as a result of our Government Services business being classified as held for sale, an impairment analysis was performed for that business as of October 31, 2016.</w:t>
      </w:r>
    </w:p>
    <w:p>
      <w:pPr>
        <w:spacing w:after="0" w:line="151"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We determined that the fair value of the Government Services business was less than the carrying amount, and we wrote off the entire goodwill balance, resulting in a charge of $6.0 million. The fair values that are ultimately realized upon the sale of the business may differ from the current estimate of fair value.</w:t>
      </w:r>
    </w:p>
    <w:p>
      <w:pPr>
        <w:spacing w:after="0" w:line="150"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Based on our analysis, the implied fair value of each of our other reporting units was substantially in excess of its carrying value. A 10% decrease in the estimated fair value of these reporting units would not result in any additional impairment charges.</w:t>
      </w:r>
    </w:p>
    <w:p>
      <w:pPr>
        <w:spacing w:after="0" w:line="200" w:lineRule="exact"/>
        <w:rPr>
          <w:sz w:val="20"/>
          <w:szCs w:val="20"/>
          <w:color w:val="auto"/>
        </w:rPr>
      </w:pPr>
    </w:p>
    <w:p>
      <w:pPr>
        <w:sectPr>
          <w:pgSz w:w="11900" w:h="16838" w:orient="portrait"/>
          <w:cols w:equalWidth="0" w:num="3">
            <w:col w:w="3800" w:space="200"/>
            <w:col w:w="3520" w:space="240"/>
            <w:col w:w="3600"/>
          </w:cols>
          <w:pgMar w:left="280" w:top="687" w:right="259" w:bottom="1440" w:gutter="0" w:footer="0" w:header="0"/>
        </w:sect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60"/>
          </w:cols>
          <w:pgMar w:left="280" w:top="687" w:right="259" w:bottom="1440" w:gutter="0" w:footer="0" w:header="0"/>
          <w:type w:val="continuous"/>
        </w:sectPr>
      </w:pPr>
    </w:p>
    <w:bookmarkStart w:id="46" w:name="page47"/>
    <w:bookmarkEnd w:id="46"/>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33020</wp:posOffset>
            </wp:positionV>
            <wp:extent cx="24701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Insurance Reserves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tcPr>
          <w:p>
            <w:pPr>
              <w:ind w:left="20"/>
              <w:spacing w:after="0"/>
              <w:rPr>
                <w:sz w:val="20"/>
                <w:szCs w:val="20"/>
                <w:color w:val="auto"/>
              </w:rPr>
            </w:pPr>
            <w:r>
              <w:rPr>
                <w:rFonts w:ascii="Arial" w:cs="Arial" w:eastAsia="Arial" w:hAnsi="Arial"/>
                <w:sz w:val="16"/>
                <w:szCs w:val="16"/>
                <w:b w:val="1"/>
                <w:bCs w:val="1"/>
                <w:color w:val="auto"/>
              </w:rPr>
              <w:t>Effect if Actual Results Differ from</w:t>
            </w:r>
          </w:p>
        </w:tc>
      </w:tr>
      <w:tr>
        <w:trPr>
          <w:trHeight w:val="232"/>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Judgments and Uncertainties</w:t>
            </w:r>
          </w:p>
        </w:tc>
        <w:tc>
          <w:tcPr>
            <w:tcW w:w="120" w:type="dxa"/>
            <w:vAlign w:val="bottom"/>
          </w:tcPr>
          <w:p>
            <w:pPr>
              <w:spacing w:after="0"/>
              <w:rPr>
                <w:sz w:val="20"/>
                <w:szCs w:val="20"/>
                <w:color w:val="auto"/>
              </w:rPr>
            </w:pPr>
          </w:p>
        </w:tc>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Assumptions</w:t>
            </w:r>
          </w:p>
        </w:tc>
      </w:tr>
    </w:tbl>
    <w:p>
      <w:pPr>
        <w:spacing w:after="0" w:line="386" w:lineRule="exact"/>
        <w:rPr>
          <w:sz w:val="20"/>
          <w:szCs w:val="20"/>
          <w:color w:val="auto"/>
        </w:rPr>
      </w:pPr>
    </w:p>
    <w:p>
      <w:pPr>
        <w:sectPr>
          <w:pgSz w:w="11900" w:h="16838" w:orient="portrait"/>
          <w:cols w:equalWidth="0" w:num="2">
            <w:col w:w="3260" w:space="720"/>
            <w:col w:w="7400"/>
          </w:cols>
          <w:pgMar w:left="280" w:top="687" w:right="239" w:bottom="1440" w:gutter="0" w:footer="0" w:header="0"/>
        </w:sectPr>
      </w:pPr>
    </w:p>
    <w:p>
      <w:pPr>
        <w:ind w:right="60"/>
        <w:spacing w:after="0" w:line="261" w:lineRule="auto"/>
        <w:rPr>
          <w:sz w:val="20"/>
          <w:szCs w:val="20"/>
          <w:color w:val="auto"/>
        </w:rPr>
      </w:pPr>
      <w:r>
        <w:rPr>
          <w:rFonts w:ascii="Arial" w:cs="Arial" w:eastAsia="Arial" w:hAnsi="Arial"/>
          <w:sz w:val="16"/>
          <w:szCs w:val="16"/>
          <w:color w:val="auto"/>
        </w:rPr>
        <w:t>We use a combination of insured and self-insurance programs to cover workers’ compensation, general liability, automobile liability, property damage, and other insurable risks.</w:t>
      </w:r>
    </w:p>
    <w:p>
      <w:pPr>
        <w:spacing w:after="0" w:line="145"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Insurance claim liabilities represent our estimate of retained risks without regard to insurance coverage. We retain a substantial portion of the risk related to certain workers’ compensation and medical claims. Liabilities associated with these losses include estimates of both claims filed and IBNR claim costs.</w:t>
      </w:r>
    </w:p>
    <w:p>
      <w:pPr>
        <w:spacing w:after="0" w:line="15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With the assistance of third-party actuaries, we periodically review our estimate of ultimate losses for IBNR claim costs and adjust our required self-insurance reserves as appropriate. As part of this evaluation, we review the status of existing and new claim reserves as established by our third-party claims administrators.</w:t>
      </w:r>
    </w:p>
    <w:p>
      <w:pPr>
        <w:spacing w:after="0" w:line="150"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The third-party claims administrators establish the case reserves based upon known factors related to the type and severity of the claims, demographic factors, legislative matters, and case law, as appropriate.</w:t>
      </w:r>
    </w:p>
    <w:p>
      <w:pPr>
        <w:spacing w:after="0" w:line="149"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We compare actual trends to expected trends and monitor claims developments.</w:t>
      </w:r>
    </w:p>
    <w:p>
      <w:pPr>
        <w:spacing w:after="0" w:line="12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specific case reserves estimated by the third-party administrators are provided to an actuary who assists us in projecting an actuarial estimate of the overall ultimate losses for our self-insured or high deductible programs, which includes the case reserves plus an actuarial estimate of reserves required for additional developments including IBNR claim costs.</w:t>
      </w:r>
    </w:p>
    <w:p>
      <w:pPr>
        <w:spacing w:after="0" w:line="150"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utilize the independent third-party administrators’ actuarial point estimate, reviewed by our management, to adjust our carried self-insurance reserves.</w:t>
      </w:r>
    </w:p>
    <w:p>
      <w:pPr>
        <w:spacing w:after="0" w:line="20" w:lineRule="exact"/>
        <w:rPr>
          <w:sz w:val="20"/>
          <w:szCs w:val="20"/>
          <w:color w:val="auto"/>
        </w:rPr>
      </w:pPr>
      <w:r>
        <w:rPr>
          <w:sz w:val="20"/>
          <w:szCs w:val="20"/>
          <w:color w:val="auto"/>
        </w:rPr>
        <w:br w:type="column"/>
      </w:r>
    </w:p>
    <w:p>
      <w:pPr>
        <w:jc w:val="both"/>
        <w:ind w:right="40"/>
        <w:spacing w:after="0" w:line="291" w:lineRule="auto"/>
        <w:rPr>
          <w:sz w:val="20"/>
          <w:szCs w:val="20"/>
          <w:color w:val="auto"/>
        </w:rPr>
      </w:pPr>
      <w:r>
        <w:rPr>
          <w:rFonts w:ascii="Arial" w:cs="Arial" w:eastAsia="Arial" w:hAnsi="Arial"/>
          <w:sz w:val="16"/>
          <w:szCs w:val="16"/>
          <w:color w:val="auto"/>
        </w:rPr>
        <w:t>Our self-insurance liabilities contain uncertainties due to assumptions required and judgment used.</w:t>
      </w:r>
    </w:p>
    <w:p>
      <w:pPr>
        <w:spacing w:after="0" w:line="12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Costs to settle our obligations, including legal and healthcare costs, could fluctuate and cause estimates of our self-insurance liabilities to change.</w:t>
      </w:r>
    </w:p>
    <w:p>
      <w:pPr>
        <w:spacing w:after="0" w:line="145"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Incident rates, including frequency and severity, could fluctuate and cause the estimates in our self-insurance liabilities to change.</w:t>
      </w:r>
    </w:p>
    <w:p>
      <w:pPr>
        <w:spacing w:after="0" w:line="138"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These estimates are subject to: changes in the regulatory environment; fluctuations in projected exposures, including payroll, revenues, and the number of vehicle units; and the frequency, lag, and severity of claims.</w:t>
      </w:r>
    </w:p>
    <w:p>
      <w:pPr>
        <w:spacing w:after="0" w:line="149"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auto"/>
        </w:rPr>
        <w:t>The full extent of certain claims, especially workers’ compensation and general liability claims, may not be fully determined for several years.</w:t>
      </w:r>
    </w:p>
    <w:p>
      <w:pPr>
        <w:spacing w:after="0" w:line="145"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In addition, if the reserves related to self-insurance or high deductible programs from acquired businesses are not adequate to cover damages resulting from future accidents or other incidents, we may be exposed to substantial losses arising from future developments of the claims.</w:t>
      </w:r>
    </w:p>
    <w:p>
      <w:pPr>
        <w:spacing w:after="0" w:line="20" w:lineRule="exact"/>
        <w:rPr>
          <w:sz w:val="20"/>
          <w:szCs w:val="20"/>
          <w:color w:val="auto"/>
        </w:rPr>
      </w:pPr>
      <w:r>
        <w:rPr>
          <w:sz w:val="20"/>
          <w:szCs w:val="20"/>
          <w:color w:val="auto"/>
        </w:rPr>
        <w:br w:type="column"/>
      </w:r>
    </w:p>
    <w:p>
      <w:pPr>
        <w:jc w:val="both"/>
        <w:ind w:right="20"/>
        <w:spacing w:after="0" w:line="269" w:lineRule="auto"/>
        <w:rPr>
          <w:sz w:val="20"/>
          <w:szCs w:val="20"/>
          <w:color w:val="auto"/>
        </w:rPr>
      </w:pPr>
      <w:r>
        <w:rPr>
          <w:rFonts w:ascii="Arial" w:cs="Arial" w:eastAsia="Arial" w:hAnsi="Arial"/>
          <w:sz w:val="16"/>
          <w:szCs w:val="16"/>
          <w:color w:val="auto"/>
        </w:rPr>
        <w:t>We have not made any changes in the accounting methodology used to establish our self-insurance liabilities during the past three years.</w:t>
      </w:r>
    </w:p>
    <w:p>
      <w:pPr>
        <w:spacing w:after="0" w:line="13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After analyzing the recent loss development patterns, comparing the loss development against benchmarks, and applying actuarial projection methods to determine the estimate of ultimate losses, we increased our reserves for known claims as well as our estimate of the loss amounts associated with IBNR claims by $32.9 million during 2016.</w:t>
      </w:r>
    </w:p>
    <w:p>
      <w:pPr>
        <w:spacing w:after="0" w:line="150"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It is possible that actual results could differ from recorded self-insurance liabilities. A 10% change in our projected ultimate losses would have affected net income by approximately $21 million for 2016.</w:t>
      </w:r>
    </w:p>
    <w:p>
      <w:pPr>
        <w:spacing w:after="0" w:line="4742" w:lineRule="exact"/>
        <w:rPr>
          <w:sz w:val="20"/>
          <w:szCs w:val="20"/>
          <w:color w:val="auto"/>
        </w:rPr>
      </w:pPr>
    </w:p>
    <w:p>
      <w:pPr>
        <w:sectPr>
          <w:pgSz w:w="11900" w:h="16838" w:orient="portrait"/>
          <w:cols w:equalWidth="0" w:num="3">
            <w:col w:w="3780" w:space="220"/>
            <w:col w:w="3560" w:space="200"/>
            <w:col w:w="3620"/>
          </w:cols>
          <w:pgMar w:left="280" w:top="687" w:right="239" w:bottom="1440" w:gutter="0" w:footer="0" w:header="0"/>
          <w:type w:val="continuous"/>
        </w:sectPr>
      </w:pP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80"/>
          </w:cols>
          <w:pgMar w:left="280" w:top="687" w:right="239" w:bottom="1440" w:gutter="0" w:footer="0" w:header="0"/>
          <w:type w:val="continuous"/>
        </w:sectPr>
      </w:pPr>
    </w:p>
    <w:bookmarkStart w:id="47" w:name="page48"/>
    <w:bookmarkEnd w:id="47"/>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33020</wp:posOffset>
            </wp:positionV>
            <wp:extent cx="24701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 Recognition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tcPr>
          <w:p>
            <w:pPr>
              <w:ind w:left="20"/>
              <w:spacing w:after="0"/>
              <w:rPr>
                <w:sz w:val="20"/>
                <w:szCs w:val="20"/>
                <w:color w:val="auto"/>
              </w:rPr>
            </w:pPr>
            <w:r>
              <w:rPr>
                <w:rFonts w:ascii="Arial" w:cs="Arial" w:eastAsia="Arial" w:hAnsi="Arial"/>
                <w:sz w:val="16"/>
                <w:szCs w:val="16"/>
                <w:b w:val="1"/>
                <w:bCs w:val="1"/>
                <w:color w:val="auto"/>
              </w:rPr>
              <w:t>Effect if Actual Results Differ from</w:t>
            </w:r>
          </w:p>
        </w:tc>
      </w:tr>
      <w:tr>
        <w:trPr>
          <w:trHeight w:val="232"/>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Judgments and Uncertainties</w:t>
            </w:r>
          </w:p>
        </w:tc>
        <w:tc>
          <w:tcPr>
            <w:tcW w:w="120" w:type="dxa"/>
            <w:vAlign w:val="bottom"/>
          </w:tcPr>
          <w:p>
            <w:pPr>
              <w:spacing w:after="0"/>
              <w:rPr>
                <w:sz w:val="20"/>
                <w:szCs w:val="20"/>
                <w:color w:val="auto"/>
              </w:rPr>
            </w:pPr>
          </w:p>
        </w:tc>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Assumptions</w:t>
            </w:r>
          </w:p>
        </w:tc>
      </w:tr>
    </w:tbl>
    <w:p>
      <w:pPr>
        <w:spacing w:after="0" w:line="363" w:lineRule="exact"/>
        <w:rPr>
          <w:sz w:val="20"/>
          <w:szCs w:val="20"/>
          <w:color w:val="auto"/>
        </w:rPr>
      </w:pPr>
    </w:p>
    <w:p>
      <w:pPr>
        <w:sectPr>
          <w:pgSz w:w="11900" w:h="16838" w:orient="portrait"/>
          <w:cols w:equalWidth="0" w:num="2">
            <w:col w:w="3260" w:space="720"/>
            <w:col w:w="7400"/>
          </w:cols>
          <w:pgMar w:left="280" w:top="687" w:right="239" w:bottom="1440" w:gutter="0" w:footer="0" w:header="0"/>
        </w:sectPr>
      </w:pPr>
    </w:p>
    <w:p>
      <w:pPr>
        <w:ind w:right="20"/>
        <w:spacing w:after="0" w:line="236" w:lineRule="auto"/>
        <w:rPr>
          <w:sz w:val="20"/>
          <w:szCs w:val="20"/>
          <w:color w:val="auto"/>
        </w:rPr>
      </w:pPr>
      <w:r>
        <w:rPr>
          <w:rFonts w:ascii="Arial" w:cs="Arial" w:eastAsia="Arial" w:hAnsi="Arial"/>
          <w:sz w:val="16"/>
          <w:szCs w:val="16"/>
          <w:color w:val="auto"/>
        </w:rPr>
        <w:t>We earn revenue under various types of service contracts. In all forms of service we provide, revenue is recognized when persuasive evidence of an arrangement exists, services have been rendered, the fee is fixed or determinable, and collectability is reasonably assured. The various types of service contracts are described below.</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Monthly Fixed-Price</w:t>
      </w:r>
    </w:p>
    <w:p>
      <w:pPr>
        <w:spacing w:after="0" w:line="10"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These arrangements are contracts in which the client agrees to pay a fixed fee every month over a specified contract term. A variation of a fixed-price arrangement is a square-foot arrangement, under which monthly billings are based on the actual square footage serviced.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Transaction-Price</w:t>
      </w:r>
    </w:p>
    <w:p>
      <w:pPr>
        <w:spacing w:after="0" w:line="10" w:lineRule="exact"/>
        <w:rPr>
          <w:sz w:val="20"/>
          <w:szCs w:val="20"/>
          <w:color w:val="auto"/>
        </w:rPr>
      </w:pPr>
    </w:p>
    <w:p>
      <w:pPr>
        <w:ind w:right="120"/>
        <w:spacing w:after="0" w:line="234" w:lineRule="auto"/>
        <w:rPr>
          <w:sz w:val="20"/>
          <w:szCs w:val="20"/>
          <w:color w:val="auto"/>
        </w:rPr>
      </w:pPr>
      <w:r>
        <w:rPr>
          <w:rFonts w:ascii="Arial" w:cs="Arial" w:eastAsia="Arial" w:hAnsi="Arial"/>
          <w:sz w:val="16"/>
          <w:szCs w:val="16"/>
          <w:color w:val="auto"/>
        </w:rPr>
        <w:t>These arrangements are agreements in which the clients are billed for each transaction performed on a monthly basis (e.g., wheelchair passengers served, aircrafts cleaned).</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Hourly</w:t>
      </w:r>
    </w:p>
    <w:p>
      <w:pPr>
        <w:spacing w:after="0" w:line="10" w:lineRule="exact"/>
        <w:rPr>
          <w:sz w:val="20"/>
          <w:szCs w:val="20"/>
          <w:color w:val="auto"/>
        </w:rPr>
      </w:pPr>
    </w:p>
    <w:p>
      <w:pPr>
        <w:ind w:right="40"/>
        <w:spacing w:after="0" w:line="273" w:lineRule="auto"/>
        <w:rPr>
          <w:sz w:val="20"/>
          <w:szCs w:val="20"/>
          <w:color w:val="auto"/>
        </w:rPr>
      </w:pPr>
      <w:r>
        <w:rPr>
          <w:rFonts w:ascii="Arial" w:cs="Arial" w:eastAsia="Arial" w:hAnsi="Arial"/>
          <w:sz w:val="15"/>
          <w:szCs w:val="15"/>
          <w:color w:val="auto"/>
        </w:rPr>
        <w:t>These arrangements are contracts in which the client is billed a set hourly rate for each labor hour provided.</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Cost-Plus</w:t>
      </w:r>
    </w:p>
    <w:p>
      <w:pPr>
        <w:spacing w:after="0" w:line="10" w:lineRule="exact"/>
        <w:rPr>
          <w:sz w:val="20"/>
          <w:szCs w:val="20"/>
          <w:color w:val="auto"/>
        </w:rPr>
      </w:pPr>
    </w:p>
    <w:p>
      <w:pPr>
        <w:ind w:right="20"/>
        <w:spacing w:after="0" w:line="233" w:lineRule="auto"/>
        <w:rPr>
          <w:sz w:val="20"/>
          <w:szCs w:val="20"/>
          <w:color w:val="auto"/>
        </w:rPr>
      </w:pPr>
      <w:r>
        <w:rPr>
          <w:rFonts w:ascii="Arial" w:cs="Arial" w:eastAsia="Arial" w:hAnsi="Arial"/>
          <w:sz w:val="16"/>
          <w:szCs w:val="16"/>
          <w:color w:val="auto"/>
        </w:rPr>
        <w:t>These arrangements are contracts in which the clients reimburse us for the agreed-upon amount of wages and benefits, payroll taxes, insurance charges, and other expenses associated with the contracted work, plus a profit margin.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Tag Services</w:t>
      </w:r>
    </w:p>
    <w:p>
      <w:pPr>
        <w:spacing w:after="0" w:line="10"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Tag work generally consists of supplemental services requested by clients outside of the standard service specification. Examples are cleanup after tenant moves, construction cleanup, flood cleanup, and snow removal.</w:t>
      </w:r>
    </w:p>
    <w:p>
      <w:pPr>
        <w:spacing w:after="0" w:line="137"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b w:val="1"/>
          <w:bCs w:val="1"/>
          <w:i w:val="1"/>
          <w:iCs w:val="1"/>
          <w:color w:val="auto"/>
        </w:rPr>
        <w:t xml:space="preserve">ESPC and Fixed-Price Repair and Refurbishment </w:t>
      </w:r>
      <w:r>
        <w:rPr>
          <w:rFonts w:ascii="Arial" w:cs="Arial" w:eastAsia="Arial" w:hAnsi="Arial"/>
          <w:sz w:val="16"/>
          <w:szCs w:val="16"/>
          <w:color w:val="auto"/>
        </w:rPr>
        <w:t>We recognize revenue under these arrangements using the percentage-of-completion method of</w:t>
      </w:r>
    </w:p>
    <w:p>
      <w:pPr>
        <w:spacing w:after="0" w:line="1"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accounting, most often based on the cost-to-cost method. Under the percentage-of-completion method, revenues are recognized as the work progresses. The percentage of work completed is determined principally by comparing the actual costs incurred to date with the current estimate of total costs to complete. Estimated losses are recorded when identified.</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For our service contracts, the determination of the sales allowance contains uncertainties because it requires our management to make assumptions and apply judgment about the amount and timing of unknown billing errors and disputes.</w:t>
      </w:r>
    </w:p>
    <w:p>
      <w:pPr>
        <w:spacing w:after="0" w:line="149" w:lineRule="exact"/>
        <w:rPr>
          <w:sz w:val="20"/>
          <w:szCs w:val="20"/>
          <w:color w:val="auto"/>
        </w:rPr>
      </w:pPr>
    </w:p>
    <w:p>
      <w:pPr>
        <w:ind w:right="440"/>
        <w:spacing w:after="0" w:line="250" w:lineRule="auto"/>
        <w:rPr>
          <w:sz w:val="20"/>
          <w:szCs w:val="20"/>
          <w:color w:val="auto"/>
        </w:rPr>
      </w:pPr>
      <w:r>
        <w:rPr>
          <w:rFonts w:ascii="Arial" w:cs="Arial" w:eastAsia="Arial" w:hAnsi="Arial"/>
          <w:sz w:val="16"/>
          <w:szCs w:val="16"/>
          <w:color w:val="auto"/>
        </w:rPr>
        <w:t>For certain ESPC and fixed-price repair and refurbishment arrangements for which we recognize revenue under the percentage-of-completion method, recognition of profit is dependent upon the accuracy of a variety of estimates, including:</w:t>
      </w:r>
    </w:p>
    <w:p>
      <w:pPr>
        <w:spacing w:after="0" w:line="5" w:lineRule="exact"/>
        <w:rPr>
          <w:sz w:val="20"/>
          <w:szCs w:val="20"/>
          <w:color w:val="auto"/>
        </w:rPr>
      </w:pPr>
    </w:p>
    <w:p>
      <w:pPr>
        <w:ind w:left="240" w:hanging="234"/>
        <w:spacing w:after="0"/>
        <w:tabs>
          <w:tab w:leader="none" w:pos="2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engineering progress;</w:t>
      </w:r>
    </w:p>
    <w:p>
      <w:pPr>
        <w:spacing w:after="0" w:line="5" w:lineRule="exact"/>
        <w:rPr>
          <w:rFonts w:ascii="Arial" w:cs="Arial" w:eastAsia="Arial" w:hAnsi="Arial"/>
          <w:sz w:val="16"/>
          <w:szCs w:val="16"/>
          <w:color w:val="auto"/>
        </w:rPr>
      </w:pPr>
    </w:p>
    <w:p>
      <w:pPr>
        <w:ind w:left="240" w:hanging="234"/>
        <w:spacing w:after="0"/>
        <w:tabs>
          <w:tab w:leader="none" w:pos="2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achievement of milestones;</w:t>
      </w:r>
    </w:p>
    <w:p>
      <w:pPr>
        <w:spacing w:after="0" w:line="5" w:lineRule="exact"/>
        <w:rPr>
          <w:rFonts w:ascii="Arial" w:cs="Arial" w:eastAsia="Arial" w:hAnsi="Arial"/>
          <w:sz w:val="16"/>
          <w:szCs w:val="16"/>
          <w:color w:val="auto"/>
        </w:rPr>
      </w:pPr>
    </w:p>
    <w:p>
      <w:pPr>
        <w:ind w:left="240" w:hanging="234"/>
        <w:spacing w:after="0"/>
        <w:tabs>
          <w:tab w:leader="none" w:pos="2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incentives;</w:t>
      </w:r>
    </w:p>
    <w:p>
      <w:pPr>
        <w:spacing w:after="0" w:line="5" w:lineRule="exact"/>
        <w:rPr>
          <w:rFonts w:ascii="Arial" w:cs="Arial" w:eastAsia="Arial" w:hAnsi="Arial"/>
          <w:sz w:val="16"/>
          <w:szCs w:val="16"/>
          <w:color w:val="auto"/>
        </w:rPr>
      </w:pPr>
    </w:p>
    <w:p>
      <w:pPr>
        <w:ind w:left="240" w:hanging="234"/>
        <w:spacing w:after="0"/>
        <w:tabs>
          <w:tab w:leader="none" w:pos="2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labor productivity; and</w:t>
      </w:r>
    </w:p>
    <w:p>
      <w:pPr>
        <w:spacing w:after="0" w:line="5" w:lineRule="exact"/>
        <w:rPr>
          <w:rFonts w:ascii="Arial" w:cs="Arial" w:eastAsia="Arial" w:hAnsi="Arial"/>
          <w:sz w:val="16"/>
          <w:szCs w:val="16"/>
          <w:color w:val="auto"/>
        </w:rPr>
      </w:pPr>
    </w:p>
    <w:p>
      <w:pPr>
        <w:ind w:left="240" w:hanging="234"/>
        <w:spacing w:after="0"/>
        <w:tabs>
          <w:tab w:leader="none" w:pos="2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cost estimates.</w:t>
      </w:r>
    </w:p>
    <w:p>
      <w:pPr>
        <w:spacing w:after="0" w:line="174"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Such estimates are based on various professional judgments made with respect to those factors and are subject to change as each project proceeds and new information becomes available.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We have not made any changes in the accounting methodology used to record our sales allowance or to recognize revenue under the percentage-of-completion method during the past three years.</w:t>
      </w:r>
    </w:p>
    <w:p>
      <w:pPr>
        <w:spacing w:after="0" w:line="14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For contracts where the percentage-of-completion method is used to recognize revenue, if actual cost estimates differ from our assumptions, the amount of revenue and the related gross profit recognized will also fluctuate. As the ESPC and fixed-price repair and refurbishment revenue represents a small portion of our total revenue, any revisions to our estimated costs would not have a significant impact on our revenue or operating profit.</w:t>
      </w:r>
    </w:p>
    <w:p>
      <w:pPr>
        <w:spacing w:after="0" w:line="156" w:lineRule="exact"/>
        <w:rPr>
          <w:sz w:val="20"/>
          <w:szCs w:val="20"/>
          <w:color w:val="auto"/>
        </w:rPr>
      </w:pPr>
    </w:p>
    <w:p>
      <w:pPr>
        <w:jc w:val="both"/>
        <w:ind w:right="60"/>
        <w:spacing w:after="0" w:line="269" w:lineRule="auto"/>
        <w:rPr>
          <w:sz w:val="20"/>
          <w:szCs w:val="20"/>
          <w:color w:val="auto"/>
        </w:rPr>
      </w:pPr>
      <w:r>
        <w:rPr>
          <w:rFonts w:ascii="Arial" w:cs="Arial" w:eastAsia="Arial" w:hAnsi="Arial"/>
          <w:sz w:val="16"/>
          <w:szCs w:val="16"/>
          <w:color w:val="auto"/>
        </w:rPr>
        <w:t>A 10% change in our sales allowance would have affected net income by approximately $0.2 million for 2016.</w:t>
      </w:r>
    </w:p>
    <w:p>
      <w:pPr>
        <w:spacing w:after="0" w:line="5639" w:lineRule="exact"/>
        <w:rPr>
          <w:sz w:val="20"/>
          <w:szCs w:val="20"/>
          <w:color w:val="auto"/>
        </w:rPr>
      </w:pPr>
    </w:p>
    <w:p>
      <w:pPr>
        <w:sectPr>
          <w:pgSz w:w="11900" w:h="16838" w:orient="portrait"/>
          <w:cols w:equalWidth="0" w:num="3">
            <w:col w:w="3800" w:space="200"/>
            <w:col w:w="3600" w:space="160"/>
            <w:col w:w="3620"/>
          </w:cols>
          <w:pgMar w:left="280" w:top="687" w:right="239" w:bottom="1440" w:gutter="0" w:footer="0" w:header="0"/>
          <w:type w:val="continuous"/>
        </w:sectPr>
      </w:pP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380"/>
          </w:cols>
          <w:pgMar w:left="280" w:top="687" w:right="23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189"/>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tcPr>
          <w:p>
            <w:pPr>
              <w:ind w:left="20"/>
              <w:spacing w:after="0"/>
              <w:rPr>
                <w:sz w:val="20"/>
                <w:szCs w:val="20"/>
                <w:color w:val="auto"/>
              </w:rPr>
            </w:pPr>
            <w:r>
              <w:rPr>
                <w:rFonts w:ascii="Arial" w:cs="Arial" w:eastAsia="Arial" w:hAnsi="Arial"/>
                <w:sz w:val="16"/>
                <w:szCs w:val="16"/>
                <w:b w:val="1"/>
                <w:bCs w:val="1"/>
                <w:color w:val="auto"/>
              </w:rPr>
              <w:t>Effect if Actual Results Differ from</w:t>
            </w:r>
          </w:p>
        </w:tc>
      </w:tr>
      <w:tr>
        <w:trPr>
          <w:trHeight w:val="23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Description</w:t>
            </w:r>
          </w:p>
        </w:tc>
        <w:tc>
          <w:tcPr>
            <w:tcW w:w="120" w:type="dxa"/>
            <w:vAlign w:val="bottom"/>
          </w:tcPr>
          <w:p>
            <w:pPr>
              <w:spacing w:after="0"/>
              <w:rPr>
                <w:sz w:val="20"/>
                <w:szCs w:val="20"/>
                <w:color w:val="auto"/>
              </w:rPr>
            </w:pPr>
          </w:p>
        </w:tc>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Judgments and Uncertainties</w:t>
            </w:r>
          </w:p>
        </w:tc>
        <w:tc>
          <w:tcPr>
            <w:tcW w:w="120" w:type="dxa"/>
            <w:vAlign w:val="bottom"/>
          </w:tcPr>
          <w:p>
            <w:pPr>
              <w:spacing w:after="0"/>
              <w:rPr>
                <w:sz w:val="20"/>
                <w:szCs w:val="20"/>
                <w:color w:val="auto"/>
              </w:rPr>
            </w:pPr>
          </w:p>
        </w:tc>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Assumptions</w:t>
            </w:r>
          </w:p>
        </w:tc>
      </w:tr>
      <w:tr>
        <w:trPr>
          <w:trHeight w:val="233"/>
        </w:trPr>
        <w:tc>
          <w:tcPr>
            <w:tcW w:w="4020" w:type="dxa"/>
            <w:vAlign w:val="bottom"/>
            <w:gridSpan w:val="2"/>
          </w:tcPr>
          <w:p>
            <w:pPr>
              <w:ind w:left="40"/>
              <w:spacing w:after="0"/>
              <w:rPr>
                <w:sz w:val="20"/>
                <w:szCs w:val="20"/>
                <w:color w:val="auto"/>
              </w:rPr>
            </w:pPr>
            <w:r>
              <w:rPr>
                <w:rFonts w:ascii="Arial" w:cs="Arial" w:eastAsia="Arial" w:hAnsi="Arial"/>
                <w:sz w:val="16"/>
                <w:szCs w:val="16"/>
                <w:b w:val="1"/>
                <w:bCs w:val="1"/>
                <w:color w:val="auto"/>
              </w:rPr>
              <w:t>Revenue Recognition (continued)</w:t>
            </w: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40" w:type="dxa"/>
            <w:vAlign w:val="bottom"/>
          </w:tcPr>
          <w:p>
            <w:pPr>
              <w:spacing w:after="0"/>
              <w:rPr>
                <w:sz w:val="20"/>
                <w:szCs w:val="20"/>
                <w:color w:val="auto"/>
              </w:rPr>
            </w:pPr>
          </w:p>
        </w:tc>
      </w:tr>
    </w:tbl>
    <w:p>
      <w:pPr>
        <w:spacing w:after="0" w:line="15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Franchise Revenue</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 franchise certain engineering services under the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Linc Service and TEGG brands through individual</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and area franchises.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Initial franchise fees are recognized when we have</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performed substantially all initial services required by</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franchise agreement.</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6"/>
          <w:szCs w:val="16"/>
          <w:color w:val="auto"/>
        </w:rPr>
        <w:t>Royalties are recognized in income as underlying</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franchisee sales occur.</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franchise fees charged to franchisees on a flat</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rate are recognized as earned.</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Parking Reimbursement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Under parking reimbursement arrangements, we</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manage the parking facility for a management fee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and pass through the revenue and expenses</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associated with the facility to the owner. These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revenues and expenses are reported in equal</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amounts for costs reimbursed from our managed</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locations.</w:t>
      </w:r>
    </w:p>
    <w:p>
      <w:pPr>
        <w:spacing w:after="0" w:line="25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Sales Allowance</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 connection with our service contracts, we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periodically issue credit memos to our clients that are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recorded as a reduction in revenues and an increase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 the allowance for billing adjustments. These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credits can result from client vacancy discounts, job</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cancellations, property damage, and other items. We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estimate our potential future losses on these client</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receivables based on an analysis of the historical</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rate of sales adjustments (credit memos, net of re-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bills) and known or expected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687" w:right="239" w:bottom="1440" w:gutter="0" w:footer="0" w:header="0"/>
        </w:sectPr>
      </w:pPr>
    </w:p>
    <w:bookmarkStart w:id="49" w:name="page50"/>
    <w:bookmarkEnd w:id="49"/>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33020</wp:posOffset>
            </wp:positionV>
            <wp:extent cx="24701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tcPr>
          <w:p>
            <w:pPr>
              <w:ind w:left="20"/>
              <w:spacing w:after="0"/>
              <w:rPr>
                <w:sz w:val="20"/>
                <w:szCs w:val="20"/>
                <w:color w:val="auto"/>
              </w:rPr>
            </w:pPr>
            <w:r>
              <w:rPr>
                <w:rFonts w:ascii="Arial" w:cs="Arial" w:eastAsia="Arial" w:hAnsi="Arial"/>
                <w:sz w:val="16"/>
                <w:szCs w:val="16"/>
                <w:b w:val="1"/>
                <w:bCs w:val="1"/>
                <w:color w:val="auto"/>
              </w:rPr>
              <w:t>Effect if Actual Results Differ from</w:t>
            </w:r>
          </w:p>
        </w:tc>
      </w:tr>
      <w:tr>
        <w:trPr>
          <w:trHeight w:val="232"/>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Judgments and Uncertainties</w:t>
            </w:r>
          </w:p>
        </w:tc>
        <w:tc>
          <w:tcPr>
            <w:tcW w:w="120" w:type="dxa"/>
            <w:vAlign w:val="bottom"/>
          </w:tcPr>
          <w:p>
            <w:pPr>
              <w:spacing w:after="0"/>
              <w:rPr>
                <w:sz w:val="20"/>
                <w:szCs w:val="20"/>
                <w:color w:val="auto"/>
              </w:rPr>
            </w:pPr>
          </w:p>
        </w:tc>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Assumptions</w:t>
            </w:r>
          </w:p>
        </w:tc>
      </w:tr>
    </w:tbl>
    <w:p>
      <w:pPr>
        <w:spacing w:after="0" w:line="386" w:lineRule="exact"/>
        <w:rPr>
          <w:sz w:val="20"/>
          <w:szCs w:val="20"/>
          <w:color w:val="auto"/>
        </w:rPr>
      </w:pPr>
    </w:p>
    <w:p>
      <w:pPr>
        <w:sectPr>
          <w:pgSz w:w="11900" w:h="16838" w:orient="portrait"/>
          <w:cols w:equalWidth="0" w:num="2">
            <w:col w:w="3260" w:space="720"/>
            <w:col w:w="7400"/>
          </w:cols>
          <w:pgMar w:left="280" w:top="687" w:right="239" w:bottom="1440" w:gutter="0" w:footer="0" w:header="0"/>
        </w:sectPr>
      </w:pPr>
    </w:p>
    <w:p>
      <w:pPr>
        <w:spacing w:after="0" w:line="251" w:lineRule="auto"/>
        <w:rPr>
          <w:sz w:val="20"/>
          <w:szCs w:val="20"/>
          <w:color w:val="auto"/>
        </w:rPr>
      </w:pPr>
      <w:r>
        <w:rPr>
          <w:rFonts w:ascii="Arial" w:cs="Arial" w:eastAsia="Arial" w:hAnsi="Arial"/>
          <w:sz w:val="16"/>
          <w:szCs w:val="16"/>
          <w:color w:val="auto"/>
        </w:rPr>
        <w:t>Our provision for income taxes is estimated for the tax jurisdictions where we operate. This process involves estimating actual current tax exposure together with assessing temporary differences between financial reporting and tax reporting. These differences result in deferred tax assets and liabilities, which are reduced by a valuation allowance when, in the opinion of our management, it is more likely than not that all or a portion of the deferred tax assets will not be realized.</w:t>
      </w:r>
    </w:p>
    <w:p>
      <w:pPr>
        <w:spacing w:after="0" w:line="156"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All or a portion of the benefit of income tax positions is recognized only when we have made a determination that it is more likely than not that the tax position will be sustained upon examination, based upon the technical merits of the position and other factors. For tax positions that are determined as more likely than not to be sustained upon examination, the tax benefit recognized is the largest amount of benefit that is greater than 50% likely of being realized upon ultimate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wp:posOffset>
            </wp:positionV>
            <wp:extent cx="24701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Contingencies and Litigation</w:t>
      </w:r>
    </w:p>
    <w:p>
      <w:pPr>
        <w:spacing w:after="0" w:line="196"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w:t>
      </w:r>
    </w:p>
    <w:p>
      <w:pPr>
        <w:spacing w:after="0" w:line="150"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We accrue for loss contingencies when losses become probable and are reasonably estimable. If the reasonable estimate of the loss is a range and no amount within the range is a better estimate, the minimum amount of the range is recorded as a liability.</w:t>
      </w:r>
    </w:p>
    <w:p>
      <w:pPr>
        <w:spacing w:after="0" w:line="151"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We do not accrue for contingent losses that, in our judgment, are considered to be reasonably possible but not probable.</w:t>
      </w:r>
    </w:p>
    <w:p>
      <w:pPr>
        <w:spacing w:after="0" w:line="20" w:lineRule="exact"/>
        <w:rPr>
          <w:sz w:val="20"/>
          <w:szCs w:val="20"/>
          <w:color w:val="auto"/>
        </w:rPr>
      </w:pPr>
      <w:r>
        <w:rPr>
          <w:sz w:val="20"/>
          <w:szCs w:val="20"/>
          <w:color w:val="auto"/>
        </w:rPr>
        <w:br w:type="column"/>
      </w:r>
    </w:p>
    <w:p>
      <w:pPr>
        <w:spacing w:after="0" w:line="249" w:lineRule="auto"/>
        <w:rPr>
          <w:sz w:val="20"/>
          <w:szCs w:val="20"/>
          <w:color w:val="auto"/>
        </w:rPr>
      </w:pPr>
      <w:r>
        <w:rPr>
          <w:rFonts w:ascii="Arial" w:cs="Arial" w:eastAsia="Arial" w:hAnsi="Arial"/>
          <w:sz w:val="16"/>
          <w:szCs w:val="16"/>
          <w:color w:val="auto"/>
        </w:rPr>
        <w:t>Significant judgment is required in evaluating our tax positions and determining our provision for income taxes. During the ordinary course of business, there are many transactions and calculations for which the ultimate tax determination is uncertain. For example, our effective tax rates could be adversely affected by earnings being lower than anticipated in jurisdictions where we have lower statutory rates and higher than anticipated in jurisdictions where we have higher statutory rates, by changes in the valuation of our deferred tax assets and liabilities, or by changes in the relevant tax, accounting, and other laws, regulations, principles, and interpretations.</w:t>
      </w:r>
    </w:p>
    <w:p>
      <w:pPr>
        <w:spacing w:after="0" w:line="162"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Unrecognized tax benefits require significant management judgment regarding applicable statutes and their related interpretation as they apply to our particular facts and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120650</wp:posOffset>
            </wp:positionV>
            <wp:extent cx="23152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Litigation outcomes are difficult to predict and are often resolved over long periods of time.</w:t>
      </w:r>
    </w:p>
    <w:p>
      <w:pPr>
        <w:spacing w:after="0" w:line="121"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Estimating probable and reasonably possible losses requires the analysis of multiple possible outcomes that often depend on judgments about potential actions by third parties, such as future changes in facts and circumstances, differing interpretations of the law, assessments of the amount of damages, and other factors beyond our control. There is the potential for a material adverse effect on our financial statements if one or more matters are resolved in a particular period in an amount materially in excess of what we anticipated.</w:t>
      </w:r>
    </w:p>
    <w:p>
      <w:pPr>
        <w:spacing w:after="0" w:line="15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In addition, 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3810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20"/>
        <w:spacing w:after="0" w:line="254" w:lineRule="auto"/>
        <w:rPr>
          <w:sz w:val="20"/>
          <w:szCs w:val="20"/>
          <w:color w:val="auto"/>
        </w:rPr>
      </w:pPr>
      <w:r>
        <w:rPr>
          <w:rFonts w:ascii="Arial" w:cs="Arial" w:eastAsia="Arial" w:hAnsi="Arial"/>
          <w:sz w:val="16"/>
          <w:szCs w:val="16"/>
          <w:color w:val="auto"/>
        </w:rPr>
        <w:t>Although we believe that our income tax related judgments and estimates are reasonable, it is possible that our actual results could be different than what we expected, and we may be exposed to a material change in our total income tax expense, tax-related balances, or valuation allowances.</w:t>
      </w:r>
    </w:p>
    <w:p>
      <w:pPr>
        <w:spacing w:after="0" w:line="150"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Upon income tax audit, any unfavorable tax settlement may require use of our cash and result in an increase in our effective tax rate in the period of settlement. A favorable tax settlement could be recognized as a reduction in our effective tax rate in the period of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844550</wp:posOffset>
            </wp:positionV>
            <wp:extent cx="23152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We have not made any changes in the accounting methodology used to establish our loss contingencies during the past three years.</w:t>
      </w:r>
    </w:p>
    <w:p>
      <w:pPr>
        <w:spacing w:after="0" w:line="138"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Our management currently estimates the range of loss for all reasonably possible losses for which a reasonable estimate of the loss can be made is between zero and $7 million. Factors underlying this estimated range of loss may change from time to time, and actual results may vary significantly from this estimate.</w:t>
      </w:r>
    </w:p>
    <w:p>
      <w:pPr>
        <w:spacing w:after="0" w:line="2657" w:lineRule="exact"/>
        <w:rPr>
          <w:sz w:val="20"/>
          <w:szCs w:val="20"/>
          <w:color w:val="auto"/>
        </w:rPr>
      </w:pPr>
    </w:p>
    <w:p>
      <w:pPr>
        <w:sectPr>
          <w:pgSz w:w="11900" w:h="16838" w:orient="portrait"/>
          <w:cols w:equalWidth="0" w:num="3">
            <w:col w:w="3820" w:space="180"/>
            <w:col w:w="3580" w:space="180"/>
            <w:col w:w="3620"/>
          </w:cols>
          <w:pgMar w:left="280" w:top="687" w:right="239" w:bottom="1440" w:gutter="0" w:footer="0" w:header="0"/>
          <w:type w:val="continuous"/>
        </w:sectPr>
      </w:pPr>
    </w:p>
    <w:p>
      <w:pPr>
        <w:spacing w:after="0" w:line="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380"/>
          </w:cols>
          <w:pgMar w:left="280" w:top="687" w:right="2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7"/>
          <w:szCs w:val="17"/>
          <w:b w:val="1"/>
          <w:bCs w:val="1"/>
          <w:color w:val="auto"/>
        </w:rPr>
        <w:t>Recent Accounting Pronouncements</w:t>
      </w:r>
    </w:p>
    <w:p>
      <w:pPr>
        <w:sectPr>
          <w:pgSz w:w="11900" w:h="16838" w:orient="portrait"/>
          <w:cols w:equalWidth="0" w:num="1">
            <w:col w:w="11280"/>
          </w:cols>
          <w:pgMar w:left="240" w:top="358" w:right="37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Accounting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8097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41" w:lineRule="exact"/>
        <w:rPr>
          <w:sz w:val="20"/>
          <w:szCs w:val="20"/>
          <w:color w:val="auto"/>
        </w:rPr>
      </w:pPr>
    </w:p>
    <w:p>
      <w:pPr>
        <w:ind w:left="40" w:right="140"/>
        <w:spacing w:after="0" w:line="238" w:lineRule="auto"/>
        <w:rPr>
          <w:sz w:val="20"/>
          <w:szCs w:val="20"/>
          <w:color w:val="auto"/>
        </w:rPr>
      </w:pPr>
      <w:r>
        <w:rPr>
          <w:rFonts w:ascii="Arial" w:cs="Arial" w:eastAsia="Arial" w:hAnsi="Arial"/>
          <w:sz w:val="16"/>
          <w:szCs w:val="16"/>
          <w:color w:val="auto"/>
        </w:rPr>
        <w:t xml:space="preserve">In November 2016, the Financial Accounting Standards Board (“FASB”) issued ASU 2016-18, </w:t>
      </w:r>
      <w:r>
        <w:rPr>
          <w:rFonts w:ascii="Arial" w:cs="Arial" w:eastAsia="Arial" w:hAnsi="Arial"/>
          <w:sz w:val="16"/>
          <w:szCs w:val="16"/>
          <w:i w:val="1"/>
          <w:iCs w:val="1"/>
          <w:color w:val="auto"/>
        </w:rPr>
        <w:t>Statement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Cash Flows (Topic 230):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18097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3" w:lineRule="exact"/>
        <w:rPr>
          <w:sz w:val="20"/>
          <w:szCs w:val="20"/>
          <w:color w:val="auto"/>
        </w:rPr>
      </w:pPr>
    </w:p>
    <w:p>
      <w:pPr>
        <w:ind w:left="40" w:right="60"/>
        <w:spacing w:after="0" w:line="241" w:lineRule="auto"/>
        <w:rPr>
          <w:sz w:val="20"/>
          <w:szCs w:val="20"/>
          <w:color w:val="auto"/>
        </w:rPr>
      </w:pPr>
      <w:r>
        <w:rPr>
          <w:rFonts w:ascii="Arial" w:cs="Arial" w:eastAsia="Arial" w:hAnsi="Arial"/>
          <w:sz w:val="16"/>
          <w:szCs w:val="16"/>
          <w:color w:val="auto"/>
        </w:rPr>
        <w:t xml:space="preserve">In October 2016, the FASB issued ASU 2016-16, </w:t>
      </w:r>
      <w:r>
        <w:rPr>
          <w:rFonts w:ascii="Arial" w:cs="Arial" w:eastAsia="Arial" w:hAnsi="Arial"/>
          <w:sz w:val="16"/>
          <w:szCs w:val="16"/>
          <w:i w:val="1"/>
          <w:iCs w:val="1"/>
          <w:color w:val="auto"/>
        </w:rPr>
        <w:t>Income Taxes (Topic 740):</w:t>
      </w:r>
      <w:r>
        <w:rPr>
          <w:rFonts w:ascii="Arial" w:cs="Arial" w:eastAsia="Arial" w:hAnsi="Arial"/>
          <w:sz w:val="16"/>
          <w:szCs w:val="16"/>
          <w:color w:val="auto"/>
        </w:rPr>
        <w:t xml:space="preserve"> </w:t>
      </w:r>
      <w:r>
        <w:rPr>
          <w:rFonts w:ascii="Arial" w:cs="Arial" w:eastAsia="Arial" w:hAnsi="Arial"/>
          <w:sz w:val="16"/>
          <w:szCs w:val="16"/>
          <w:i w:val="1"/>
          <w:iCs w:val="1"/>
          <w:color w:val="auto"/>
        </w:rPr>
        <w:t>Intra-Entity Transfers of Assets Other than Inventory</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18097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right="120"/>
        <w:spacing w:after="0" w:line="262" w:lineRule="auto"/>
        <w:rPr>
          <w:sz w:val="20"/>
          <w:szCs w:val="20"/>
          <w:color w:val="auto"/>
        </w:rPr>
      </w:pPr>
      <w:r>
        <w:rPr>
          <w:rFonts w:ascii="Arial" w:cs="Arial" w:eastAsia="Arial" w:hAnsi="Arial"/>
          <w:sz w:val="15"/>
          <w:szCs w:val="15"/>
          <w:color w:val="auto"/>
        </w:rPr>
        <w:t xml:space="preserve">In August 2016, the FASB issued ASU 2016-15, </w:t>
      </w:r>
      <w:r>
        <w:rPr>
          <w:rFonts w:ascii="Arial" w:cs="Arial" w:eastAsia="Arial" w:hAnsi="Arial"/>
          <w:sz w:val="15"/>
          <w:szCs w:val="15"/>
          <w:i w:val="1"/>
          <w:iCs w:val="1"/>
          <w:color w:val="auto"/>
        </w:rPr>
        <w:t>Statement of Cash Flows</w:t>
      </w:r>
      <w:r>
        <w:rPr>
          <w:rFonts w:ascii="Arial" w:cs="Arial" w:eastAsia="Arial" w:hAnsi="Arial"/>
          <w:sz w:val="15"/>
          <w:szCs w:val="15"/>
          <w:color w:val="auto"/>
        </w:rPr>
        <w:t xml:space="preserve"> </w:t>
      </w:r>
      <w:r>
        <w:rPr>
          <w:rFonts w:ascii="Arial" w:cs="Arial" w:eastAsia="Arial" w:hAnsi="Arial"/>
          <w:sz w:val="15"/>
          <w:szCs w:val="15"/>
          <w:i w:val="1"/>
          <w:iCs w:val="1"/>
          <w:color w:val="auto"/>
        </w:rPr>
        <w:t>(Topic 230): Classification of Certain Cash Receipts and Cash Payments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18097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40" w:right="60"/>
        <w:spacing w:after="0" w:line="262" w:lineRule="auto"/>
        <w:rPr>
          <w:sz w:val="20"/>
          <w:szCs w:val="20"/>
          <w:color w:val="auto"/>
        </w:rPr>
      </w:pPr>
      <w:r>
        <w:rPr>
          <w:rFonts w:ascii="Arial" w:cs="Arial" w:eastAsia="Arial" w:hAnsi="Arial"/>
          <w:sz w:val="15"/>
          <w:szCs w:val="15"/>
          <w:color w:val="auto"/>
        </w:rPr>
        <w:t xml:space="preserve">In June 2016, the FASB issued ASU 2016-13, </w:t>
      </w:r>
      <w:r>
        <w:rPr>
          <w:rFonts w:ascii="Arial" w:cs="Arial" w:eastAsia="Arial" w:hAnsi="Arial"/>
          <w:sz w:val="15"/>
          <w:szCs w:val="15"/>
          <w:i w:val="1"/>
          <w:iCs w:val="1"/>
          <w:color w:val="auto"/>
        </w:rPr>
        <w:t>Financial Instruments—Credit</w:t>
      </w:r>
      <w:r>
        <w:rPr>
          <w:rFonts w:ascii="Arial" w:cs="Arial" w:eastAsia="Arial" w:hAnsi="Arial"/>
          <w:sz w:val="15"/>
          <w:szCs w:val="15"/>
          <w:color w:val="auto"/>
        </w:rPr>
        <w:t xml:space="preserve"> </w:t>
      </w:r>
      <w:r>
        <w:rPr>
          <w:rFonts w:ascii="Arial" w:cs="Arial" w:eastAsia="Arial" w:hAnsi="Arial"/>
          <w:sz w:val="15"/>
          <w:szCs w:val="15"/>
          <w:i w:val="1"/>
          <w:iCs w:val="1"/>
          <w:color w:val="auto"/>
        </w:rPr>
        <w:t>Losses (Topic 326): Measurement of Credit Losses on Financial Statements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550545</wp:posOffset>
            </wp:positionV>
            <wp:extent cx="18097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line="232" w:lineRule="auto"/>
        <w:rPr>
          <w:sz w:val="20"/>
          <w:szCs w:val="20"/>
          <w:color w:val="auto"/>
        </w:rPr>
      </w:pPr>
      <w:r>
        <w:rPr>
          <w:rFonts w:ascii="Arial" w:cs="Arial" w:eastAsia="Arial" w:hAnsi="Arial"/>
          <w:sz w:val="16"/>
          <w:szCs w:val="16"/>
          <w:color w:val="auto"/>
        </w:rPr>
        <w:t>In March, April, and May of 2016, the FASB issued three ASUs to clarify certain aspects of ASU 2014-09</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Revenue from Contracts with Customers (Topic 606), </w:t>
      </w:r>
      <w:r>
        <w:rPr>
          <w:rFonts w:ascii="Arial" w:cs="Arial" w:eastAsia="Arial" w:hAnsi="Arial"/>
          <w:sz w:val="16"/>
          <w:szCs w:val="16"/>
          <w:color w:val="auto"/>
        </w:rPr>
        <w:t>which was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originally issued in May 2014: ASU 2016-08, </w:t>
      </w:r>
      <w:r>
        <w:rPr>
          <w:rFonts w:ascii="Arial" w:cs="Arial" w:eastAsia="Arial" w:hAnsi="Arial"/>
          <w:sz w:val="16"/>
          <w:szCs w:val="16"/>
          <w:i w:val="1"/>
          <w:iCs w:val="1"/>
          <w:color w:val="auto"/>
        </w:rPr>
        <w:t>Principal versus Agent</w:t>
      </w:r>
      <w:r>
        <w:rPr>
          <w:rFonts w:ascii="Arial" w:cs="Arial" w:eastAsia="Arial" w:hAnsi="Arial"/>
          <w:sz w:val="16"/>
          <w:szCs w:val="16"/>
          <w:color w:val="auto"/>
        </w:rPr>
        <w:t xml:space="preserve"> </w:t>
      </w:r>
      <w:r>
        <w:rPr>
          <w:rFonts w:ascii="Arial" w:cs="Arial" w:eastAsia="Arial" w:hAnsi="Arial"/>
          <w:sz w:val="16"/>
          <w:szCs w:val="16"/>
          <w:i w:val="1"/>
          <w:iCs w:val="1"/>
          <w:color w:val="auto"/>
        </w:rPr>
        <w:t>Considerations (Reporting Revenue Gross versus Net)</w:t>
      </w:r>
      <w:r>
        <w:rPr>
          <w:rFonts w:ascii="Arial" w:cs="Arial" w:eastAsia="Arial" w:hAnsi="Arial"/>
          <w:sz w:val="16"/>
          <w:szCs w:val="16"/>
          <w:color w:val="auto"/>
        </w:rPr>
        <w:t>; ASU 2016-10,</w:t>
      </w:r>
      <w:r>
        <w:rPr>
          <w:rFonts w:ascii="Arial" w:cs="Arial" w:eastAsia="Arial" w:hAnsi="Arial"/>
          <w:sz w:val="16"/>
          <w:szCs w:val="16"/>
          <w:i w:val="1"/>
          <w:iCs w:val="1"/>
          <w:color w:val="auto"/>
        </w:rPr>
        <w:t xml:space="preserve"> Identifying Performance Obligations and Licensing</w:t>
      </w:r>
      <w:r>
        <w:rPr>
          <w:rFonts w:ascii="Arial" w:cs="Arial" w:eastAsia="Arial" w:hAnsi="Arial"/>
          <w:sz w:val="16"/>
          <w:szCs w:val="16"/>
          <w:color w:val="auto"/>
        </w:rPr>
        <w:t>; and ASU 2016-12,</w:t>
      </w:r>
      <w:r>
        <w:rPr>
          <w:rFonts w:ascii="Arial" w:cs="Arial" w:eastAsia="Arial" w:hAnsi="Arial"/>
          <w:sz w:val="16"/>
          <w:szCs w:val="16"/>
          <w:i w:val="1"/>
          <w:iCs w:val="1"/>
          <w:color w:val="auto"/>
        </w:rPr>
        <w:t xml:space="preserve"> Narrow-Scope Improvements and Practical Expedients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18097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jc w:val="both"/>
        <w:ind w:left="40" w:right="340"/>
        <w:spacing w:after="0" w:line="298" w:lineRule="auto"/>
        <w:rPr>
          <w:sz w:val="20"/>
          <w:szCs w:val="20"/>
          <w:color w:val="auto"/>
        </w:rPr>
      </w:pPr>
      <w:r>
        <w:rPr>
          <w:rFonts w:ascii="Arial" w:cs="Arial" w:eastAsia="Arial" w:hAnsi="Arial"/>
          <w:sz w:val="15"/>
          <w:szCs w:val="15"/>
          <w:color w:val="auto"/>
        </w:rPr>
        <w:t xml:space="preserve">In February 2016, the FASB issued ASU 2016-02, </w:t>
      </w:r>
      <w:r>
        <w:rPr>
          <w:rFonts w:ascii="Arial" w:cs="Arial" w:eastAsia="Arial" w:hAnsi="Arial"/>
          <w:sz w:val="15"/>
          <w:szCs w:val="15"/>
          <w:i w:val="1"/>
          <w:iCs w:val="1"/>
          <w:color w:val="auto"/>
        </w:rPr>
        <w:t>Leases (Topic 842)</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21590</wp:posOffset>
            </wp:positionV>
            <wp:extent cx="1663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41"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This ASU provides guidance on the presentation of restricted cash or restricted cash equivalents in the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113665</wp:posOffset>
            </wp:positionV>
            <wp:extent cx="1663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86"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This ASU requires the tax effects of intercompany transactions, other than sales of inventory, to be recognized when the transfer occurs, instead of deferred until the transferred asset is sold to a third party or otherwise recovered through use of the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6350</wp:posOffset>
            </wp:positionV>
            <wp:extent cx="1663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7" w:lineRule="exact"/>
        <w:rPr>
          <w:sz w:val="20"/>
          <w:szCs w:val="20"/>
          <w:color w:val="auto"/>
        </w:rPr>
      </w:pPr>
    </w:p>
    <w:p>
      <w:pPr>
        <w:jc w:val="both"/>
        <w:ind w:right="180"/>
        <w:spacing w:after="0" w:line="238" w:lineRule="auto"/>
        <w:rPr>
          <w:sz w:val="20"/>
          <w:szCs w:val="20"/>
          <w:color w:val="auto"/>
        </w:rPr>
      </w:pPr>
      <w:r>
        <w:rPr>
          <w:rFonts w:ascii="Arial" w:cs="Arial" w:eastAsia="Arial" w:hAnsi="Arial"/>
          <w:sz w:val="16"/>
          <w:szCs w:val="16"/>
          <w:color w:val="auto"/>
        </w:rPr>
        <w:t>This ASU provides eight targeted changes to how cash receipts and cash payments are presented and classified in the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226695</wp:posOffset>
            </wp:positionV>
            <wp:extent cx="1663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364" w:lineRule="exact"/>
        <w:rPr>
          <w:sz w:val="20"/>
          <w:szCs w:val="20"/>
          <w:color w:val="auto"/>
        </w:rPr>
      </w:pPr>
    </w:p>
    <w:p>
      <w:pPr>
        <w:ind w:right="60"/>
        <w:spacing w:after="0" w:line="236" w:lineRule="auto"/>
        <w:rPr>
          <w:sz w:val="20"/>
          <w:szCs w:val="20"/>
          <w:color w:val="auto"/>
        </w:rPr>
      </w:pPr>
      <w:r>
        <w:rPr>
          <w:rFonts w:ascii="Arial" w:cs="Arial" w:eastAsia="Arial" w:hAnsi="Arial"/>
          <w:sz w:val="16"/>
          <w:szCs w:val="16"/>
          <w:color w:val="auto"/>
        </w:rPr>
        <w:t>This ASU replaces the existing incurred loss impairment model with a methodology that incorporates all expected credit loss estimates, resulting in more timely recognition of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339725</wp:posOffset>
            </wp:positionV>
            <wp:extent cx="1663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20"/>
        <w:spacing w:after="0" w:line="231" w:lineRule="auto"/>
        <w:rPr>
          <w:sz w:val="20"/>
          <w:szCs w:val="20"/>
          <w:color w:val="auto"/>
        </w:rPr>
      </w:pPr>
      <w:r>
        <w:rPr>
          <w:rFonts w:ascii="Arial" w:cs="Arial" w:eastAsia="Arial" w:hAnsi="Arial"/>
          <w:sz w:val="16"/>
          <w:szCs w:val="16"/>
          <w:color w:val="auto"/>
        </w:rPr>
        <w:t xml:space="preserve">Together, the ASUs issued during 2016 provide supplemental adoption guidance and clarification to previously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w:t>
      </w:r>
      <w:r>
        <w:rPr>
          <w:rFonts w:ascii="Arial" w:cs="Arial" w:eastAsia="Arial" w:hAnsi="Arial"/>
          <w:sz w:val="16"/>
          <w:szCs w:val="16"/>
          <w:i w:val="1"/>
          <w:iCs w:val="1"/>
          <w:color w:val="auto"/>
        </w:rPr>
        <w:t xml:space="preserve"> </w:t>
      </w:r>
      <w:r>
        <w:rPr>
          <w:rFonts w:ascii="Arial" w:cs="Arial" w:eastAsia="Arial" w:hAnsi="Arial"/>
          <w:sz w:val="16"/>
          <w:szCs w:val="16"/>
          <w:color w:val="auto"/>
        </w:rPr>
        <w:t>introduced a new principles-based framework for revenue recognition and disclosure. The core principle of the standard is when an entity transfers goods or services to customers it will recognize revenue in an amount that reflects the consideration the entity expects to be entitled to for those goods or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10160</wp:posOffset>
            </wp:positionV>
            <wp:extent cx="1663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5"/>
          <w:szCs w:val="15"/>
          <w:color w:val="auto"/>
        </w:rPr>
        <w:t>This ASU improves transparency and comparability among organizations by requiring lessees to recognize lease assets and lease liabilities on the balance sheet and to disclose key information about leasing arrangements.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ind w:right="320"/>
        <w:spacing w:after="0" w:line="355" w:lineRule="auto"/>
        <w:rPr>
          <w:sz w:val="20"/>
          <w:szCs w:val="20"/>
          <w:color w:val="auto"/>
        </w:rPr>
      </w:pPr>
      <w:r>
        <w:rPr>
          <w:rFonts w:ascii="Arial" w:cs="Arial" w:eastAsia="Arial" w:hAnsi="Arial"/>
          <w:sz w:val="16"/>
          <w:szCs w:val="16"/>
          <w:b w:val="1"/>
          <w:bCs w:val="1"/>
          <w:color w:val="auto"/>
        </w:rPr>
        <w:t xml:space="preserve">Effective Date/Method of Adoption </w:t>
      </w:r>
      <w:r>
        <w:rPr>
          <w:rFonts w:ascii="Arial" w:cs="Arial" w:eastAsia="Arial" w:hAnsi="Arial"/>
          <w:sz w:val="16"/>
          <w:szCs w:val="16"/>
          <w:i w:val="1"/>
          <w:iCs w:val="1"/>
          <w:color w:val="auto"/>
        </w:rPr>
        <w:t>November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-206375</wp:posOffset>
            </wp:positionV>
            <wp:extent cx="18783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2"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Adoption of this standard will be applied using a retrospective transition method to each period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0</wp:posOffset>
            </wp:positionV>
            <wp:extent cx="18783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November 1, 2018</w:t>
      </w:r>
    </w:p>
    <w:p>
      <w:pPr>
        <w:spacing w:after="0" w:line="165"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This standard will be applied using a modified retrospective adoption approach with a cumulative-effect adjustment to retained earnings as of the beginning of the year of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114935</wp:posOffset>
            </wp:positionV>
            <wp:extent cx="18783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November 1, 2018</w:t>
      </w:r>
    </w:p>
    <w:p>
      <w:pPr>
        <w:spacing w:after="0" w:line="165"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Adoption of this standard will be applied using a retrospective transition method to each period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222250</wp:posOffset>
            </wp:positionV>
            <wp:extent cx="18783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November 1, 2020</w:t>
      </w:r>
    </w:p>
    <w:p>
      <w:pPr>
        <w:spacing w:after="0" w:line="165" w:lineRule="exact"/>
        <w:rPr>
          <w:sz w:val="20"/>
          <w:szCs w:val="20"/>
          <w:color w:val="auto"/>
        </w:rPr>
      </w:pPr>
    </w:p>
    <w:p>
      <w:pPr>
        <w:spacing w:after="0" w:line="235" w:lineRule="auto"/>
        <w:rPr>
          <w:sz w:val="20"/>
          <w:szCs w:val="20"/>
          <w:color w:val="auto"/>
        </w:rPr>
      </w:pPr>
      <w:r>
        <w:rPr>
          <w:rFonts w:ascii="Arial" w:cs="Arial" w:eastAsia="Arial" w:hAnsi="Arial"/>
          <w:sz w:val="16"/>
          <w:szCs w:val="16"/>
          <w:color w:val="auto"/>
        </w:rPr>
        <w:t>This standard will be applied using a modified retrospective adoption approach with a cumulative-effect adjustment to retained earnings as of the beginning of the year of adoption, except for certain provisions that are required to be applied prospectively.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5080</wp:posOffset>
            </wp:positionV>
            <wp:extent cx="18783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November 1, 2018</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5"/>
          <w:szCs w:val="15"/>
          <w:color w:val="auto"/>
        </w:rPr>
        <w:t>This standard will be applied as a full retrospective adoption to all periods presented or a modified retrospective adoption approach with a cumulative-effect adjustment to retained earnings as of the beginning of the year of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888365</wp:posOffset>
            </wp:positionV>
            <wp:extent cx="18783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November 1, 2019</w:t>
      </w:r>
    </w:p>
    <w:p>
      <w:pPr>
        <w:spacing w:after="0" w:line="165" w:lineRule="exact"/>
        <w:rPr>
          <w:sz w:val="20"/>
          <w:szCs w:val="20"/>
          <w:color w:val="auto"/>
        </w:rPr>
      </w:pPr>
    </w:p>
    <w:p>
      <w:pPr>
        <w:ind w:right="120"/>
        <w:spacing w:after="0" w:line="238" w:lineRule="auto"/>
        <w:rPr>
          <w:sz w:val="20"/>
          <w:szCs w:val="20"/>
          <w:color w:val="auto"/>
        </w:rPr>
      </w:pPr>
      <w:r>
        <w:rPr>
          <w:rFonts w:ascii="Arial" w:cs="Arial" w:eastAsia="Arial" w:hAnsi="Arial"/>
          <w:sz w:val="16"/>
          <w:szCs w:val="16"/>
          <w:color w:val="auto"/>
        </w:rPr>
        <w:t>When transitioning to the new standard, we are required to recognize and measure leases at the beginning of the earliest period presented using a modified retrospective approach.</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ind w:right="800"/>
        <w:spacing w:after="0" w:line="274" w:lineRule="auto"/>
        <w:rPr>
          <w:sz w:val="20"/>
          <w:szCs w:val="20"/>
          <w:color w:val="auto"/>
        </w:rPr>
      </w:pPr>
      <w:r>
        <w:rPr>
          <w:rFonts w:ascii="Arial" w:cs="Arial" w:eastAsia="Arial" w:hAnsi="Arial"/>
          <w:sz w:val="16"/>
          <w:szCs w:val="16"/>
          <w:b w:val="1"/>
          <w:bCs w:val="1"/>
          <w:color w:val="auto"/>
        </w:rPr>
        <w:t>Effect on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-16510</wp:posOffset>
            </wp:positionV>
            <wp:extent cx="16554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41" w:lineRule="auto"/>
        <w:rPr>
          <w:sz w:val="20"/>
          <w:szCs w:val="20"/>
          <w:color w:val="auto"/>
        </w:rPr>
      </w:pPr>
      <w:r>
        <w:rPr>
          <w:rFonts w:ascii="Arial" w:cs="Arial" w:eastAsia="Arial" w:hAnsi="Arial"/>
          <w:sz w:val="16"/>
          <w:szCs w:val="16"/>
          <w:color w:val="auto"/>
        </w:rPr>
        <w:t>The adoption of this guidance is not expected to have a material impact on our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113665</wp:posOffset>
            </wp:positionV>
            <wp:extent cx="16554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86" w:lineRule="exact"/>
        <w:rPr>
          <w:sz w:val="20"/>
          <w:szCs w:val="20"/>
          <w:color w:val="auto"/>
        </w:rPr>
      </w:pPr>
    </w:p>
    <w:p>
      <w:pPr>
        <w:ind w:right="300"/>
        <w:spacing w:after="0" w:line="262" w:lineRule="auto"/>
        <w:rPr>
          <w:sz w:val="20"/>
          <w:szCs w:val="20"/>
          <w:color w:val="auto"/>
        </w:rPr>
      </w:pPr>
      <w:r>
        <w:rPr>
          <w:rFonts w:ascii="Arial" w:cs="Arial" w:eastAsia="Arial" w:hAnsi="Arial"/>
          <w:sz w:val="15"/>
          <w:szCs w:val="15"/>
          <w:color w:val="auto"/>
        </w:rPr>
        <w:t>We are currently evaluating the impact of implementing this guidance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439420</wp:posOffset>
            </wp:positionV>
            <wp:extent cx="16554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The adoption of this guidance is not expected to have a material impact on our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336550</wp:posOffset>
            </wp:positionV>
            <wp:extent cx="16554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right="300"/>
        <w:spacing w:after="0" w:line="262" w:lineRule="auto"/>
        <w:rPr>
          <w:sz w:val="20"/>
          <w:szCs w:val="20"/>
          <w:color w:val="auto"/>
        </w:rPr>
      </w:pPr>
      <w:r>
        <w:rPr>
          <w:rFonts w:ascii="Arial" w:cs="Arial" w:eastAsia="Arial" w:hAnsi="Arial"/>
          <w:sz w:val="15"/>
          <w:szCs w:val="15"/>
          <w:color w:val="auto"/>
        </w:rPr>
        <w:t>We are currently evaluating the impact of implementing this guidance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550545</wp:posOffset>
            </wp:positionV>
            <wp:extent cx="16554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300"/>
        <w:spacing w:after="0" w:line="262" w:lineRule="auto"/>
        <w:rPr>
          <w:sz w:val="20"/>
          <w:szCs w:val="20"/>
          <w:color w:val="auto"/>
        </w:rPr>
      </w:pPr>
      <w:r>
        <w:rPr>
          <w:rFonts w:ascii="Arial" w:cs="Arial" w:eastAsia="Arial" w:hAnsi="Arial"/>
          <w:sz w:val="15"/>
          <w:szCs w:val="15"/>
          <w:color w:val="auto"/>
        </w:rPr>
        <w:t>We are currently evaluating the impact of implementing this guidance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1330960</wp:posOffset>
            </wp:positionV>
            <wp:extent cx="16554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300"/>
        <w:spacing w:after="0" w:line="262" w:lineRule="auto"/>
        <w:rPr>
          <w:sz w:val="20"/>
          <w:szCs w:val="20"/>
          <w:color w:val="auto"/>
        </w:rPr>
      </w:pPr>
      <w:r>
        <w:rPr>
          <w:rFonts w:ascii="Arial" w:cs="Arial" w:eastAsia="Arial" w:hAnsi="Arial"/>
          <w:sz w:val="15"/>
          <w:szCs w:val="15"/>
          <w:color w:val="auto"/>
        </w:rPr>
        <w:t>We are currently evaluating the impact of implementing this guidance on our consolidated financial statements.</w:t>
      </w:r>
    </w:p>
    <w:p>
      <w:pPr>
        <w:spacing w:after="0" w:line="719" w:lineRule="exact"/>
        <w:rPr>
          <w:sz w:val="20"/>
          <w:szCs w:val="20"/>
          <w:color w:val="auto"/>
        </w:rPr>
      </w:pPr>
    </w:p>
    <w:p>
      <w:pPr>
        <w:sectPr>
          <w:pgSz w:w="11900" w:h="16838" w:orient="portrait"/>
          <w:cols w:equalWidth="0" w:num="4">
            <w:col w:w="2820" w:space="180"/>
            <w:col w:w="2560" w:space="180"/>
            <w:col w:w="2880" w:space="200"/>
            <w:col w:w="2460"/>
          </w:cols>
          <w:pgMar w:left="240" w:top="358" w:right="379" w:bottom="1440" w:gutter="0" w:footer="0" w:header="0"/>
          <w:type w:val="continuous"/>
        </w:sectPr>
      </w:pPr>
    </w:p>
    <w:p>
      <w:pPr>
        <w:spacing w:after="0" w:line="1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80"/>
          </w:cols>
          <w:pgMar w:left="240" w:top="358" w:right="379" w:bottom="1440" w:gutter="0" w:footer="0" w:header="0"/>
          <w:type w:val="continuous"/>
        </w:sectPr>
      </w:pPr>
    </w:p>
    <w:bookmarkStart w:id="51" w:name="page52"/>
    <w:bookmarkEnd w:id="51"/>
    <w:p>
      <w:pPr>
        <w:spacing w:after="0" w:line="17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Accounting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8097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41" w:lineRule="exact"/>
        <w:rPr>
          <w:sz w:val="20"/>
          <w:szCs w:val="20"/>
          <w:color w:val="auto"/>
        </w:rPr>
      </w:pPr>
    </w:p>
    <w:p>
      <w:pPr>
        <w:ind w:left="40"/>
        <w:spacing w:after="0" w:line="257" w:lineRule="auto"/>
        <w:rPr>
          <w:sz w:val="20"/>
          <w:szCs w:val="20"/>
          <w:color w:val="auto"/>
        </w:rPr>
      </w:pPr>
      <w:r>
        <w:rPr>
          <w:rFonts w:ascii="Arial" w:cs="Arial" w:eastAsia="Arial" w:hAnsi="Arial"/>
          <w:sz w:val="15"/>
          <w:szCs w:val="15"/>
          <w:color w:val="auto"/>
        </w:rPr>
        <w:t xml:space="preserve">In January 2016, the FASB issued ASU 2016-01, </w:t>
      </w:r>
      <w:r>
        <w:rPr>
          <w:rFonts w:ascii="Arial" w:cs="Arial" w:eastAsia="Arial" w:hAnsi="Arial"/>
          <w:sz w:val="15"/>
          <w:szCs w:val="15"/>
          <w:i w:val="1"/>
          <w:iCs w:val="1"/>
          <w:color w:val="auto"/>
        </w:rPr>
        <w:t>Financial Instruments—</w:t>
      </w:r>
      <w:r>
        <w:rPr>
          <w:rFonts w:ascii="Arial" w:cs="Arial" w:eastAsia="Arial" w:hAnsi="Arial"/>
          <w:sz w:val="15"/>
          <w:szCs w:val="15"/>
          <w:color w:val="auto"/>
        </w:rPr>
        <w:t xml:space="preserve"> </w:t>
      </w:r>
      <w:r>
        <w:rPr>
          <w:rFonts w:ascii="Arial" w:cs="Arial" w:eastAsia="Arial" w:hAnsi="Arial"/>
          <w:sz w:val="15"/>
          <w:szCs w:val="15"/>
          <w:i w:val="1"/>
          <w:iCs w:val="1"/>
          <w:color w:val="auto"/>
        </w:rPr>
        <w:t>Overall (Subtopic 825-10): Recognition and Measurement of Financial Assets and Financial Liabilities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21590</wp:posOffset>
            </wp:positionV>
            <wp:extent cx="1663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41"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This ASU enhances the reporting model for financial instruments, which includes amendments to address aspects of recognition, measurement, presentation, and disclosure.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right="320"/>
        <w:spacing w:after="0" w:line="355" w:lineRule="auto"/>
        <w:rPr>
          <w:sz w:val="20"/>
          <w:szCs w:val="20"/>
          <w:color w:val="auto"/>
        </w:rPr>
      </w:pPr>
      <w:r>
        <w:rPr>
          <w:rFonts w:ascii="Arial" w:cs="Arial" w:eastAsia="Arial" w:hAnsi="Arial"/>
          <w:sz w:val="16"/>
          <w:szCs w:val="16"/>
          <w:b w:val="1"/>
          <w:bCs w:val="1"/>
          <w:color w:val="auto"/>
        </w:rPr>
        <w:t xml:space="preserve">Effective Date/Method of Adoption </w:t>
      </w:r>
      <w:r>
        <w:rPr>
          <w:rFonts w:ascii="Arial" w:cs="Arial" w:eastAsia="Arial" w:hAnsi="Arial"/>
          <w:sz w:val="16"/>
          <w:szCs w:val="16"/>
          <w:i w:val="1"/>
          <w:iCs w:val="1"/>
          <w:color w:val="auto"/>
        </w:rPr>
        <w:t>November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-206375</wp:posOffset>
            </wp:positionV>
            <wp:extent cx="18783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2"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Adoption of this amendment must be applied by means of a cumulative-effect adjustment to the balance sheet as of the beginning of the year of adoption, except for amendments related to equity instruments that do not have readily available determinable fair values that should be applied prospectively.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6350</wp:posOffset>
            </wp:positionV>
            <wp:extent cx="72294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940"/>
        <w:spacing w:after="0" w:line="274" w:lineRule="auto"/>
        <w:rPr>
          <w:sz w:val="20"/>
          <w:szCs w:val="20"/>
          <w:color w:val="auto"/>
        </w:rPr>
      </w:pPr>
      <w:r>
        <w:rPr>
          <w:rFonts w:ascii="Arial" w:cs="Arial" w:eastAsia="Arial" w:hAnsi="Arial"/>
          <w:sz w:val="16"/>
          <w:szCs w:val="16"/>
          <w:b w:val="1"/>
          <w:bCs w:val="1"/>
          <w:color w:val="auto"/>
        </w:rPr>
        <w:t>Effect on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-16510</wp:posOffset>
            </wp:positionV>
            <wp:extent cx="16554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ind w:right="140"/>
        <w:spacing w:after="0" w:line="241" w:lineRule="auto"/>
        <w:rPr>
          <w:sz w:val="20"/>
          <w:szCs w:val="20"/>
          <w:color w:val="auto"/>
        </w:rPr>
      </w:pPr>
      <w:r>
        <w:rPr>
          <w:rFonts w:ascii="Arial" w:cs="Arial" w:eastAsia="Arial" w:hAnsi="Arial"/>
          <w:sz w:val="16"/>
          <w:szCs w:val="16"/>
          <w:color w:val="auto"/>
        </w:rPr>
        <w:t>The adoption of this guidance is not expected to have a material impact on our consolidated financial statements.</w:t>
      </w:r>
    </w:p>
    <w:p>
      <w:pPr>
        <w:spacing w:after="0" w:line="1247" w:lineRule="exact"/>
        <w:rPr>
          <w:sz w:val="20"/>
          <w:szCs w:val="20"/>
          <w:color w:val="auto"/>
        </w:rPr>
      </w:pPr>
    </w:p>
    <w:p>
      <w:pPr>
        <w:sectPr>
          <w:pgSz w:w="11900" w:h="16838" w:orient="portrait"/>
          <w:cols w:equalWidth="0" w:num="4">
            <w:col w:w="2760" w:space="240"/>
            <w:col w:w="2320" w:space="420"/>
            <w:col w:w="2880" w:space="200"/>
            <w:col w:w="2600"/>
          </w:cols>
          <w:pgMar w:left="240" w:top="529" w:right="239" w:bottom="1440" w:gutter="0" w:footer="0" w:header="0"/>
        </w:sectPr>
      </w:pP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have market risk exposure related to interest rates and foreign currency exchange rates. Market risk is measured as the potential negative impact on earnings, cash flows, or fair values resulting from a hypothetical change in interest rates or foreign currency exchange rates.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We are primarily exposed to interest rate risk through our variable rate borrowings under our $800.0 million line of credit. At October 31, 2016, we had average outstanding borrowings of $251.3 million. To limit exposure to upward movements in interest rates, we entered into interest rate swap agreements to fix a substantial portion of our outstanding borrowings. At October 31, 2016, we had interest rate swaps with an underlying notional amount of $105.0 million and a fixed interest rate of 1.05%. Based on our average borrowings, interest rates, and interest rate swaps in effect at October 31, 2016, a 100 basis point increase in LIBOR would decrease our future earnings and cash flows by $1.3 million. For 2015, our market risk exposure related to interest rate fluctuations was $1.9 million.</w:t>
      </w:r>
    </w:p>
    <w:p>
      <w:pPr>
        <w:spacing w:after="0" w:line="12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As actual interest rate movements over time are uncertain, our swaps pose potential interest rate risks if interest rates decrease. As of October 31, 2016, the fair value of our interest rate swap was an asset of $0.2 million.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primarily exposed to the impact of foreign exchange rate risk through our U.K. operations where the functional currency is the British pound. As we intend to remain permanently invested in these foreign operations, we do not utilize hedging instruments to mitigate foreign currency exchange risks. If we change our intent with respect to such international investment, we would expect to implement strategies designed to manage those risks in an effort to mitigate the effect of foreign currency fluctuations on our earnings and cash flows.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529" w:right="2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Stockholders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ABM Industries Incorporated:</w:t>
      </w:r>
    </w:p>
    <w:p>
      <w:pPr>
        <w:spacing w:after="0" w:line="10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color w:val="auto"/>
        </w:rPr>
        <w:t xml:space="preserve">We have audited the accompanying consolidated balance sheets of ABM Industries Incorporated and subsidiaries (“the Company”) as of October 31, 2016 and 2015, and the related consolidated statements of comprehensive income, stockholders’ equity, and cash flows for each of the years in the three-year period ended October 31, 2016. In connection with our audits of the consolidated financial statements, we also have audited the related financial statement Schedule II. We also have audited the Company’s internal control over financial reporting as of October 31, 2016,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The Company’s management is responsible for these consolidated financial statements and schedule,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schedule and an opinion on the Company’s internal control over financial reporting based on our audits.</w:t>
      </w:r>
    </w:p>
    <w:p>
      <w:pPr>
        <w:spacing w:after="0" w:line="7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ABM Industries Incorporated and subsidiaries as of October 31, 2016 and 2015, and the results of its operations and its cash flows for each of the years in the three-year period ended October 31, 2016, in conformity with U.S. generally accepted accounting principles. Also in our opinion, the related financial statement Schedule II, when considered in relation to the consolidated financial statements taken as a whole, presents fairly, in all material respects, the information set forth therein. Also in our opinion, ABM Industries Incorporated and subsidiaries maintained, in all material respects, effective internal control over financial reporting as of October 31, 2016,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w:t>
      </w:r>
    </w:p>
    <w:p>
      <w:pPr>
        <w:spacing w:after="0" w:line="7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7"/>
          <w:szCs w:val="17"/>
          <w:color w:val="auto"/>
        </w:rPr>
        <w:t>The Company acquired Westway Services Holdings (2014) Ltd. (“Westway”) on December 1, 2015 and 8 Solutions Ltd. (“8 Solutions”) on September 30, 2016. Management excluded these two businesses from its assessment of the effectiveness of the Company’s internal control over financial reporting as of October 31, 2016. Westway and 8 Solutions represented approximately 4% and 1% of the Company’s total consolidated assets and total consolidated revenues, respectively, as of and for the year ended October 31, 2016. Our audit of internal control over financial reporting of ABM Industries Incorporated and subsidiaries also excluded an evaluation of the internal control over financial reporting of Westway and 8 Solutions.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December 21, 2016</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66"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93" w:lineRule="exact"/>
        <w:rPr>
          <w:sz w:val="20"/>
          <w:szCs w:val="20"/>
          <w:color w:val="auto"/>
        </w:rPr>
      </w:pPr>
    </w:p>
    <w:p>
      <w:pPr>
        <w:ind w:left="9280"/>
        <w:spacing w:after="0"/>
        <w:rPr>
          <w:sz w:val="20"/>
          <w:szCs w:val="20"/>
          <w:color w:val="auto"/>
        </w:rPr>
      </w:pPr>
      <w:r>
        <w:rPr>
          <w:rFonts w:ascii="Arial" w:cs="Arial" w:eastAsia="Arial" w:hAnsi="Arial"/>
          <w:sz w:val="18"/>
          <w:szCs w:val="18"/>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29845</wp:posOffset>
            </wp:positionV>
            <wp:extent cx="2109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1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share and per share amounts)</w:t>
            </w:r>
          </w:p>
        </w:tc>
        <w:tc>
          <w:tcPr>
            <w:tcW w:w="360" w:type="dxa"/>
            <w:vAlign w:val="bottom"/>
          </w:tcPr>
          <w:p>
            <w:pPr>
              <w:spacing w:after="0"/>
              <w:rPr>
                <w:sz w:val="18"/>
                <w:szCs w:val="18"/>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40" w:type="dxa"/>
            <w:vAlign w:val="bottom"/>
            <w:tcBorders>
              <w:top w:val="single" w:sz="8" w:color="auto"/>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0" w:type="dxa"/>
            <w:vAlign w:val="bottom"/>
            <w:shd w:val="clear" w:color="auto" w:fill="CCEEFF"/>
          </w:tcPr>
          <w:p>
            <w:pPr>
              <w:spacing w:after="0"/>
              <w:rPr>
                <w:sz w:val="23"/>
                <w:szCs w:val="23"/>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Trade accounts receivable, net of allowances of $15.9 and $8.6 at October 31, 2016 and 2015,</w:t>
            </w: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8060" w:type="dxa"/>
            <w:vAlign w:val="bottom"/>
            <w:gridSpan w:val="2"/>
          </w:tcPr>
          <w:p>
            <w:pPr>
              <w:ind w:left="500"/>
              <w:spacing w:after="0"/>
              <w:rPr>
                <w:sz w:val="20"/>
                <w:szCs w:val="20"/>
                <w:color w:val="auto"/>
              </w:rPr>
            </w:pPr>
            <w:r>
              <w:rPr>
                <w:rFonts w:ascii="Arial" w:cs="Arial" w:eastAsia="Arial" w:hAnsi="Arial"/>
                <w:sz w:val="18"/>
                <w:szCs w:val="18"/>
                <w:color w:val="auto"/>
              </w:rPr>
              <w:t>respectively</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795.6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742.9</w:t>
            </w:r>
          </w:p>
        </w:tc>
        <w:tc>
          <w:tcPr>
            <w:tcW w:w="0" w:type="dxa"/>
            <w:vAlign w:val="bottom"/>
          </w:tcPr>
          <w:p>
            <w:pPr>
              <w:spacing w:after="0"/>
              <w:rPr>
                <w:sz w:val="1"/>
                <w:szCs w:val="1"/>
                <w:color w:val="auto"/>
              </w:rPr>
            </w:pPr>
          </w:p>
        </w:tc>
      </w:tr>
      <w:tr>
        <w:trPr>
          <w:trHeight w:val="275"/>
        </w:trPr>
        <w:tc>
          <w:tcPr>
            <w:tcW w:w="40" w:type="dxa"/>
            <w:vAlign w:val="bottom"/>
            <w:shd w:val="clear" w:color="auto" w:fill="CCEEFF"/>
          </w:tcPr>
          <w:p>
            <w:pPr>
              <w:spacing w:after="0"/>
              <w:rPr>
                <w:sz w:val="23"/>
                <w:szCs w:val="23"/>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5"/>
        </w:trPr>
        <w:tc>
          <w:tcPr>
            <w:tcW w:w="40" w:type="dxa"/>
            <w:vAlign w:val="bottom"/>
            <w:shd w:val="clear" w:color="auto" w:fill="CCEEFF"/>
          </w:tcPr>
          <w:p>
            <w:pPr>
              <w:spacing w:after="0"/>
              <w:rPr>
                <w:sz w:val="23"/>
                <w:szCs w:val="23"/>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Assets held for sale</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40" w:type="dxa"/>
            <w:vAlign w:val="bottom"/>
            <w:tcBorders>
              <w:bottom w:val="single" w:sz="8" w:color="CCEEFF"/>
            </w:tcBorders>
          </w:tcPr>
          <w:p>
            <w:pPr>
              <w:spacing w:after="0"/>
              <w:rPr>
                <w:sz w:val="21"/>
                <w:szCs w:val="21"/>
                <w:color w:val="auto"/>
              </w:rPr>
            </w:pPr>
          </w:p>
        </w:tc>
        <w:tc>
          <w:tcPr>
            <w:tcW w:w="806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993.7</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894.0</w:t>
            </w:r>
          </w:p>
        </w:tc>
        <w:tc>
          <w:tcPr>
            <w:tcW w:w="0" w:type="dxa"/>
            <w:vAlign w:val="bottom"/>
          </w:tcPr>
          <w:p>
            <w:pPr>
              <w:spacing w:after="0"/>
              <w:rPr>
                <w:sz w:val="1"/>
                <w:szCs w:val="1"/>
                <w:color w:val="auto"/>
              </w:rPr>
            </w:pPr>
          </w:p>
        </w:tc>
      </w:tr>
      <w:tr>
        <w:trPr>
          <w:trHeight w:val="255"/>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7"/>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Property, plant and equipment, net of accumulated depreciation of $163.4 and $148.7 at October 31,</w:t>
            </w: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8060" w:type="dxa"/>
            <w:vAlign w:val="bottom"/>
            <w:gridSpan w:val="2"/>
          </w:tcPr>
          <w:p>
            <w:pPr>
              <w:ind w:left="160"/>
              <w:spacing w:after="0"/>
              <w:rPr>
                <w:sz w:val="20"/>
                <w:szCs w:val="20"/>
                <w:color w:val="auto"/>
              </w:rPr>
            </w:pPr>
            <w:r>
              <w:rPr>
                <w:rFonts w:ascii="Arial" w:cs="Arial" w:eastAsia="Arial" w:hAnsi="Arial"/>
                <w:sz w:val="18"/>
                <w:szCs w:val="18"/>
                <w:color w:val="auto"/>
              </w:rPr>
              <w:t>2016 and 2015, respectively</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1"/>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intangible assets, net of accumulated amortization of $157.0 and $149.4 at October 31, 2016</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0" w:type="dxa"/>
            <w:vAlign w:val="bottom"/>
            <w:shd w:val="clear" w:color="auto" w:fill="CCEEFF"/>
          </w:tcPr>
          <w:p>
            <w:pPr>
              <w:spacing w:after="0"/>
              <w:rPr>
                <w:sz w:val="21"/>
                <w:szCs w:val="21"/>
                <w:color w:val="auto"/>
              </w:rPr>
            </w:pPr>
          </w:p>
        </w:tc>
        <w:tc>
          <w:tcPr>
            <w:tcW w:w="8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and 2015, respectively</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65"/>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912.8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867.5</w:t>
            </w:r>
          </w:p>
        </w:tc>
        <w:tc>
          <w:tcPr>
            <w:tcW w:w="0" w:type="dxa"/>
            <w:vAlign w:val="bottom"/>
          </w:tcPr>
          <w:p>
            <w:pPr>
              <w:spacing w:after="0"/>
              <w:rPr>
                <w:sz w:val="1"/>
                <w:szCs w:val="1"/>
                <w:color w:val="auto"/>
              </w:rPr>
            </w:pPr>
          </w:p>
        </w:tc>
      </w:tr>
      <w:tr>
        <w:trPr>
          <w:trHeight w:val="275"/>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65"/>
        </w:trPr>
        <w:tc>
          <w:tcPr>
            <w:tcW w:w="81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134.3</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55"/>
        </w:trPr>
        <w:tc>
          <w:tcPr>
            <w:tcW w:w="8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2,281.2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2,130.7</w:t>
            </w:r>
          </w:p>
        </w:tc>
        <w:tc>
          <w:tcPr>
            <w:tcW w:w="0" w:type="dxa"/>
            <w:vAlign w:val="bottom"/>
          </w:tcPr>
          <w:p>
            <w:pPr>
              <w:spacing w:after="0"/>
              <w:rPr>
                <w:sz w:val="1"/>
                <w:szCs w:val="1"/>
                <w:color w:val="auto"/>
              </w:rPr>
            </w:pPr>
          </w:p>
        </w:tc>
      </w:tr>
      <w:tr>
        <w:trPr>
          <w:trHeight w:val="20"/>
        </w:trPr>
        <w:tc>
          <w:tcPr>
            <w:tcW w:w="81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gridSpan w:val="3"/>
            <w:vMerge w:val="continue"/>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Trade accounts payable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174.3</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75"/>
        </w:trPr>
        <w:tc>
          <w:tcPr>
            <w:tcW w:w="40" w:type="dxa"/>
            <w:vAlign w:val="bottom"/>
            <w:shd w:val="clear" w:color="auto" w:fill="CCEEFF"/>
          </w:tcPr>
          <w:p>
            <w:pPr>
              <w:spacing w:after="0"/>
              <w:rPr>
                <w:sz w:val="23"/>
                <w:szCs w:val="23"/>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compensation</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Accrued taxes—other than income</w:t>
            </w: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5"/>
        </w:trPr>
        <w:tc>
          <w:tcPr>
            <w:tcW w:w="40" w:type="dxa"/>
            <w:vAlign w:val="bottom"/>
            <w:shd w:val="clear" w:color="auto" w:fill="CCEEFF"/>
          </w:tcPr>
          <w:p>
            <w:pPr>
              <w:spacing w:after="0"/>
              <w:rPr>
                <w:sz w:val="23"/>
                <w:szCs w:val="23"/>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Insurance claims</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Income taxes payable</w:t>
            </w: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5"/>
        </w:trPr>
        <w:tc>
          <w:tcPr>
            <w:tcW w:w="40" w:type="dxa"/>
            <w:vAlign w:val="bottom"/>
            <w:shd w:val="clear" w:color="auto" w:fill="CCEEFF"/>
          </w:tcPr>
          <w:p>
            <w:pPr>
              <w:spacing w:after="0"/>
              <w:rPr>
                <w:sz w:val="23"/>
                <w:szCs w:val="23"/>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accrued liabilities</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65"/>
        </w:trPr>
        <w:tc>
          <w:tcPr>
            <w:tcW w:w="40" w:type="dxa"/>
            <w:vAlign w:val="bottom"/>
            <w:tcBorders>
              <w:bottom w:val="single" w:sz="8" w:color="CCEEFF"/>
            </w:tcBorders>
          </w:tcPr>
          <w:p>
            <w:pPr>
              <w:spacing w:after="0"/>
              <w:rPr>
                <w:sz w:val="23"/>
                <w:szCs w:val="23"/>
                <w:color w:val="auto"/>
              </w:rPr>
            </w:pPr>
          </w:p>
        </w:tc>
        <w:tc>
          <w:tcPr>
            <w:tcW w:w="80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Liabilities held for sale</w:t>
            </w: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40" w:type="dxa"/>
            <w:vAlign w:val="bottom"/>
            <w:shd w:val="clear" w:color="auto" w:fill="CCEEFF"/>
          </w:tcPr>
          <w:p>
            <w:pPr>
              <w:spacing w:after="0"/>
              <w:rPr>
                <w:sz w:val="22"/>
                <w:szCs w:val="22"/>
                <w:color w:val="auto"/>
              </w:rPr>
            </w:pPr>
          </w:p>
        </w:tc>
        <w:tc>
          <w:tcPr>
            <w:tcW w:w="8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599.2</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568.2</w:t>
            </w:r>
          </w:p>
        </w:tc>
        <w:tc>
          <w:tcPr>
            <w:tcW w:w="0" w:type="dxa"/>
            <w:vAlign w:val="bottom"/>
          </w:tcPr>
          <w:p>
            <w:pPr>
              <w:spacing w:after="0"/>
              <w:rPr>
                <w:sz w:val="1"/>
                <w:szCs w:val="1"/>
                <w:color w:val="auto"/>
              </w:rPr>
            </w:pPr>
          </w:p>
        </w:tc>
      </w:tr>
      <w:tr>
        <w:trPr>
          <w:trHeight w:val="245"/>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Noncurrent income taxes payable</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75"/>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Line of credit</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65"/>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Deferred income tax liability, net</w:t>
            </w: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Noncurrent insurance claims</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331.6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297.4</w:t>
            </w:r>
          </w:p>
        </w:tc>
        <w:tc>
          <w:tcPr>
            <w:tcW w:w="0" w:type="dxa"/>
            <w:vAlign w:val="bottom"/>
          </w:tcPr>
          <w:p>
            <w:pPr>
              <w:spacing w:after="0"/>
              <w:rPr>
                <w:sz w:val="1"/>
                <w:szCs w:val="1"/>
                <w:color w:val="auto"/>
              </w:rPr>
            </w:pPr>
          </w:p>
        </w:tc>
      </w:tr>
      <w:tr>
        <w:trPr>
          <w:trHeight w:val="265"/>
        </w:trPr>
        <w:tc>
          <w:tcPr>
            <w:tcW w:w="81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71.2</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55"/>
        </w:trPr>
        <w:tc>
          <w:tcPr>
            <w:tcW w:w="40" w:type="dxa"/>
            <w:vAlign w:val="bottom"/>
            <w:shd w:val="clear" w:color="auto" w:fill="CCEEFF"/>
          </w:tcPr>
          <w:p>
            <w:pPr>
              <w:spacing w:after="0"/>
              <w:rPr>
                <w:sz w:val="22"/>
                <w:szCs w:val="22"/>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1,307.2</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1,123.2</w:t>
            </w:r>
          </w:p>
        </w:tc>
        <w:tc>
          <w:tcPr>
            <w:tcW w:w="0" w:type="dxa"/>
            <w:vAlign w:val="bottom"/>
          </w:tcPr>
          <w:p>
            <w:pPr>
              <w:spacing w:after="0"/>
              <w:rPr>
                <w:sz w:val="1"/>
                <w:szCs w:val="1"/>
                <w:color w:val="auto"/>
              </w:rPr>
            </w:pPr>
          </w:p>
        </w:tc>
      </w:tr>
      <w:tr>
        <w:trPr>
          <w:trHeight w:val="245"/>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Commitments and contingencies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Preferred stock, $0.01 par value; 500,000 shares authorized; none issued</w:t>
            </w:r>
          </w:p>
        </w:tc>
        <w:tc>
          <w:tcPr>
            <w:tcW w:w="36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4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Common stock, $0.01 par value; 100,000,000 shares authorized;</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806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55,599,322 and 56,105,761 shares issued and outstanding at October 31, 2016 and 2015,</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0" w:type="dxa"/>
            <w:vAlign w:val="bottom"/>
            <w:shd w:val="clear" w:color="auto" w:fill="CCEEFF"/>
          </w:tcPr>
          <w:p>
            <w:pPr>
              <w:spacing w:after="0"/>
              <w:rPr>
                <w:sz w:val="21"/>
                <w:szCs w:val="21"/>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248.6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75"/>
        </w:trPr>
        <w:tc>
          <w:tcPr>
            <w:tcW w:w="40" w:type="dxa"/>
            <w:vAlign w:val="bottom"/>
            <w:shd w:val="clear" w:color="auto" w:fill="CCEEFF"/>
          </w:tcPr>
          <w:p>
            <w:pPr>
              <w:spacing w:after="0"/>
              <w:rPr>
                <w:sz w:val="23"/>
                <w:szCs w:val="23"/>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 net of taxes</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65"/>
        </w:trPr>
        <w:tc>
          <w:tcPr>
            <w:tcW w:w="40" w:type="dxa"/>
            <w:vAlign w:val="bottom"/>
            <w:tcBorders>
              <w:bottom w:val="single" w:sz="8" w:color="CCEEFF"/>
            </w:tcBorders>
          </w:tcPr>
          <w:p>
            <w:pPr>
              <w:spacing w:after="0"/>
              <w:rPr>
                <w:sz w:val="23"/>
                <w:szCs w:val="23"/>
                <w:color w:val="auto"/>
              </w:rPr>
            </w:pPr>
          </w:p>
        </w:tc>
        <w:tc>
          <w:tcPr>
            <w:tcW w:w="80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756.4</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736.5</w:t>
            </w: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974.0</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1,007.5</w:t>
            </w:r>
          </w:p>
        </w:tc>
        <w:tc>
          <w:tcPr>
            <w:tcW w:w="0" w:type="dxa"/>
            <w:vAlign w:val="bottom"/>
          </w:tcPr>
          <w:p>
            <w:pPr>
              <w:spacing w:after="0"/>
              <w:rPr>
                <w:sz w:val="1"/>
                <w:szCs w:val="1"/>
                <w:color w:val="auto"/>
              </w:rPr>
            </w:pPr>
          </w:p>
        </w:tc>
      </w:tr>
      <w:tr>
        <w:trPr>
          <w:trHeight w:val="255"/>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2,281.2</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2,130.7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3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344" w:right="239" w:bottom="1440"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44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2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October 31,</w:t>
            </w:r>
          </w:p>
        </w:tc>
        <w:tc>
          <w:tcPr>
            <w:tcW w:w="1100" w:type="dxa"/>
            <w:vAlign w:val="bottom"/>
            <w:tcBorders>
              <w:bottom w:val="single" w:sz="8" w:color="auto"/>
            </w:tcBorders>
          </w:tcPr>
          <w:p>
            <w:pPr>
              <w:spacing w:after="0"/>
              <w:rPr>
                <w:sz w:val="22"/>
                <w:szCs w:val="22"/>
                <w:color w:val="auto"/>
              </w:rPr>
            </w:pPr>
          </w:p>
        </w:tc>
      </w:tr>
      <w:tr>
        <w:trPr>
          <w:trHeight w:val="224"/>
        </w:trPr>
        <w:tc>
          <w:tcPr>
            <w:tcW w:w="6740" w:type="dxa"/>
            <w:vAlign w:val="bottom"/>
            <w:gridSpan w:val="4"/>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340" w:type="dxa"/>
            <w:vAlign w:val="bottom"/>
          </w:tcPr>
          <w:p>
            <w:pPr>
              <w:spacing w:after="0"/>
              <w:rPr>
                <w:sz w:val="19"/>
                <w:szCs w:val="19"/>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190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50"/>
        </w:trPr>
        <w:tc>
          <w:tcPr>
            <w:tcW w:w="674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5,144.7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4,897.8</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4,649.7</w:t>
            </w:r>
          </w:p>
        </w:tc>
      </w:tr>
      <w:tr>
        <w:trPr>
          <w:trHeight w:val="269"/>
        </w:trPr>
        <w:tc>
          <w:tcPr>
            <w:tcW w:w="6740" w:type="dxa"/>
            <w:vAlign w:val="bottom"/>
            <w:gridSpan w:val="4"/>
          </w:tcPr>
          <w:p>
            <w:pPr>
              <w:ind w:left="40"/>
              <w:spacing w:after="0"/>
              <w:rPr>
                <w:sz w:val="20"/>
                <w:szCs w:val="20"/>
                <w:color w:val="auto"/>
              </w:rPr>
            </w:pPr>
            <w:r>
              <w:rPr>
                <w:rFonts w:ascii="Arial" w:cs="Arial" w:eastAsia="Arial" w:hAnsi="Arial"/>
                <w:sz w:val="18"/>
                <w:szCs w:val="18"/>
                <w:b w:val="1"/>
                <w:bCs w:val="1"/>
                <w:color w:val="auto"/>
              </w:rPr>
              <w:t>Expenses</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1"/>
        </w:trPr>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4,623.4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4,410.0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4,160.5</w:t>
            </w:r>
          </w:p>
        </w:tc>
      </w:tr>
      <w:tr>
        <w:trPr>
          <w:trHeight w:val="265"/>
        </w:trPr>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390.1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377.3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348.2</w:t>
            </w:r>
          </w:p>
        </w:tc>
      </w:tr>
      <w:tr>
        <w:trPr>
          <w:trHeight w:val="275"/>
        </w:trPr>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and related</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5"/>
        </w:trPr>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26.2</w:t>
            </w:r>
          </w:p>
        </w:tc>
      </w:tr>
      <w:tr>
        <w:trPr>
          <w:trHeight w:val="275"/>
        </w:trPr>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loss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5"/>
        </w:trPr>
        <w:tc>
          <w:tcPr>
            <w:tcW w:w="4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63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expenses</w:t>
            </w: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5,090.0</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4,824.2</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4,534.9</w:t>
            </w:r>
          </w:p>
        </w:tc>
      </w:tr>
      <w:tr>
        <w:trPr>
          <w:trHeight w:val="255"/>
        </w:trPr>
        <w:tc>
          <w:tcPr>
            <w:tcW w:w="67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73.6</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114.8</w:t>
            </w:r>
          </w:p>
        </w:tc>
      </w:tr>
      <w:tr>
        <w:trPr>
          <w:trHeight w:val="265"/>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Income from unconsolidated affiliates, net</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75"/>
        </w:trPr>
        <w:tc>
          <w:tcPr>
            <w:tcW w:w="67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5"/>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110.6</w:t>
            </w: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6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Income tax benefit (provision)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r>
      <w:tr>
        <w:trPr>
          <w:trHeight w:val="245"/>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66.9</w:t>
            </w: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6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Net (loss) income from discontinued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r>
      <w:tr>
        <w:trPr>
          <w:trHeight w:val="249"/>
        </w:trPr>
        <w:tc>
          <w:tcPr>
            <w:tcW w:w="674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76.3</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75.6</w:t>
            </w:r>
          </w:p>
        </w:tc>
      </w:tr>
      <w:tr>
        <w:trPr>
          <w:trHeight w:val="264"/>
        </w:trPr>
        <w:tc>
          <w:tcPr>
            <w:tcW w:w="67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65"/>
        </w:trPr>
        <w:tc>
          <w:tcPr>
            <w:tcW w:w="40" w:type="dxa"/>
            <w:vAlign w:val="bottom"/>
          </w:tcPr>
          <w:p>
            <w:pPr>
              <w:spacing w:after="0"/>
              <w:rPr>
                <w:sz w:val="23"/>
                <w:szCs w:val="23"/>
                <w:color w:val="auto"/>
              </w:rPr>
            </w:pPr>
          </w:p>
        </w:tc>
        <w:tc>
          <w:tcPr>
            <w:tcW w:w="6700" w:type="dxa"/>
            <w:vAlign w:val="bottom"/>
            <w:gridSpan w:val="3"/>
          </w:tcPr>
          <w:p>
            <w:pPr>
              <w:ind w:left="340"/>
              <w:spacing w:after="0"/>
              <w:rPr>
                <w:sz w:val="20"/>
                <w:szCs w:val="20"/>
                <w:color w:val="auto"/>
              </w:rPr>
            </w:pPr>
            <w:r>
              <w:rPr>
                <w:rFonts w:ascii="Arial" w:cs="Arial" w:eastAsia="Arial" w:hAnsi="Arial"/>
                <w:sz w:val="18"/>
                <w:szCs w:val="18"/>
                <w:color w:val="auto"/>
              </w:rPr>
              <w:t>Foreign currency translation</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40" w:type="dxa"/>
            <w:vAlign w:val="bottom"/>
            <w:shd w:val="clear" w:color="auto" w:fill="CCEEFF"/>
          </w:tcPr>
          <w:p>
            <w:pPr>
              <w:spacing w:after="0"/>
              <w:rPr>
                <w:sz w:val="23"/>
                <w:szCs w:val="23"/>
                <w:color w:val="auto"/>
              </w:rPr>
            </w:pPr>
          </w:p>
        </w:tc>
        <w:tc>
          <w:tcPr>
            <w:tcW w:w="67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95"/>
        </w:trPr>
        <w:tc>
          <w:tcPr>
            <w:tcW w:w="674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74.5</w:t>
            </w:r>
          </w:p>
        </w:tc>
      </w:tr>
      <w:tr>
        <w:trPr>
          <w:trHeight w:val="251"/>
        </w:trPr>
        <w:tc>
          <w:tcPr>
            <w:tcW w:w="674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Net income per common share </w:t>
            </w:r>
            <w:r>
              <w:rPr>
                <w:rFonts w:ascii="Arial" w:cs="Arial" w:eastAsia="Arial" w:hAnsi="Arial"/>
                <w:sz w:val="18"/>
                <w:szCs w:val="18"/>
                <w:color w:val="auto"/>
              </w:rPr>
              <w:t>—</w:t>
            </w:r>
            <w:r>
              <w:rPr>
                <w:rFonts w:ascii="Arial" w:cs="Arial" w:eastAsia="Arial" w:hAnsi="Arial"/>
                <w:sz w:val="18"/>
                <w:szCs w:val="18"/>
                <w:b w:val="1"/>
                <w:bCs w:val="1"/>
                <w:color w:val="auto"/>
              </w:rPr>
              <w:t xml:space="preserve"> Basic</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65"/>
        </w:trPr>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0.95</w:t>
            </w:r>
          </w:p>
        </w:tc>
        <w:tc>
          <w:tcPr>
            <w:tcW w:w="12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1.19</w:t>
            </w: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(Loss) income from discontinued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r>
      <w:tr>
        <w:trPr>
          <w:trHeight w:val="290"/>
        </w:trPr>
        <w:tc>
          <w:tcPr>
            <w:tcW w:w="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6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1.35</w:t>
            </w:r>
          </w:p>
        </w:tc>
      </w:tr>
      <w:tr>
        <w:trPr>
          <w:trHeight w:val="251"/>
        </w:trPr>
        <w:tc>
          <w:tcPr>
            <w:tcW w:w="674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Net income per common share </w:t>
            </w:r>
            <w:r>
              <w:rPr>
                <w:rFonts w:ascii="Arial" w:cs="Arial" w:eastAsia="Arial" w:hAnsi="Arial"/>
                <w:sz w:val="18"/>
                <w:szCs w:val="18"/>
                <w:color w:val="auto"/>
              </w:rPr>
              <w:t>—</w:t>
            </w:r>
            <w:r>
              <w:rPr>
                <w:rFonts w:ascii="Arial" w:cs="Arial" w:eastAsia="Arial" w:hAnsi="Arial"/>
                <w:sz w:val="18"/>
                <w:szCs w:val="18"/>
                <w:b w:val="1"/>
                <w:bCs w:val="1"/>
                <w:color w:val="auto"/>
              </w:rPr>
              <w:t xml:space="preserve"> Diluted</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65"/>
        </w:trPr>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0.94</w:t>
            </w:r>
          </w:p>
        </w:tc>
        <w:tc>
          <w:tcPr>
            <w:tcW w:w="12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1.17</w:t>
            </w: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(Loss) income from discontinued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r>
      <w:tr>
        <w:trPr>
          <w:trHeight w:val="290"/>
        </w:trPr>
        <w:tc>
          <w:tcPr>
            <w:tcW w:w="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6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w:t>
            </w:r>
          </w:p>
        </w:tc>
      </w:tr>
      <w:tr>
        <w:trPr>
          <w:trHeight w:val="158"/>
        </w:trPr>
        <w:tc>
          <w:tcPr>
            <w:tcW w:w="6740" w:type="dxa"/>
            <w:vAlign w:val="bottom"/>
            <w:gridSpan w:val="4"/>
            <w:shd w:val="clear" w:color="auto" w:fill="CCEEFF"/>
          </w:tcPr>
          <w:p>
            <w:pPr>
              <w:ind w:left="40"/>
              <w:spacing w:after="0" w:line="158" w:lineRule="exact"/>
              <w:rPr>
                <w:sz w:val="20"/>
                <w:szCs w:val="20"/>
                <w:color w:val="auto"/>
              </w:rPr>
            </w:pPr>
            <w:r>
              <w:rPr>
                <w:rFonts w:ascii="Arial" w:cs="Arial" w:eastAsia="Arial" w:hAnsi="Arial"/>
                <w:sz w:val="18"/>
                <w:szCs w:val="18"/>
                <w:b w:val="1"/>
                <w:bCs w:val="1"/>
                <w:color w:val="auto"/>
              </w:rPr>
              <w:t>Weighted-average common and common</w:t>
            </w: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254"/>
        </w:trPr>
        <w:tc>
          <w:tcPr>
            <w:tcW w:w="674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equivalent shares outstanding</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65"/>
        </w:trPr>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56.1</w:t>
            </w:r>
          </w:p>
        </w:tc>
      </w:tr>
      <w:tr>
        <w:trPr>
          <w:trHeight w:val="275"/>
        </w:trPr>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57.1</w:t>
            </w:r>
          </w:p>
        </w:tc>
      </w:tr>
      <w:tr>
        <w:trPr>
          <w:trHeight w:val="269"/>
        </w:trPr>
        <w:tc>
          <w:tcPr>
            <w:tcW w:w="6740" w:type="dxa"/>
            <w:vAlign w:val="bottom"/>
            <w:gridSpan w:val="4"/>
          </w:tcPr>
          <w:p>
            <w:pPr>
              <w:ind w:left="40"/>
              <w:spacing w:after="0"/>
              <w:rPr>
                <w:sz w:val="20"/>
                <w:szCs w:val="20"/>
                <w:color w:val="auto"/>
              </w:rPr>
            </w:pPr>
            <w:r>
              <w:rPr>
                <w:rFonts w:ascii="Arial" w:cs="Arial" w:eastAsia="Arial" w:hAnsi="Arial"/>
                <w:sz w:val="18"/>
                <w:szCs w:val="18"/>
                <w:b w:val="1"/>
                <w:bCs w:val="1"/>
                <w:color w:val="auto"/>
              </w:rPr>
              <w:t>Dividends declared per common share</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0.660</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0.640</w:t>
            </w:r>
          </w:p>
        </w:tc>
        <w:tc>
          <w:tcPr>
            <w:tcW w:w="12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0.620</w:t>
            </w: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452"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5"/>
          </w:tcPr>
          <w:p>
            <w:pPr>
              <w:jc w:val="right"/>
              <w:ind w:right="188"/>
              <w:spacing w:after="0"/>
              <w:rPr>
                <w:sz w:val="20"/>
                <w:szCs w:val="20"/>
                <w:color w:val="auto"/>
              </w:rPr>
            </w:pPr>
            <w:r>
              <w:rPr>
                <w:rFonts w:ascii="Arial" w:cs="Arial" w:eastAsia="Arial" w:hAnsi="Arial"/>
                <w:sz w:val="14"/>
                <w:szCs w:val="14"/>
                <w:b w:val="1"/>
                <w:bCs w:val="1"/>
                <w:color w:val="auto"/>
              </w:rPr>
              <w:t>Years Ended October 31,</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264"/>
        </w:trPr>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6"/>
              </w:rPr>
              <w:t>2015</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6"/>
              </w:rPr>
              <w:t>2014</w:t>
            </w:r>
          </w:p>
        </w:tc>
        <w:tc>
          <w:tcPr>
            <w:tcW w:w="840" w:type="dxa"/>
            <w:vAlign w:val="bottom"/>
            <w:tcBorders>
              <w:bottom w:val="single" w:sz="8" w:color="auto"/>
            </w:tcBorders>
          </w:tcPr>
          <w:p>
            <w:pPr>
              <w:spacing w:after="0"/>
              <w:rPr>
                <w:sz w:val="22"/>
                <w:szCs w:val="22"/>
                <w:color w:val="auto"/>
              </w:rPr>
            </w:pPr>
          </w:p>
        </w:tc>
      </w:tr>
      <w:tr>
        <w:trPr>
          <w:trHeight w:val="224"/>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94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Amount</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64"/>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Common Stock</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66"/>
        </w:trPr>
        <w:tc>
          <w:tcPr>
            <w:tcW w:w="40" w:type="dxa"/>
            <w:vAlign w:val="bottom"/>
          </w:tcPr>
          <w:p>
            <w:pPr>
              <w:spacing w:after="0"/>
              <w:rPr>
                <w:sz w:val="23"/>
                <w:szCs w:val="23"/>
                <w:color w:val="auto"/>
              </w:rPr>
            </w:pP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Balance, beginning of year</w:t>
            </w:r>
          </w:p>
        </w:tc>
        <w:tc>
          <w:tcPr>
            <w:tcW w:w="940" w:type="dxa"/>
            <w:vAlign w:val="bottom"/>
          </w:tcPr>
          <w:p>
            <w:pPr>
              <w:jc w:val="right"/>
              <w:spacing w:after="0"/>
              <w:rPr>
                <w:sz w:val="20"/>
                <w:szCs w:val="20"/>
                <w:color w:val="auto"/>
              </w:rPr>
            </w:pPr>
            <w:r>
              <w:rPr>
                <w:rFonts w:ascii="Arial" w:cs="Arial" w:eastAsia="Arial" w:hAnsi="Arial"/>
                <w:sz w:val="14"/>
                <w:szCs w:val="14"/>
                <w:color w:val="auto"/>
              </w:rPr>
              <w:t>56.1</w:t>
            </w:r>
          </w:p>
        </w:tc>
        <w:tc>
          <w:tcPr>
            <w:tcW w:w="4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55.7</w:t>
            </w:r>
          </w:p>
        </w:tc>
        <w:tc>
          <w:tcPr>
            <w:tcW w:w="3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55.5</w:t>
            </w:r>
          </w:p>
        </w:tc>
        <w:tc>
          <w:tcPr>
            <w:tcW w:w="3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0.6</w:t>
            </w:r>
          </w:p>
        </w:tc>
      </w:tr>
      <w:tr>
        <w:trPr>
          <w:trHeight w:val="180"/>
        </w:trPr>
        <w:tc>
          <w:tcPr>
            <w:tcW w:w="40" w:type="dxa"/>
            <w:vAlign w:val="bottom"/>
            <w:shd w:val="clear" w:color="auto" w:fill="CCEEFF"/>
          </w:tcPr>
          <w:p>
            <w:pPr>
              <w:spacing w:after="0"/>
              <w:rPr>
                <w:sz w:val="15"/>
                <w:szCs w:val="15"/>
                <w:color w:val="auto"/>
              </w:rPr>
            </w:pP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Stock issued under employee stock purchase and share-based</w:t>
            </w: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02"/>
        </w:trPr>
        <w:tc>
          <w:tcPr>
            <w:tcW w:w="40" w:type="dxa"/>
            <w:vAlign w:val="bottom"/>
            <w:shd w:val="clear" w:color="auto" w:fill="CCEEFF"/>
          </w:tcPr>
          <w:p>
            <w:pPr>
              <w:spacing w:after="0"/>
              <w:rPr>
                <w:sz w:val="17"/>
                <w:szCs w:val="17"/>
                <w:color w:val="auto"/>
              </w:rPr>
            </w:pPr>
          </w:p>
        </w:tc>
        <w:tc>
          <w:tcPr>
            <w:tcW w:w="46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compensation plans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6"/>
        </w:trPr>
        <w:tc>
          <w:tcPr>
            <w:tcW w:w="40" w:type="dxa"/>
            <w:vAlign w:val="bottom"/>
            <w:tcBorders>
              <w:bottom w:val="single" w:sz="8" w:color="CCEEFF"/>
            </w:tcBorders>
          </w:tcPr>
          <w:p>
            <w:pPr>
              <w:spacing w:after="0"/>
              <w:rPr>
                <w:sz w:val="23"/>
                <w:szCs w:val="23"/>
                <w:color w:val="auto"/>
              </w:rPr>
            </w:pPr>
          </w:p>
        </w:tc>
        <w:tc>
          <w:tcPr>
            <w:tcW w:w="466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Repurchase of common stock</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4"/>
        </w:trPr>
        <w:tc>
          <w:tcPr>
            <w:tcW w:w="40" w:type="dxa"/>
            <w:vAlign w:val="bottom"/>
            <w:shd w:val="clear" w:color="auto" w:fill="CCEEFF"/>
          </w:tcPr>
          <w:p>
            <w:pPr>
              <w:spacing w:after="0"/>
              <w:rPr>
                <w:sz w:val="22"/>
                <w:szCs w:val="22"/>
                <w:color w:val="auto"/>
              </w:rPr>
            </w:pP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Balance, end of year</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r>
      <w:tr>
        <w:trPr>
          <w:trHeight w:val="263"/>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Additional Paid-in Capital</w:t>
            </w:r>
          </w:p>
        </w:tc>
        <w:tc>
          <w:tcPr>
            <w:tcW w:w="9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r>
      <w:tr>
        <w:trPr>
          <w:trHeight w:val="271"/>
        </w:trPr>
        <w:tc>
          <w:tcPr>
            <w:tcW w:w="40" w:type="dxa"/>
            <w:vAlign w:val="bottom"/>
            <w:shd w:val="clear" w:color="auto" w:fill="CCEEFF"/>
          </w:tcPr>
          <w:p>
            <w:pPr>
              <w:spacing w:after="0"/>
              <w:rPr>
                <w:sz w:val="23"/>
                <w:szCs w:val="23"/>
                <w:color w:val="auto"/>
              </w:rPr>
            </w:pP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Balance, beginning of year</w:t>
            </w: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275.5</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274.1</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261.8</w:t>
            </w:r>
          </w:p>
        </w:tc>
      </w:tr>
      <w:tr>
        <w:trPr>
          <w:trHeight w:val="176"/>
        </w:trPr>
        <w:tc>
          <w:tcPr>
            <w:tcW w:w="40" w:type="dxa"/>
            <w:vAlign w:val="bottom"/>
          </w:tcPr>
          <w:p>
            <w:pPr>
              <w:spacing w:after="0"/>
              <w:rPr>
                <w:sz w:val="15"/>
                <w:szCs w:val="15"/>
                <w:color w:val="auto"/>
              </w:rPr>
            </w:pP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Stock issued under employee stock purchase and share-based</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4660" w:type="dxa"/>
            <w:vAlign w:val="bottom"/>
            <w:gridSpan w:val="2"/>
          </w:tcPr>
          <w:p>
            <w:pPr>
              <w:ind w:left="240"/>
              <w:spacing w:after="0"/>
              <w:rPr>
                <w:sz w:val="20"/>
                <w:szCs w:val="20"/>
                <w:color w:val="auto"/>
              </w:rPr>
            </w:pPr>
            <w:r>
              <w:rPr>
                <w:rFonts w:ascii="Arial" w:cs="Arial" w:eastAsia="Arial" w:hAnsi="Arial"/>
                <w:sz w:val="14"/>
                <w:szCs w:val="14"/>
                <w:color w:val="auto"/>
              </w:rPr>
              <w:t>compensation plans (including incremental tax benefit for 2015 and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98"/>
        </w:trPr>
        <w:tc>
          <w:tcPr>
            <w:tcW w:w="660" w:type="dxa"/>
            <w:vAlign w:val="bottom"/>
            <w:gridSpan w:val="2"/>
          </w:tcPr>
          <w:p>
            <w:pPr>
              <w:ind w:left="280"/>
              <w:spacing w:after="0"/>
              <w:rPr>
                <w:sz w:val="20"/>
                <w:szCs w:val="20"/>
                <w:color w:val="auto"/>
              </w:rPr>
            </w:pPr>
            <w:r>
              <w:rPr>
                <w:rFonts w:ascii="Arial" w:cs="Arial" w:eastAsia="Arial" w:hAnsi="Arial"/>
                <w:sz w:val="14"/>
                <w:szCs w:val="14"/>
                <w:color w:val="auto"/>
              </w:rPr>
              <w:t>2014)</w:t>
            </w:r>
          </w:p>
        </w:tc>
        <w:tc>
          <w:tcPr>
            <w:tcW w:w="4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16.0</w:t>
            </w:r>
          </w:p>
        </w:tc>
      </w:tr>
      <w:tr>
        <w:trPr>
          <w:trHeight w:val="274"/>
        </w:trPr>
        <w:tc>
          <w:tcPr>
            <w:tcW w:w="40" w:type="dxa"/>
            <w:vAlign w:val="bottom"/>
            <w:shd w:val="clear" w:color="auto" w:fill="CCEEFF"/>
          </w:tcPr>
          <w:p>
            <w:pPr>
              <w:spacing w:after="0"/>
              <w:rPr>
                <w:sz w:val="23"/>
                <w:szCs w:val="23"/>
                <w:color w:val="auto"/>
              </w:rPr>
            </w:pP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Share-based compensation expense</w:t>
            </w:r>
            <w:r>
              <w:rPr>
                <w:rFonts w:ascii="Arial" w:cs="Arial" w:eastAsia="Arial" w:hAnsi="Arial"/>
                <w:sz w:val="17"/>
                <w:szCs w:val="17"/>
                <w:color w:val="auto"/>
                <w:vertAlign w:val="superscript"/>
              </w:rPr>
              <w:t>(1)</w:t>
            </w: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w:t>
            </w:r>
          </w:p>
        </w:tc>
      </w:tr>
      <w:tr>
        <w:trPr>
          <w:trHeight w:val="266"/>
        </w:trPr>
        <w:tc>
          <w:tcPr>
            <w:tcW w:w="40" w:type="dxa"/>
            <w:vAlign w:val="bottom"/>
            <w:tcBorders>
              <w:bottom w:val="single" w:sz="8" w:color="CCEEFF"/>
            </w:tcBorders>
          </w:tcPr>
          <w:p>
            <w:pPr>
              <w:spacing w:after="0"/>
              <w:rPr>
                <w:sz w:val="23"/>
                <w:szCs w:val="23"/>
                <w:color w:val="auto"/>
              </w:rPr>
            </w:pPr>
          </w:p>
        </w:tc>
        <w:tc>
          <w:tcPr>
            <w:tcW w:w="466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Repurchase of common stock</w:t>
            </w:r>
          </w:p>
        </w:tc>
        <w:tc>
          <w:tcPr>
            <w:tcW w:w="9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(46.6)</w:t>
            </w:r>
          </w:p>
        </w:tc>
        <w:tc>
          <w:tcPr>
            <w:tcW w:w="120" w:type="dxa"/>
            <w:vAlign w:val="bottom"/>
            <w:tcBorders>
              <w:bottom w:val="single" w:sz="8" w:color="CCEEFF"/>
            </w:tcBorders>
          </w:tcPr>
          <w:p>
            <w:pPr>
              <w:spacing w:after="0"/>
              <w:rPr>
                <w:sz w:val="23"/>
                <w:szCs w:val="23"/>
                <w:color w:val="auto"/>
              </w:rPr>
            </w:pPr>
          </w:p>
        </w:tc>
        <w:tc>
          <w:tcPr>
            <w:tcW w:w="9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w:t>
            </w:r>
          </w:p>
        </w:tc>
        <w:tc>
          <w:tcPr>
            <w:tcW w:w="100" w:type="dxa"/>
            <w:vAlign w:val="bottom"/>
            <w:tcBorders>
              <w:bottom w:val="single" w:sz="8" w:color="CCEEFF"/>
            </w:tcBorders>
          </w:tcPr>
          <w:p>
            <w:pPr>
              <w:spacing w:after="0"/>
              <w:rPr>
                <w:sz w:val="23"/>
                <w:szCs w:val="23"/>
                <w:color w:val="auto"/>
              </w:rPr>
            </w:pPr>
          </w:p>
        </w:tc>
        <w:tc>
          <w:tcPr>
            <w:tcW w:w="9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r>
      <w:tr>
        <w:trPr>
          <w:trHeight w:val="254"/>
        </w:trPr>
        <w:tc>
          <w:tcPr>
            <w:tcW w:w="40" w:type="dxa"/>
            <w:vAlign w:val="bottom"/>
            <w:shd w:val="clear" w:color="auto" w:fill="CCEEFF"/>
          </w:tcPr>
          <w:p>
            <w:pPr>
              <w:spacing w:after="0"/>
              <w:rPr>
                <w:sz w:val="22"/>
                <w:szCs w:val="22"/>
                <w:color w:val="auto"/>
              </w:rPr>
            </w:pP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Balance, end of year</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248.6</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275.5</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274.1</w:t>
            </w:r>
          </w:p>
        </w:tc>
      </w:tr>
      <w:tr>
        <w:trPr>
          <w:trHeight w:val="263"/>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 Comprehensive Loss, Net of Taxes</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1"/>
        </w:trPr>
        <w:tc>
          <w:tcPr>
            <w:tcW w:w="40" w:type="dxa"/>
            <w:vAlign w:val="bottom"/>
            <w:shd w:val="clear" w:color="auto" w:fill="CCEEFF"/>
          </w:tcPr>
          <w:p>
            <w:pPr>
              <w:spacing w:after="0"/>
              <w:rPr>
                <w:sz w:val="23"/>
                <w:szCs w:val="23"/>
                <w:color w:val="auto"/>
              </w:rPr>
            </w:pP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Balance, beginning of year</w:t>
            </w: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266"/>
        </w:trPr>
        <w:tc>
          <w:tcPr>
            <w:tcW w:w="40" w:type="dxa"/>
            <w:vAlign w:val="bottom"/>
            <w:tcBorders>
              <w:bottom w:val="single" w:sz="8" w:color="CCEEFF"/>
            </w:tcBorders>
          </w:tcPr>
          <w:p>
            <w:pPr>
              <w:spacing w:after="0"/>
              <w:rPr>
                <w:sz w:val="23"/>
                <w:szCs w:val="23"/>
                <w:color w:val="auto"/>
              </w:rPr>
            </w:pPr>
          </w:p>
        </w:tc>
        <w:tc>
          <w:tcPr>
            <w:tcW w:w="466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 comprehensive loss</w:t>
            </w:r>
          </w:p>
        </w:tc>
        <w:tc>
          <w:tcPr>
            <w:tcW w:w="9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(26.5)</w:t>
            </w:r>
          </w:p>
        </w:tc>
        <w:tc>
          <w:tcPr>
            <w:tcW w:w="120" w:type="dxa"/>
            <w:vAlign w:val="bottom"/>
            <w:tcBorders>
              <w:bottom w:val="single" w:sz="8" w:color="CCEEFF"/>
            </w:tcBorders>
          </w:tcPr>
          <w:p>
            <w:pPr>
              <w:spacing w:after="0"/>
              <w:rPr>
                <w:sz w:val="23"/>
                <w:szCs w:val="23"/>
                <w:color w:val="auto"/>
              </w:rPr>
            </w:pPr>
          </w:p>
        </w:tc>
        <w:tc>
          <w:tcPr>
            <w:tcW w:w="9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23"/>
                <w:szCs w:val="23"/>
                <w:color w:val="auto"/>
              </w:rPr>
            </w:pPr>
          </w:p>
        </w:tc>
        <w:tc>
          <w:tcPr>
            <w:tcW w:w="9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254"/>
        </w:trPr>
        <w:tc>
          <w:tcPr>
            <w:tcW w:w="40" w:type="dxa"/>
            <w:vAlign w:val="bottom"/>
            <w:shd w:val="clear" w:color="auto" w:fill="CCEEFF"/>
          </w:tcPr>
          <w:p>
            <w:pPr>
              <w:spacing w:after="0"/>
              <w:rPr>
                <w:sz w:val="22"/>
                <w:szCs w:val="22"/>
                <w:color w:val="auto"/>
              </w:rPr>
            </w:pP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Balance, end of year</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(31.6)</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263"/>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Retained Earnings</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1"/>
        </w:trPr>
        <w:tc>
          <w:tcPr>
            <w:tcW w:w="40" w:type="dxa"/>
            <w:vAlign w:val="bottom"/>
            <w:shd w:val="clear" w:color="auto" w:fill="CCEEFF"/>
          </w:tcPr>
          <w:p>
            <w:pPr>
              <w:spacing w:after="0"/>
              <w:rPr>
                <w:sz w:val="23"/>
                <w:szCs w:val="23"/>
                <w:color w:val="auto"/>
              </w:rPr>
            </w:pP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Balance, beginning of year</w:t>
            </w: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736.5</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696.9</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656.8</w:t>
            </w:r>
          </w:p>
        </w:tc>
      </w:tr>
      <w:tr>
        <w:trPr>
          <w:trHeight w:val="266"/>
        </w:trPr>
        <w:tc>
          <w:tcPr>
            <w:tcW w:w="40" w:type="dxa"/>
            <w:vAlign w:val="bottom"/>
          </w:tcPr>
          <w:p>
            <w:pPr>
              <w:spacing w:after="0"/>
              <w:rPr>
                <w:sz w:val="23"/>
                <w:szCs w:val="23"/>
                <w:color w:val="auto"/>
              </w:rPr>
            </w:pP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Net income</w:t>
            </w: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57.2</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76.3</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75.6</w:t>
            </w:r>
          </w:p>
        </w:tc>
      </w:tr>
      <w:tr>
        <w:trPr>
          <w:trHeight w:val="274"/>
        </w:trPr>
        <w:tc>
          <w:tcPr>
            <w:tcW w:w="40" w:type="dxa"/>
            <w:vAlign w:val="bottom"/>
            <w:shd w:val="clear" w:color="auto" w:fill="CCEEFF"/>
          </w:tcPr>
          <w:p>
            <w:pPr>
              <w:spacing w:after="0"/>
              <w:rPr>
                <w:sz w:val="23"/>
                <w:szCs w:val="23"/>
                <w:color w:val="auto"/>
              </w:rPr>
            </w:pP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Dividends</w:t>
            </w: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66"/>
        </w:trPr>
        <w:tc>
          <w:tcPr>
            <w:tcW w:w="40" w:type="dxa"/>
            <w:vAlign w:val="bottom"/>
          </w:tcPr>
          <w:p>
            <w:pPr>
              <w:spacing w:after="0"/>
              <w:rPr>
                <w:sz w:val="23"/>
                <w:szCs w:val="23"/>
                <w:color w:val="auto"/>
              </w:rPr>
            </w:pPr>
          </w:p>
        </w:tc>
        <w:tc>
          <w:tcPr>
            <w:tcW w:w="4660" w:type="dxa"/>
            <w:vAlign w:val="bottom"/>
            <w:gridSpan w:val="2"/>
          </w:tcPr>
          <w:p>
            <w:pPr>
              <w:ind w:left="240"/>
              <w:spacing w:after="0"/>
              <w:rPr>
                <w:sz w:val="20"/>
                <w:szCs w:val="20"/>
                <w:color w:val="auto"/>
              </w:rPr>
            </w:pPr>
            <w:r>
              <w:rPr>
                <w:rFonts w:ascii="Arial" w:cs="Arial" w:eastAsia="Arial" w:hAnsi="Arial"/>
                <w:sz w:val="14"/>
                <w:szCs w:val="14"/>
                <w:color w:val="auto"/>
              </w:rPr>
              <w:t>Common stock</w:t>
            </w: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(36.9)</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(34.6)</w:t>
            </w:r>
          </w:p>
        </w:tc>
      </w:tr>
      <w:tr>
        <w:trPr>
          <w:trHeight w:val="270"/>
        </w:trPr>
        <w:tc>
          <w:tcPr>
            <w:tcW w:w="40" w:type="dxa"/>
            <w:vAlign w:val="bottom"/>
            <w:shd w:val="clear" w:color="auto" w:fill="CCEEFF"/>
          </w:tcPr>
          <w:p>
            <w:pPr>
              <w:spacing w:after="0"/>
              <w:rPr>
                <w:sz w:val="23"/>
                <w:szCs w:val="23"/>
                <w:color w:val="auto"/>
              </w:rPr>
            </w:pPr>
          </w:p>
        </w:tc>
        <w:tc>
          <w:tcPr>
            <w:tcW w:w="46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Stock issued under share-based compensation plans</w:t>
            </w: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r>
      <w:tr>
        <w:trPr>
          <w:trHeight w:val="250"/>
        </w:trPr>
        <w:tc>
          <w:tcPr>
            <w:tcW w:w="40" w:type="dxa"/>
            <w:vAlign w:val="bottom"/>
            <w:tcBorders>
              <w:bottom w:val="single" w:sz="8" w:color="CCEEFF"/>
            </w:tcBorders>
          </w:tcPr>
          <w:p>
            <w:pPr>
              <w:spacing w:after="0"/>
              <w:rPr>
                <w:sz w:val="21"/>
                <w:szCs w:val="21"/>
                <w:color w:val="auto"/>
              </w:rPr>
            </w:pPr>
          </w:p>
        </w:tc>
        <w:tc>
          <w:tcPr>
            <w:tcW w:w="466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Balance, end of year</w:t>
            </w:r>
          </w:p>
        </w:tc>
        <w:tc>
          <w:tcPr>
            <w:tcW w:w="9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756.4</w:t>
            </w:r>
          </w:p>
        </w:tc>
        <w:tc>
          <w:tcPr>
            <w:tcW w:w="12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736.5</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696.9</w:t>
            </w:r>
          </w:p>
        </w:tc>
      </w:tr>
      <w:tr>
        <w:trPr>
          <w:trHeight w:val="241"/>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Total Stockholders’ Equity</w:t>
            </w:r>
          </w:p>
        </w:tc>
        <w:tc>
          <w:tcPr>
            <w:tcW w:w="940" w:type="dxa"/>
            <w:vAlign w:val="bottom"/>
            <w:shd w:val="clear" w:color="auto" w:fill="CCEEFF"/>
          </w:tcPr>
          <w:p>
            <w:pPr>
              <w:spacing w:after="0"/>
              <w:rPr>
                <w:sz w:val="20"/>
                <w:szCs w:val="20"/>
                <w:color w:val="auto"/>
              </w:rPr>
            </w:pP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974.0</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1,007.5</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968.8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21"/>
          <w:szCs w:val="21"/>
          <w:color w:val="auto"/>
          <w:vertAlign w:val="superscript"/>
        </w:rPr>
      </w:pPr>
      <w:r>
        <w:rPr>
          <w:rFonts w:ascii="Arial" w:cs="Arial" w:eastAsia="Arial" w:hAnsi="Arial"/>
          <w:sz w:val="15"/>
          <w:szCs w:val="15"/>
          <w:color w:val="auto"/>
        </w:rPr>
        <w:t>Includes share-based compensation expenses related to discontinued operations of $0.3 million and $0.5 million for 2015 and 2014, respectively.</w:t>
      </w:r>
    </w:p>
    <w:p>
      <w:pPr>
        <w:spacing w:after="0" w:line="127" w:lineRule="exact"/>
        <w:rPr>
          <w:rFonts w:ascii="Arial" w:cs="Arial" w:eastAsia="Arial" w:hAnsi="Arial"/>
          <w:sz w:val="21"/>
          <w:szCs w:val="21"/>
          <w:color w:val="auto"/>
          <w:vertAlign w:val="superscript"/>
        </w:rPr>
      </w:pPr>
    </w:p>
    <w:p>
      <w:pPr>
        <w:ind w:left="3220"/>
        <w:spacing w:after="0"/>
        <w:rPr>
          <w:rFonts w:ascii="Arial" w:cs="Arial" w:eastAsia="Arial" w:hAnsi="Arial"/>
          <w:sz w:val="21"/>
          <w:szCs w:val="21"/>
          <w:color w:val="auto"/>
          <w:vertAlign w:val="superscript"/>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506"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8"/>
              </w:rPr>
              <w:t>Years Ended October 31,</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227"/>
        </w:trPr>
        <w:tc>
          <w:tcPr>
            <w:tcW w:w="7080" w:type="dxa"/>
            <w:vAlign w:val="bottom"/>
            <w:gridSpan w:val="3"/>
          </w:tcPr>
          <w:p>
            <w:pPr>
              <w:ind w:left="4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40" w:type="dxa"/>
            <w:vAlign w:val="bottom"/>
          </w:tcPr>
          <w:p>
            <w:pPr>
              <w:spacing w:after="0"/>
              <w:rPr>
                <w:sz w:val="19"/>
                <w:szCs w:val="19"/>
                <w:color w:val="auto"/>
              </w:rPr>
            </w:pPr>
          </w:p>
        </w:tc>
        <w:tc>
          <w:tcPr>
            <w:tcW w:w="1060" w:type="dxa"/>
            <w:vAlign w:val="bottom"/>
          </w:tcPr>
          <w:p>
            <w:pPr>
              <w:jc w:val="right"/>
              <w:ind w:right="497"/>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7"/>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64"/>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b w:val="1"/>
                <w:bCs w:val="1"/>
                <w:color w:val="auto"/>
              </w:rPr>
              <w:t>Cash flows from operating activities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63"/>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Net income</w:t>
            </w:r>
          </w:p>
        </w:tc>
        <w:tc>
          <w:tcPr>
            <w:tcW w:w="3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57.2</w:t>
            </w: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76.3</w:t>
            </w:r>
          </w:p>
        </w:tc>
        <w:tc>
          <w:tcPr>
            <w:tcW w:w="100" w:type="dxa"/>
            <w:vAlign w:val="bottom"/>
          </w:tcPr>
          <w:p>
            <w:pPr>
              <w:spacing w:after="0"/>
              <w:rPr>
                <w:sz w:val="22"/>
                <w:szCs w:val="22"/>
                <w:color w:val="auto"/>
              </w:rPr>
            </w:pPr>
          </w:p>
        </w:tc>
        <w:tc>
          <w:tcPr>
            <w:tcW w:w="32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75.6</w:t>
            </w:r>
          </w:p>
        </w:tc>
      </w:tr>
      <w:tr>
        <w:trPr>
          <w:trHeight w:val="271"/>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Net loss (income) from discontinued operations</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w:t>
            </w:r>
          </w:p>
        </w:tc>
      </w:tr>
      <w:tr>
        <w:trPr>
          <w:trHeight w:val="250"/>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Income from continuing operations</w:t>
            </w:r>
          </w:p>
        </w:tc>
        <w:tc>
          <w:tcPr>
            <w:tcW w:w="340" w:type="dxa"/>
            <w:vAlign w:val="bottom"/>
          </w:tcPr>
          <w:p>
            <w:pPr>
              <w:spacing w:after="0"/>
              <w:rPr>
                <w:sz w:val="21"/>
                <w:szCs w:val="21"/>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62.3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54.1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66.9</w:t>
            </w:r>
          </w:p>
        </w:tc>
      </w:tr>
      <w:tr>
        <w:trPr>
          <w:trHeight w:val="145"/>
        </w:trPr>
        <w:tc>
          <w:tcPr>
            <w:tcW w:w="7080" w:type="dxa"/>
            <w:vAlign w:val="bottom"/>
            <w:gridSpan w:val="3"/>
            <w:shd w:val="clear" w:color="auto" w:fill="CCEEFF"/>
          </w:tcPr>
          <w:p>
            <w:pPr>
              <w:ind w:left="40"/>
              <w:spacing w:after="0" w:line="145" w:lineRule="exact"/>
              <w:rPr>
                <w:sz w:val="20"/>
                <w:szCs w:val="20"/>
                <w:color w:val="auto"/>
              </w:rPr>
            </w:pPr>
            <w:r>
              <w:rPr>
                <w:rFonts w:ascii="Arial" w:cs="Arial" w:eastAsia="Arial" w:hAnsi="Arial"/>
                <w:sz w:val="13"/>
                <w:szCs w:val="13"/>
                <w:b w:val="1"/>
                <w:bCs w:val="1"/>
                <w:color w:val="auto"/>
              </w:rPr>
              <w:t>Adjustments to reconcile income from continuing operations to net cash provided by operating activities of</w:t>
            </w: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86"/>
        </w:trPr>
        <w:tc>
          <w:tcPr>
            <w:tcW w:w="40" w:type="dxa"/>
            <w:vAlign w:val="bottom"/>
            <w:shd w:val="clear" w:color="auto" w:fill="CCEEFF"/>
          </w:tcPr>
          <w:p>
            <w:pPr>
              <w:spacing w:after="0"/>
              <w:rPr>
                <w:sz w:val="16"/>
                <w:szCs w:val="16"/>
                <w:color w:val="auto"/>
              </w:rPr>
            </w:pPr>
          </w:p>
        </w:tc>
        <w:tc>
          <w:tcPr>
            <w:tcW w:w="7040" w:type="dxa"/>
            <w:vAlign w:val="bottom"/>
            <w:gridSpan w:val="2"/>
            <w:shd w:val="clear" w:color="auto" w:fill="CCEEFF"/>
          </w:tcPr>
          <w:p>
            <w:pPr>
              <w:ind w:left="160"/>
              <w:spacing w:after="0"/>
              <w:rPr>
                <w:sz w:val="20"/>
                <w:szCs w:val="20"/>
                <w:color w:val="auto"/>
              </w:rPr>
            </w:pPr>
            <w:r>
              <w:rPr>
                <w:rFonts w:ascii="Arial" w:cs="Arial" w:eastAsia="Arial" w:hAnsi="Arial"/>
                <w:sz w:val="13"/>
                <w:szCs w:val="13"/>
                <w:b w:val="1"/>
                <w:bCs w:val="1"/>
                <w:color w:val="auto"/>
              </w:rPr>
              <w:t>continuing operations</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63"/>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Depreciation and amortization</w:t>
            </w:r>
          </w:p>
        </w:tc>
        <w:tc>
          <w:tcPr>
            <w:tcW w:w="34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57.5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57.0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56.4</w:t>
            </w:r>
          </w:p>
        </w:tc>
      </w:tr>
      <w:tr>
        <w:trPr>
          <w:trHeight w:val="277"/>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Impairment loss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3"/>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Deferred income taxes</w:t>
            </w:r>
          </w:p>
        </w:tc>
        <w:tc>
          <w:tcPr>
            <w:tcW w:w="34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2.2</w:t>
            </w:r>
          </w:p>
        </w:tc>
      </w:tr>
      <w:tr>
        <w:trPr>
          <w:trHeight w:val="277"/>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Share-based compensation expense</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15.8</w:t>
            </w:r>
          </w:p>
        </w:tc>
      </w:tr>
      <w:tr>
        <w:trPr>
          <w:trHeight w:val="263"/>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Provision for bad debt</w:t>
            </w:r>
          </w:p>
        </w:tc>
        <w:tc>
          <w:tcPr>
            <w:tcW w:w="34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12.9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2.9</w:t>
            </w:r>
          </w:p>
        </w:tc>
      </w:tr>
      <w:tr>
        <w:trPr>
          <w:trHeight w:val="277"/>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Discount accretion on insurance claims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0.4</w:t>
            </w:r>
          </w:p>
        </w:tc>
      </w:tr>
      <w:tr>
        <w:trPr>
          <w:trHeight w:val="263"/>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Gain on sale of assets</w:t>
            </w:r>
          </w:p>
        </w:tc>
        <w:tc>
          <w:tcPr>
            <w:tcW w:w="34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277"/>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Income from unconsolidated affiliates, net</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r>
      <w:tr>
        <w:trPr>
          <w:trHeight w:val="263"/>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Distributions from unconsolidated affiliates</w:t>
            </w:r>
          </w:p>
        </w:tc>
        <w:tc>
          <w:tcPr>
            <w:tcW w:w="34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5.6</w:t>
            </w:r>
          </w:p>
        </w:tc>
      </w:tr>
      <w:tr>
        <w:trPr>
          <w:trHeight w:val="277"/>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Changes in operating assets and liabilities, net of effects of acquisitions: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7040" w:type="dxa"/>
            <w:vAlign w:val="bottom"/>
            <w:gridSpan w:val="2"/>
          </w:tcPr>
          <w:p>
            <w:pPr>
              <w:ind w:left="340"/>
              <w:spacing w:after="0"/>
              <w:rPr>
                <w:sz w:val="20"/>
                <w:szCs w:val="20"/>
                <w:color w:val="auto"/>
              </w:rPr>
            </w:pPr>
            <w:r>
              <w:rPr>
                <w:rFonts w:ascii="Arial" w:cs="Arial" w:eastAsia="Arial" w:hAnsi="Arial"/>
                <w:sz w:val="13"/>
                <w:szCs w:val="13"/>
                <w:color w:val="auto"/>
              </w:rPr>
              <w:t>Trade accounts receivable</w:t>
            </w:r>
          </w:p>
        </w:tc>
        <w:tc>
          <w:tcPr>
            <w:tcW w:w="34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(80.9)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(55.9)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(39.4)</w:t>
            </w:r>
          </w:p>
        </w:tc>
      </w:tr>
      <w:tr>
        <w:trPr>
          <w:trHeight w:val="277"/>
        </w:trPr>
        <w:tc>
          <w:tcPr>
            <w:tcW w:w="40" w:type="dxa"/>
            <w:vAlign w:val="bottom"/>
            <w:shd w:val="clear" w:color="auto" w:fill="CCEEFF"/>
          </w:tcPr>
          <w:p>
            <w:pPr>
              <w:spacing w:after="0"/>
              <w:rPr>
                <w:sz w:val="24"/>
                <w:szCs w:val="24"/>
                <w:color w:val="auto"/>
              </w:rPr>
            </w:pPr>
          </w:p>
        </w:tc>
        <w:tc>
          <w:tcPr>
            <w:tcW w:w="70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Prepaid expenses and other current assets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r>
      <w:tr>
        <w:trPr>
          <w:trHeight w:val="263"/>
        </w:trPr>
        <w:tc>
          <w:tcPr>
            <w:tcW w:w="40" w:type="dxa"/>
            <w:vAlign w:val="bottom"/>
          </w:tcPr>
          <w:p>
            <w:pPr>
              <w:spacing w:after="0"/>
              <w:rPr>
                <w:sz w:val="22"/>
                <w:szCs w:val="22"/>
                <w:color w:val="auto"/>
              </w:rPr>
            </w:pPr>
          </w:p>
        </w:tc>
        <w:tc>
          <w:tcPr>
            <w:tcW w:w="7040" w:type="dxa"/>
            <w:vAlign w:val="bottom"/>
            <w:gridSpan w:val="2"/>
          </w:tcPr>
          <w:p>
            <w:pPr>
              <w:ind w:left="340"/>
              <w:spacing w:after="0"/>
              <w:rPr>
                <w:sz w:val="20"/>
                <w:szCs w:val="20"/>
                <w:color w:val="auto"/>
              </w:rPr>
            </w:pPr>
            <w:r>
              <w:rPr>
                <w:rFonts w:ascii="Arial" w:cs="Arial" w:eastAsia="Arial" w:hAnsi="Arial"/>
                <w:sz w:val="13"/>
                <w:szCs w:val="13"/>
                <w:color w:val="auto"/>
              </w:rPr>
              <w:t>Other noncurrent assets</w:t>
            </w:r>
          </w:p>
        </w:tc>
        <w:tc>
          <w:tcPr>
            <w:tcW w:w="34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(29.5)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15.6</w:t>
            </w:r>
          </w:p>
        </w:tc>
      </w:tr>
      <w:tr>
        <w:trPr>
          <w:trHeight w:val="277"/>
        </w:trPr>
        <w:tc>
          <w:tcPr>
            <w:tcW w:w="40" w:type="dxa"/>
            <w:vAlign w:val="bottom"/>
            <w:shd w:val="clear" w:color="auto" w:fill="CCEEFF"/>
          </w:tcPr>
          <w:p>
            <w:pPr>
              <w:spacing w:after="0"/>
              <w:rPr>
                <w:sz w:val="24"/>
                <w:szCs w:val="24"/>
                <w:color w:val="auto"/>
              </w:rPr>
            </w:pPr>
          </w:p>
        </w:tc>
        <w:tc>
          <w:tcPr>
            <w:tcW w:w="70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Trade accounts payable and other accrued liabilities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w:t>
            </w:r>
          </w:p>
        </w:tc>
      </w:tr>
      <w:tr>
        <w:trPr>
          <w:trHeight w:val="263"/>
        </w:trPr>
        <w:tc>
          <w:tcPr>
            <w:tcW w:w="40" w:type="dxa"/>
            <w:vAlign w:val="bottom"/>
          </w:tcPr>
          <w:p>
            <w:pPr>
              <w:spacing w:after="0"/>
              <w:rPr>
                <w:sz w:val="22"/>
                <w:szCs w:val="22"/>
                <w:color w:val="auto"/>
              </w:rPr>
            </w:pPr>
          </w:p>
        </w:tc>
        <w:tc>
          <w:tcPr>
            <w:tcW w:w="7040" w:type="dxa"/>
            <w:vAlign w:val="bottom"/>
            <w:gridSpan w:val="2"/>
          </w:tcPr>
          <w:p>
            <w:pPr>
              <w:ind w:left="340"/>
              <w:spacing w:after="0"/>
              <w:rPr>
                <w:sz w:val="20"/>
                <w:szCs w:val="20"/>
                <w:color w:val="auto"/>
              </w:rPr>
            </w:pPr>
            <w:r>
              <w:rPr>
                <w:rFonts w:ascii="Arial" w:cs="Arial" w:eastAsia="Arial" w:hAnsi="Arial"/>
                <w:sz w:val="13"/>
                <w:szCs w:val="13"/>
                <w:color w:val="auto"/>
              </w:rPr>
              <w:t>Insurance claims</w:t>
            </w:r>
          </w:p>
        </w:tc>
        <w:tc>
          <w:tcPr>
            <w:tcW w:w="34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33.6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37.4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(8.7)</w:t>
            </w:r>
          </w:p>
        </w:tc>
      </w:tr>
      <w:tr>
        <w:trPr>
          <w:trHeight w:val="277"/>
        </w:trPr>
        <w:tc>
          <w:tcPr>
            <w:tcW w:w="40" w:type="dxa"/>
            <w:vAlign w:val="bottom"/>
            <w:shd w:val="clear" w:color="auto" w:fill="CCEEFF"/>
          </w:tcPr>
          <w:p>
            <w:pPr>
              <w:spacing w:after="0"/>
              <w:rPr>
                <w:sz w:val="24"/>
                <w:szCs w:val="24"/>
                <w:color w:val="auto"/>
              </w:rPr>
            </w:pPr>
          </w:p>
        </w:tc>
        <w:tc>
          <w:tcPr>
            <w:tcW w:w="70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Income taxes payable</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8.3</w:t>
            </w:r>
          </w:p>
        </w:tc>
      </w:tr>
      <w:tr>
        <w:trPr>
          <w:trHeight w:val="264"/>
        </w:trPr>
        <w:tc>
          <w:tcPr>
            <w:tcW w:w="40" w:type="dxa"/>
            <w:vAlign w:val="bottom"/>
            <w:tcBorders>
              <w:bottom w:val="single" w:sz="8" w:color="CCEEFF"/>
            </w:tcBorders>
          </w:tcPr>
          <w:p>
            <w:pPr>
              <w:spacing w:after="0"/>
              <w:rPr>
                <w:sz w:val="22"/>
                <w:szCs w:val="22"/>
                <w:color w:val="auto"/>
              </w:rPr>
            </w:pPr>
          </w:p>
        </w:tc>
        <w:tc>
          <w:tcPr>
            <w:tcW w:w="7040" w:type="dxa"/>
            <w:vAlign w:val="bottom"/>
            <w:tcBorders>
              <w:bottom w:val="single" w:sz="8" w:color="CCEEFF"/>
            </w:tcBorders>
            <w:gridSpan w:val="2"/>
          </w:tcPr>
          <w:p>
            <w:pPr>
              <w:ind w:left="340"/>
              <w:spacing w:after="0"/>
              <w:rPr>
                <w:sz w:val="20"/>
                <w:szCs w:val="20"/>
                <w:color w:val="auto"/>
              </w:rPr>
            </w:pPr>
            <w:r>
              <w:rPr>
                <w:rFonts w:ascii="Arial" w:cs="Arial" w:eastAsia="Arial" w:hAnsi="Arial"/>
                <w:sz w:val="13"/>
                <w:szCs w:val="13"/>
                <w:color w:val="auto"/>
              </w:rPr>
              <w:t>Other noncurrent liabilities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r>
      <w:tr>
        <w:trPr>
          <w:trHeight w:val="250"/>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Total adjustments</w:t>
            </w: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48.2</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91.4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48.7</w:t>
            </w:r>
          </w:p>
        </w:tc>
      </w:tr>
      <w:tr>
        <w:trPr>
          <w:trHeight w:val="250"/>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Net cash provided by operating activities of continuing operations</w:t>
            </w:r>
          </w:p>
        </w:tc>
        <w:tc>
          <w:tcPr>
            <w:tcW w:w="340" w:type="dxa"/>
            <w:vAlign w:val="bottom"/>
          </w:tcPr>
          <w:p>
            <w:pPr>
              <w:spacing w:after="0"/>
              <w:rPr>
                <w:sz w:val="21"/>
                <w:szCs w:val="21"/>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110.5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145.5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115.6</w:t>
            </w:r>
          </w:p>
        </w:tc>
      </w:tr>
      <w:tr>
        <w:trPr>
          <w:trHeight w:val="277"/>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Net cash (used in) provided by operating activities of discontinued operations</w:t>
            </w:r>
          </w:p>
        </w:tc>
        <w:tc>
          <w:tcPr>
            <w:tcW w:w="3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(27.0)</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0.9</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5.6</w:t>
            </w:r>
          </w:p>
        </w:tc>
      </w:tr>
      <w:tr>
        <w:trPr>
          <w:trHeight w:val="246"/>
        </w:trPr>
        <w:tc>
          <w:tcPr>
            <w:tcW w:w="7080" w:type="dxa"/>
            <w:vAlign w:val="bottom"/>
            <w:tcBorders>
              <w:bottom w:val="single" w:sz="8" w:color="CCEEFF"/>
            </w:tcBorders>
            <w:gridSpan w:val="3"/>
          </w:tcPr>
          <w:p>
            <w:pPr>
              <w:ind w:left="40"/>
              <w:spacing w:after="0"/>
              <w:rPr>
                <w:sz w:val="20"/>
                <w:szCs w:val="20"/>
                <w:color w:val="auto"/>
              </w:rPr>
            </w:pPr>
            <w:r>
              <w:rPr>
                <w:rFonts w:ascii="Arial" w:cs="Arial" w:eastAsia="Arial" w:hAnsi="Arial"/>
                <w:sz w:val="13"/>
                <w:szCs w:val="13"/>
                <w:b w:val="1"/>
                <w:bCs w:val="1"/>
                <w:color w:val="auto"/>
              </w:rPr>
              <w:t>Net cash provided by operating activities</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83.5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146.4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121.2</w:t>
            </w:r>
          </w:p>
        </w:tc>
      </w:tr>
      <w:tr>
        <w:trPr>
          <w:trHeight w:val="268"/>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b w:val="1"/>
                <w:bCs w:val="1"/>
                <w:color w:val="auto"/>
              </w:rPr>
              <w:t>Cash flows from investing activities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3"/>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Additions to property, plant and equipment</w:t>
            </w:r>
          </w:p>
        </w:tc>
        <w:tc>
          <w:tcPr>
            <w:tcW w:w="34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(44.0)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(26.5)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(37.4)</w:t>
            </w:r>
          </w:p>
        </w:tc>
      </w:tr>
      <w:tr>
        <w:trPr>
          <w:trHeight w:val="277"/>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Proceeds from sale of assets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w:t>
            </w:r>
          </w:p>
        </w:tc>
      </w:tr>
      <w:tr>
        <w:trPr>
          <w:trHeight w:val="263"/>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Purchase of businesses, net of cash acquired</w:t>
            </w:r>
          </w:p>
        </w:tc>
        <w:tc>
          <w:tcPr>
            <w:tcW w:w="34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(96.0)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(19.2)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(48.2)</w:t>
            </w:r>
          </w:p>
        </w:tc>
      </w:tr>
      <w:tr>
        <w:trPr>
          <w:trHeight w:val="277"/>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Proceeds from redemption of auction rate security</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4"/>
        </w:trPr>
        <w:tc>
          <w:tcPr>
            <w:tcW w:w="7080" w:type="dxa"/>
            <w:vAlign w:val="bottom"/>
            <w:tcBorders>
              <w:bottom w:val="single" w:sz="8" w:color="CCEEFF"/>
            </w:tcBorders>
            <w:gridSpan w:val="3"/>
          </w:tcPr>
          <w:p>
            <w:pPr>
              <w:ind w:left="40"/>
              <w:spacing w:after="0"/>
              <w:rPr>
                <w:sz w:val="20"/>
                <w:szCs w:val="20"/>
                <w:color w:val="auto"/>
              </w:rPr>
            </w:pPr>
            <w:r>
              <w:rPr>
                <w:rFonts w:ascii="Arial" w:cs="Arial" w:eastAsia="Arial" w:hAnsi="Arial"/>
                <w:sz w:val="13"/>
                <w:szCs w:val="13"/>
                <w:color w:val="auto"/>
              </w:rPr>
              <w:t>Investments in unconsolidated affiliates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57"/>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Net cash used in investing activities of continuing operations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(131.7)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(82.0)</w:t>
            </w:r>
          </w:p>
        </w:tc>
      </w:tr>
      <w:tr>
        <w:trPr>
          <w:trHeight w:val="264"/>
        </w:trPr>
        <w:tc>
          <w:tcPr>
            <w:tcW w:w="7080" w:type="dxa"/>
            <w:vAlign w:val="bottom"/>
            <w:tcBorders>
              <w:bottom w:val="single" w:sz="8" w:color="CCEEFF"/>
            </w:tcBorders>
            <w:gridSpan w:val="3"/>
          </w:tcPr>
          <w:p>
            <w:pPr>
              <w:ind w:left="40"/>
              <w:spacing w:after="0"/>
              <w:rPr>
                <w:sz w:val="20"/>
                <w:szCs w:val="20"/>
                <w:color w:val="auto"/>
              </w:rPr>
            </w:pPr>
            <w:r>
              <w:rPr>
                <w:rFonts w:ascii="Arial" w:cs="Arial" w:eastAsia="Arial" w:hAnsi="Arial"/>
                <w:sz w:val="13"/>
                <w:szCs w:val="13"/>
                <w:color w:val="auto"/>
              </w:rPr>
              <w:t>Net cash (used in) provided by investing activities of discontinued operations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130.9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57"/>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b w:val="1"/>
                <w:bCs w:val="1"/>
                <w:color w:val="auto"/>
              </w:rPr>
              <w:t>Net cash (used in) provided by investing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(134.8)</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90.4</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(82.0)</w:t>
            </w:r>
          </w:p>
        </w:tc>
      </w:tr>
      <w:tr>
        <w:trPr>
          <w:trHeight w:val="260"/>
        </w:trPr>
        <w:tc>
          <w:tcPr>
            <w:tcW w:w="7080" w:type="dxa"/>
            <w:vAlign w:val="bottom"/>
            <w:gridSpan w:val="3"/>
          </w:tcPr>
          <w:p>
            <w:pPr>
              <w:ind w:left="40"/>
              <w:spacing w:after="0"/>
              <w:rPr>
                <w:sz w:val="20"/>
                <w:szCs w:val="20"/>
                <w:color w:val="auto"/>
              </w:rPr>
            </w:pPr>
            <w:r>
              <w:rPr>
                <w:rFonts w:ascii="Arial" w:cs="Arial" w:eastAsia="Arial" w:hAnsi="Arial"/>
                <w:sz w:val="13"/>
                <w:szCs w:val="13"/>
                <w:b w:val="1"/>
                <w:bCs w:val="1"/>
                <w:color w:val="auto"/>
              </w:rPr>
              <w:t>Cash flows from financing activities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4"/>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Proceeds from issuance of share-based compensation awards, net of taxes withheld</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10.0</w:t>
            </w:r>
          </w:p>
        </w:tc>
      </w:tr>
      <w:tr>
        <w:trPr>
          <w:trHeight w:val="263"/>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Incremental tax benefit from share-based compensation awards</w:t>
            </w:r>
          </w:p>
        </w:tc>
        <w:tc>
          <w:tcPr>
            <w:tcW w:w="34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5.1</w:t>
            </w:r>
          </w:p>
        </w:tc>
      </w:tr>
      <w:tr>
        <w:trPr>
          <w:trHeight w:val="277"/>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Repurchases of common stock</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(46.6)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r>
      <w:tr>
        <w:trPr>
          <w:trHeight w:val="263"/>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Dividends paid</w:t>
            </w:r>
          </w:p>
        </w:tc>
        <w:tc>
          <w:tcPr>
            <w:tcW w:w="34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(36.9)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(36.0)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(34.6)</w:t>
            </w:r>
          </w:p>
        </w:tc>
      </w:tr>
      <w:tr>
        <w:trPr>
          <w:trHeight w:val="277"/>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Deferred financing costs paid</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263"/>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Borrowings from line of credit</w:t>
            </w:r>
          </w:p>
        </w:tc>
        <w:tc>
          <w:tcPr>
            <w:tcW w:w="34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1,052.3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958.3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1,089.1</w:t>
            </w:r>
          </w:p>
        </w:tc>
      </w:tr>
      <w:tr>
        <w:trPr>
          <w:trHeight w:val="277"/>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Repayment of borrowings from line of credit</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(942.0)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(1,120.1)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(1,084.2)</w:t>
            </w:r>
          </w:p>
        </w:tc>
      </w:tr>
      <w:tr>
        <w:trPr>
          <w:trHeight w:val="263"/>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Changes in book cash overdrafts</w:t>
            </w:r>
          </w:p>
        </w:tc>
        <w:tc>
          <w:tcPr>
            <w:tcW w:w="34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0.7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6.6</w:t>
            </w:r>
          </w:p>
        </w:tc>
      </w:tr>
      <w:tr>
        <w:trPr>
          <w:trHeight w:val="277"/>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Financing of energy savings performance contracts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3"/>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Repayment of capital lease obligations</w:t>
            </w:r>
          </w:p>
        </w:tc>
        <w:tc>
          <w:tcPr>
            <w:tcW w:w="34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(5.4)</w:t>
            </w:r>
          </w:p>
        </w:tc>
      </w:tr>
      <w:tr>
        <w:trPr>
          <w:trHeight w:val="277"/>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Payment of contingent consideration</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46"/>
        </w:trPr>
        <w:tc>
          <w:tcPr>
            <w:tcW w:w="7080" w:type="dxa"/>
            <w:vAlign w:val="bottom"/>
            <w:tcBorders>
              <w:bottom w:val="single" w:sz="8" w:color="CCEEFF"/>
            </w:tcBorders>
            <w:gridSpan w:val="3"/>
          </w:tcPr>
          <w:p>
            <w:pPr>
              <w:ind w:left="40"/>
              <w:spacing w:after="0"/>
              <w:rPr>
                <w:sz w:val="20"/>
                <w:szCs w:val="20"/>
                <w:color w:val="auto"/>
              </w:rPr>
            </w:pPr>
            <w:r>
              <w:rPr>
                <w:rFonts w:ascii="Arial" w:cs="Arial" w:eastAsia="Arial" w:hAnsi="Arial"/>
                <w:sz w:val="13"/>
                <w:szCs w:val="13"/>
                <w:b w:val="1"/>
                <w:bCs w:val="1"/>
                <w:color w:val="auto"/>
              </w:rPr>
              <w:t>Net cash provided by (used in) financing activities</w:t>
            </w:r>
          </w:p>
        </w:tc>
        <w:tc>
          <w:tcPr>
            <w:tcW w:w="3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52.6</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(216.9)</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(34.6)</w:t>
            </w:r>
          </w:p>
        </w:tc>
      </w:tr>
      <w:tr>
        <w:trPr>
          <w:trHeight w:val="250"/>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b w:val="1"/>
                <w:bCs w:val="1"/>
                <w:color w:val="auto"/>
              </w:rPr>
              <w:t>Effect of exchange rate changes on cash and cash equivalents</w:t>
            </w: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(3.3)</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r>
      <w:tr>
        <w:trPr>
          <w:trHeight w:val="247"/>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Net (decrease) increase in cash and cash equivalents</w:t>
            </w:r>
          </w:p>
        </w:tc>
        <w:tc>
          <w:tcPr>
            <w:tcW w:w="34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4.1</w:t>
            </w:r>
          </w:p>
        </w:tc>
      </w:tr>
      <w:tr>
        <w:trPr>
          <w:trHeight w:val="277"/>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b w:val="1"/>
                <w:bCs w:val="1"/>
                <w:color w:val="auto"/>
              </w:rPr>
              <w:t>Cash and cash equivalents at beginning of year</w:t>
            </w:r>
          </w:p>
        </w:tc>
        <w:tc>
          <w:tcPr>
            <w:tcW w:w="3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55.5</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36.7</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32.6</w:t>
            </w:r>
          </w:p>
        </w:tc>
      </w:tr>
      <w:tr>
        <w:trPr>
          <w:trHeight w:val="246"/>
        </w:trPr>
        <w:tc>
          <w:tcPr>
            <w:tcW w:w="7080" w:type="dxa"/>
            <w:vAlign w:val="bottom"/>
            <w:gridSpan w:val="3"/>
          </w:tcPr>
          <w:p>
            <w:pPr>
              <w:ind w:left="40"/>
              <w:spacing w:after="0"/>
              <w:rPr>
                <w:sz w:val="20"/>
                <w:szCs w:val="20"/>
                <w:color w:val="auto"/>
              </w:rPr>
            </w:pPr>
            <w:r>
              <w:rPr>
                <w:rFonts w:ascii="Arial" w:cs="Arial" w:eastAsia="Arial" w:hAnsi="Arial"/>
                <w:sz w:val="13"/>
                <w:szCs w:val="13"/>
                <w:b w:val="1"/>
                <w:bCs w:val="1"/>
                <w:color w:val="auto"/>
              </w:rPr>
              <w:t>Cash and cash equivalents at end of year</w:t>
            </w:r>
          </w:p>
        </w:tc>
        <w:tc>
          <w:tcPr>
            <w:tcW w:w="340" w:type="dxa"/>
            <w:vAlign w:val="bottom"/>
          </w:tcPr>
          <w:p>
            <w:pPr>
              <w:spacing w:after="0"/>
              <w:rPr>
                <w:sz w:val="21"/>
                <w:szCs w:val="21"/>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53.5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55.5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36.7</w:t>
            </w:r>
          </w:p>
        </w:tc>
      </w:tr>
      <w:tr>
        <w:trPr>
          <w:trHeight w:val="270"/>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b w:val="1"/>
                <w:bCs w:val="1"/>
                <w:color w:val="auto"/>
              </w:rPr>
              <w:t>Less: Cash and cash equivalents held for sale</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41"/>
        </w:trPr>
        <w:tc>
          <w:tcPr>
            <w:tcW w:w="7080" w:type="dxa"/>
            <w:vAlign w:val="bottom"/>
            <w:gridSpan w:val="3"/>
          </w:tcPr>
          <w:p>
            <w:pPr>
              <w:ind w:left="40"/>
              <w:spacing w:after="0"/>
              <w:rPr>
                <w:sz w:val="20"/>
                <w:szCs w:val="20"/>
                <w:color w:val="auto"/>
              </w:rPr>
            </w:pPr>
            <w:r>
              <w:rPr>
                <w:rFonts w:ascii="Arial" w:cs="Arial" w:eastAsia="Arial" w:hAnsi="Arial"/>
                <w:sz w:val="13"/>
                <w:szCs w:val="13"/>
                <w:b w:val="1"/>
                <w:bCs w:val="1"/>
                <w:color w:val="auto"/>
              </w:rPr>
              <w:t>Cash and cash equivalents</w:t>
            </w:r>
          </w:p>
        </w:tc>
        <w:tc>
          <w:tcPr>
            <w:tcW w:w="3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56.0</w:t>
            </w: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55.5</w:t>
            </w:r>
          </w:p>
        </w:tc>
        <w:tc>
          <w:tcPr>
            <w:tcW w:w="100" w:type="dxa"/>
            <w:vAlign w:val="bottom"/>
          </w:tcPr>
          <w:p>
            <w:pPr>
              <w:spacing w:after="0"/>
              <w:rPr>
                <w:sz w:val="20"/>
                <w:szCs w:val="20"/>
                <w:color w:val="auto"/>
              </w:rPr>
            </w:pPr>
          </w:p>
        </w:tc>
        <w:tc>
          <w:tcPr>
            <w:tcW w:w="32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36.7</w:t>
            </w: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20" w:right="239" w:bottom="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9019"/>
          </w:cols>
          <w:pgMar w:left="1440" w:top="364" w:right="1440"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Years Ended October 31,</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24"/>
        </w:trPr>
        <w:tc>
          <w:tcPr>
            <w:tcW w:w="6400" w:type="dxa"/>
            <w:vAlign w:val="bottom"/>
            <w:gridSpan w:val="3"/>
          </w:tcPr>
          <w:p>
            <w:pPr>
              <w:ind w:left="4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80" w:type="dxa"/>
            <w:vAlign w:val="bottom"/>
          </w:tcPr>
          <w:p>
            <w:pPr>
              <w:spacing w:after="0"/>
              <w:rPr>
                <w:sz w:val="19"/>
                <w:szCs w:val="19"/>
                <w:color w:val="auto"/>
              </w:rPr>
            </w:pPr>
          </w:p>
        </w:tc>
        <w:tc>
          <w:tcPr>
            <w:tcW w:w="1260" w:type="dxa"/>
            <w:vAlign w:val="bottom"/>
          </w:tcPr>
          <w:p>
            <w:pPr>
              <w:jc w:val="right"/>
              <w:ind w:right="58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57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4"/>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data</w:t>
            </w: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66"/>
        </w:trPr>
        <w:tc>
          <w:tcPr>
            <w:tcW w:w="6400" w:type="dxa"/>
            <w:vAlign w:val="bottom"/>
            <w:gridSpan w:val="3"/>
          </w:tcPr>
          <w:p>
            <w:pPr>
              <w:ind w:left="40"/>
              <w:spacing w:after="0"/>
              <w:rPr>
                <w:sz w:val="20"/>
                <w:szCs w:val="20"/>
                <w:color w:val="auto"/>
              </w:rPr>
            </w:pPr>
            <w:r>
              <w:rPr>
                <w:rFonts w:ascii="Arial" w:cs="Arial" w:eastAsia="Arial" w:hAnsi="Arial"/>
                <w:sz w:val="14"/>
                <w:szCs w:val="14"/>
                <w:color w:val="auto"/>
              </w:rPr>
              <w:t>Cash paid for income taxes, net of refunds received</w:t>
            </w: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12.6</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23"/>
                <w:szCs w:val="23"/>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32.9</w:t>
            </w:r>
          </w:p>
        </w:tc>
      </w:tr>
      <w:tr>
        <w:trPr>
          <w:trHeight w:val="274"/>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Interest paid on line of credit</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w:t>
            </w: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520"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NATURE OF OPERATIONS</w:t>
      </w:r>
    </w:p>
    <w:p>
      <w:pPr>
        <w:spacing w:after="0" w:line="1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ABM Industries Incorporated, which operates through its subsidiaries (collectively referred to as “ABM,” “we,” “us,” “our,” or the “Company”), is a leading provider of integrated facility solutions, customized by industry, that enable our clients to deliver exceptional facilities experiences. Our mission is to take care of the people, places, and spaces that matter to our clients. ABM’s comprehensive services include electrical and lighting, energy solutions, facilities engineering, HVAC and mechanical, janitorial, landscape and turf, mission critical solutions, and parking, which we provide through </w:t>
      </w:r>
      <w:r>
        <w:rPr>
          <w:rFonts w:ascii="Arial" w:cs="Arial" w:eastAsia="Arial" w:hAnsi="Arial"/>
          <w:sz w:val="18"/>
          <w:szCs w:val="18"/>
          <w:color w:val="333333"/>
        </w:rPr>
        <w:t>stand-alone or integrated solutions</w:t>
      </w:r>
      <w:r>
        <w:rPr>
          <w:rFonts w:ascii="Arial" w:cs="Arial" w:eastAsia="Arial" w:hAnsi="Arial"/>
          <w:sz w:val="18"/>
          <w:szCs w:val="18"/>
          <w:color w:val="auto"/>
        </w:rPr>
        <w:t>. We serve urban, suburban, and rural areas and properties of all sizes—from schools and commercial buildings to airports, data centers, hospitals, and manufacturing plants.</w:t>
      </w:r>
    </w:p>
    <w:p>
      <w:pPr>
        <w:spacing w:after="0" w:line="122" w:lineRule="exact"/>
        <w:rPr>
          <w:sz w:val="20"/>
          <w:szCs w:val="20"/>
          <w:color w:val="auto"/>
        </w:rPr>
      </w:pPr>
    </w:p>
    <w:p>
      <w:pPr>
        <w:ind w:right="5120" w:firstLine="8"/>
        <w:spacing w:after="0" w:line="439" w:lineRule="auto"/>
        <w:tabs>
          <w:tab w:leader="none" w:pos="2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 Basis of Presentation and Principles of Consolidation</w:t>
      </w:r>
    </w:p>
    <w:p>
      <w:pPr>
        <w:spacing w:after="0" w:line="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consolidated financial statements and accompanying notes (the “Financial Statements”) have been prepared in accordance with United States generally accepted accounting principles (“U.S. GAAP”) and with the rules and regulations of the Securities and Exchange Commission (“SEC”), specifically Regulation S-X and the instructions to Form 10-K. Unless otherwise indicated, all references to years are to our fiscal year, which ends on October 31.</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Financial Statements include the accounts of ABM and all of our consolidated subsidiaries. We account for ABM’s investments in unconsolidated affiliates under the equity method of accounting. We include the results of acquired businesses in the consolidated statements of comprehensive income from their respective acquisition dates. All intercompany accounts and transactions have been eliminated in consolidation.</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preparation of consolidated financial statements in accordance with U.S. GAAP requires our management to make certain estimates that affect the reported amounts. We base our estimates on historical experience, known or expected trends, independent valuations, and various other assumptions that we believe to be reasonable under the circumstances. As future events and their effects cannot be determined with precision, actual results could differ significantly from these estimates.</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fourth quarter of 2016, we decided to sell our Government Services business, which is included within our Building &amp; Energy Solutions segment. The assets and liabilities of this business have been classified as held for sale for the current period. See Note 4, “Held for Sale,” for further information. In addition, see Note 5, “Discontinued Operations,” for further information regarding the presentation of discontinued operations related to the sale of our Security business during 2015.</w:t>
      </w:r>
    </w:p>
    <w:p>
      <w:pPr>
        <w:spacing w:after="0" w:line="116"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We round amounts in the Financial Statements to millions and calculate all percentages and per-share data from the underlying whole-dollar amounts. Thus, certain amounts may not foot, crossfoot, or recalculate based on reported numbers due to rounding.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Adopted During the Year</w:t>
      </w:r>
    </w:p>
    <w:p>
      <w:pPr>
        <w:spacing w:after="0" w:line="17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During the third quarter of 2016, we early adopted Accounting Standards Update (“ASU”) 2016-09, </w:t>
      </w:r>
      <w:r>
        <w:rPr>
          <w:rFonts w:ascii="Arial" w:cs="Arial" w:eastAsia="Arial" w:hAnsi="Arial"/>
          <w:sz w:val="18"/>
          <w:szCs w:val="18"/>
          <w:i w:val="1"/>
          <w:iCs w:val="1"/>
          <w:color w:val="auto"/>
        </w:rPr>
        <w:t xml:space="preserve">Improvements to Employee Share-Based Payment Accounting, </w:t>
      </w:r>
      <w:r>
        <w:rPr>
          <w:rFonts w:ascii="Arial" w:cs="Arial" w:eastAsia="Arial" w:hAnsi="Arial"/>
          <w:sz w:val="18"/>
          <w:szCs w:val="18"/>
          <w:color w:val="auto"/>
        </w:rPr>
        <w:t>with an effective date of November 1, 2015. Prior to the adoption of this guidance, we recognized excess tax</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in additional paid-in capital. As a result of this ASU, we recognized a $2.2 million benefit within our income tax provision, or $0.04 per diluted share, related to excess tax benefits that occurred during 2016. As we typically experience the largest volume of stock option exercises and RSU vestings in the third quarter, the majority of the benefit was related to the third quarter of 2016. In accordance with this ASU, we have classified these excess tax benefits as cash flows from operating activities rather than cash flows from financing activities on a prospective basis. In addition, we will continue to estimate the number of awards expected to vest, rather than electing to account for forfeitures as they occur.</w:t>
      </w:r>
    </w:p>
    <w:p>
      <w:pPr>
        <w:spacing w:after="0" w:line="124"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 xml:space="preserve">During the first quarter of 2016, we early adopted ASU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xml:space="preserve"> on a retrospective basis. As a result, all deferred tax assets and liabilities are now classified as noncurrent on our consolidated balance sheets.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344"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51"/>
        </w:trPr>
        <w:tc>
          <w:tcPr>
            <w:tcW w:w="50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Prior Year Reclassifications</w:t>
            </w:r>
          </w:p>
        </w:tc>
        <w:tc>
          <w:tcPr>
            <w:tcW w:w="1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490"/>
        </w:trPr>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Previously Reported</w:t>
            </w: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jc w:val="right"/>
              <w:ind w:right="590"/>
              <w:spacing w:after="0"/>
              <w:rPr>
                <w:sz w:val="20"/>
                <w:szCs w:val="20"/>
                <w:color w:val="auto"/>
              </w:rPr>
            </w:pPr>
            <w:r>
              <w:rPr>
                <w:rFonts w:ascii="Arial" w:cs="Arial" w:eastAsia="Arial" w:hAnsi="Arial"/>
                <w:sz w:val="18"/>
                <w:szCs w:val="18"/>
                <w:b w:val="1"/>
                <w:bCs w:val="1"/>
                <w:color w:val="auto"/>
              </w:rPr>
              <w:t>Revised</w:t>
            </w:r>
          </w:p>
        </w:tc>
      </w:tr>
      <w:tr>
        <w:trPr>
          <w:trHeight w:val="214"/>
        </w:trPr>
        <w:tc>
          <w:tcPr>
            <w:tcW w:w="8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Pr>
          <w:p>
            <w:pPr>
              <w:spacing w:after="0"/>
              <w:rPr>
                <w:sz w:val="18"/>
                <w:szCs w:val="18"/>
                <w:color w:val="auto"/>
              </w:rPr>
            </w:pPr>
          </w:p>
        </w:tc>
        <w:tc>
          <w:tcPr>
            <w:tcW w:w="2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October 31, 2015</w:t>
            </w:r>
          </w:p>
        </w:tc>
        <w:tc>
          <w:tcPr>
            <w:tcW w:w="320" w:type="dxa"/>
            <w:vAlign w:val="bottom"/>
          </w:tcPr>
          <w:p>
            <w:pPr>
              <w:spacing w:after="0"/>
              <w:rPr>
                <w:sz w:val="18"/>
                <w:szCs w:val="18"/>
                <w:color w:val="auto"/>
              </w:rPr>
            </w:pPr>
          </w:p>
        </w:tc>
        <w:tc>
          <w:tcPr>
            <w:tcW w:w="1840" w:type="dxa"/>
            <w:vAlign w:val="bottom"/>
            <w:gridSpan w:val="2"/>
          </w:tcPr>
          <w:p>
            <w:pPr>
              <w:ind w:left="220"/>
              <w:spacing w:after="0"/>
              <w:rPr>
                <w:sz w:val="20"/>
                <w:szCs w:val="20"/>
                <w:color w:val="auto"/>
              </w:rPr>
            </w:pPr>
            <w:r>
              <w:rPr>
                <w:rFonts w:ascii="Arial" w:cs="Arial" w:eastAsia="Arial" w:hAnsi="Arial"/>
                <w:sz w:val="18"/>
                <w:szCs w:val="18"/>
                <w:b w:val="1"/>
                <w:bCs w:val="1"/>
                <w:color w:val="auto"/>
              </w:rPr>
              <w:t>Adjustment</w:t>
            </w:r>
          </w:p>
        </w:tc>
        <w:tc>
          <w:tcPr>
            <w:tcW w:w="220" w:type="dxa"/>
            <w:vAlign w:val="bottom"/>
          </w:tcPr>
          <w:p>
            <w:pPr>
              <w:spacing w:after="0"/>
              <w:rPr>
                <w:sz w:val="18"/>
                <w:szCs w:val="18"/>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b w:val="1"/>
                <w:bCs w:val="1"/>
                <w:color w:val="auto"/>
              </w:rPr>
              <w:t>October 31, 2015</w:t>
            </w:r>
          </w:p>
        </w:tc>
      </w:tr>
      <w:tr>
        <w:trPr>
          <w:trHeight w:val="21"/>
        </w:trPr>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50"/>
        </w:trPr>
        <w:tc>
          <w:tcPr>
            <w:tcW w:w="80" w:type="dxa"/>
            <w:vAlign w:val="bottom"/>
            <w:tcBorders>
              <w:right w:val="single" w:sz="8" w:color="CCEEFF"/>
            </w:tcBorders>
          </w:tcPr>
          <w:p>
            <w:pPr>
              <w:spacing w:after="0"/>
              <w:rPr>
                <w:sz w:val="21"/>
                <w:szCs w:val="21"/>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asset, net (current)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65"/>
        </w:trPr>
        <w:tc>
          <w:tcPr>
            <w:tcW w:w="80" w:type="dxa"/>
            <w:vAlign w:val="bottom"/>
          </w:tcPr>
          <w:p>
            <w:pPr>
              <w:spacing w:after="0"/>
              <w:rPr>
                <w:sz w:val="23"/>
                <w:szCs w:val="23"/>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Deferred income tax liability, net (noncurrent)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5"/>
        </w:trPr>
        <w:tc>
          <w:tcPr>
            <w:tcW w:w="80" w:type="dxa"/>
            <w:vAlign w:val="bottom"/>
            <w:tcBorders>
              <w:right w:val="single" w:sz="8" w:color="CCEEFF"/>
            </w:tcBorders>
          </w:tcPr>
          <w:p>
            <w:pPr>
              <w:spacing w:after="0"/>
              <w:rPr>
                <w:sz w:val="23"/>
                <w:szCs w:val="23"/>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asset, net (noncurrent)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34.1</w:t>
            </w:r>
          </w:p>
        </w:tc>
      </w:tr>
    </w:tbl>
    <w:p>
      <w:pPr>
        <w:spacing w:after="0" w:line="13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In addition, certain prior year amounts in our consolidated statements of cash flows have been reclassified to conform with the current year presentation.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consider all highly liquid securities with an original maturity of three months or less to be cash and cash equivalents. As part of our cash management system, we use “zero balance” accounts to fund our disbursements. Under this system, at the end of each day the bank balance is zero, while the book balance is usually a negative amount due to reconciling items, such as outstanding checks. We report the changes in these book cash overdrafts as cash flows from financing activities.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Accounts Receivable</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Trade accounts receivable arise from services provided to our clients and are usually due and payable on varying terms from receipt of the invoice to net ninety days, with the exception of certain U.S. government receivables that generally have longer collection periods. These receivables are recorded at the invoiced amount and normally do not bear interest. In addition, our trade accounts receivable includes unbilled receivables that represent costs and estimated earnings in excess of billings on uncompleted contracts related to fixed-price repair and refurbishment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determine the allowance for doubtful accounts based on historical write-offs, known or expected trends, and the identification of specific balances deemed uncollectible. For the specifically identified balances, we establish the reserve upon the earlier of a client’s inability to meet its financial obligations or after a period of twelve months, unless our management believes such amounts will ultimately be collectible.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Allowance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our service contracts, we periodically issue credit memos to our clients that are recorded as a reduction in revenues and an increase to the allowance for billing adjustments. These credits can result from client vacancy discounts, job cancellations, property damage, and other items. We estimate our potential future losses on these client receivables based on an analysis of the historical rate of sales adjustments (credit memos, net of re-bills) and known or expected trends.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Assets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October 31, 2016 and 2015, other current assets primarily consisted of other receivables and short-term insurance recoverables.</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522"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Other Investments</w:t>
      </w:r>
    </w:p>
    <w:p>
      <w:pPr>
        <w:spacing w:after="0" w:line="17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At October 31, 2016 and 2015, other investments primarily consisted of investments in unconsolidated affiliates and investments in auction rate securities.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Affiliates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own non-controlling interests (generally 20% to 50%) in certain affiliated entities that predominantly provide facility solutions to governmental and commercial clients, primarily in the United States and the Middle East. We account for such investments under the equity method of accounting. We evaluate our equity method investments for impairment whenever events or changes in circumstances indicate that the carrying amounts of such investments may not be recoverable. An impairment loss is recognized to the extent that the estimated fair value of the investment is less than its carrying amount and we determine that the impairment is other-than-temporary. At October 31, 2016 and 2015, our investments in unconsolidated affiliates were $17.1 million and $22.6 million, respectively. At October 31, 2016, we classified a portion of these investments as held for sale as they relate to our Government Services business. In connection with the held-for-sale classification, we recognized an impairment charge of $5.0 million to write-down these investments to their estimated fair value in 2016. See Note 4, “Held for Sale,” for further information. We did not recognize any impairment charges on these investments in 2015 or 2014.</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Auction Rate Securities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investments in auction rate securities are classified as available-for-sale. Accordingly, auction rate securities are presented at fair value with unrealized gains and losses recorded in accumulated other comprehensive loss (“AOCL”). On a quarterly basis, we analyze all auction rate securities that have unrealized losses for impairment consideration and assess the intent to sell such securities. If such intent exists, impaired securities are considered other-than-temporarily impaired and we recognize the entire difference between the auction rate security’s amortized cost and its fair value in earnings. We also consider if we may be required to sell the securities prior to the recovery of amortized cost, which may trigger an impairment charge. If these securities are considered impaired, we assess whether the amortized costs of the securities can be recovered by reviewing several factors, including credit risks associated with the issuer. If we do not expect to recover the entire amortized cost of the security, we consider the security to be other-than-temporarily impaired, and record the difference between the security’s amortized costs and its recoverable amount in earnings and the difference between the security’s amortized cost and fair value in AOCL.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record property, plant and equipment at cost. Repairs and maintenance expenditures are expensed as incurred. In contrast, we capitalize major renewals or replacements that substantially extend the useful life of an asset. We determine depreciation for financial reporting purposes using the straight-line method over the following estimated useful lives:</w:t>
      </w:r>
    </w:p>
    <w:p>
      <w:pPr>
        <w:spacing w:after="0" w:line="247" w:lineRule="exact"/>
        <w:rPr>
          <w:sz w:val="20"/>
          <w:szCs w:val="20"/>
          <w:color w:val="auto"/>
        </w:rPr>
      </w:pPr>
    </w:p>
    <w:tbl>
      <w:tblPr>
        <w:tblLayout w:type="fixed"/>
        <w:tblInd w:w="50" w:type="dxa"/>
        <w:tblCellMar>
          <w:top w:w="0" w:type="dxa"/>
          <w:left w:w="0" w:type="dxa"/>
          <w:bottom w:w="0" w:type="dxa"/>
          <w:right w:w="0" w:type="dxa"/>
        </w:tblCellMar>
      </w:tblPr>
      <w:tr>
        <w:trPr>
          <w:trHeight w:val="216"/>
        </w:trPr>
        <w:tc>
          <w:tcPr>
            <w:tcW w:w="40" w:type="dxa"/>
            <w:vAlign w:val="bottom"/>
            <w:tcBorders>
              <w:top w:val="single" w:sz="8" w:color="auto"/>
              <w:left w:val="single" w:sz="8" w:color="auto"/>
            </w:tcBorders>
          </w:tcPr>
          <w:p>
            <w:pPr>
              <w:spacing w:after="0"/>
              <w:rPr>
                <w:sz w:val="18"/>
                <w:szCs w:val="18"/>
                <w:color w:val="auto"/>
              </w:rPr>
            </w:pPr>
          </w:p>
        </w:tc>
        <w:tc>
          <w:tcPr>
            <w:tcW w:w="54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Category</w:t>
            </w:r>
          </w:p>
        </w:tc>
        <w:tc>
          <w:tcPr>
            <w:tcW w:w="5860" w:type="dxa"/>
            <w:vAlign w:val="bottom"/>
            <w:tcBorders>
              <w:top w:val="single" w:sz="8" w:color="auto"/>
              <w:right w:val="single" w:sz="8" w:color="auto"/>
            </w:tcBorders>
            <w:gridSpan w:val="3"/>
          </w:tcPr>
          <w:p>
            <w:pPr>
              <w:ind w:left="2760"/>
              <w:spacing w:after="0"/>
              <w:rPr>
                <w:sz w:val="20"/>
                <w:szCs w:val="20"/>
                <w:color w:val="auto"/>
              </w:rPr>
            </w:pPr>
            <w:r>
              <w:rPr>
                <w:rFonts w:ascii="Arial" w:cs="Arial" w:eastAsia="Arial" w:hAnsi="Arial"/>
                <w:sz w:val="18"/>
                <w:szCs w:val="18"/>
                <w:b w:val="1"/>
                <w:bCs w:val="1"/>
                <w:color w:val="auto"/>
              </w:rPr>
              <w:t>Years</w:t>
            </w:r>
          </w:p>
        </w:tc>
      </w:tr>
      <w:tr>
        <w:trPr>
          <w:trHeight w:val="34"/>
        </w:trPr>
        <w:tc>
          <w:tcPr>
            <w:tcW w:w="40" w:type="dxa"/>
            <w:vAlign w:val="bottom"/>
            <w:tcBorders>
              <w:left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7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620" w:type="dxa"/>
            <w:vAlign w:val="bottom"/>
            <w:tcBorders>
              <w:right w:val="single" w:sz="8" w:color="auto"/>
            </w:tcBorders>
          </w:tcPr>
          <w:p>
            <w:pPr>
              <w:spacing w:after="0"/>
              <w:rPr>
                <w:sz w:val="2"/>
                <w:szCs w:val="2"/>
                <w:color w:val="auto"/>
              </w:rPr>
            </w:pPr>
          </w:p>
        </w:tc>
      </w:tr>
      <w:tr>
        <w:trPr>
          <w:trHeight w:val="257"/>
        </w:trPr>
        <w:tc>
          <w:tcPr>
            <w:tcW w:w="40" w:type="dxa"/>
            <w:vAlign w:val="bottom"/>
            <w:tcBorders>
              <w:left w:val="single" w:sz="8" w:color="auto"/>
            </w:tcBorders>
            <w:shd w:val="clear" w:color="auto" w:fill="CCEEFF"/>
          </w:tcPr>
          <w:p>
            <w:pPr>
              <w:spacing w:after="0"/>
              <w:rPr>
                <w:sz w:val="22"/>
                <w:szCs w:val="22"/>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2760" w:type="dxa"/>
            <w:vAlign w:val="bottom"/>
            <w:shd w:val="clear" w:color="auto" w:fill="CCEEFF"/>
          </w:tcPr>
          <w:p>
            <w:pPr>
              <w:spacing w:after="0"/>
              <w:rPr>
                <w:sz w:val="22"/>
                <w:szCs w:val="22"/>
                <w:color w:val="auto"/>
              </w:rPr>
            </w:pPr>
          </w:p>
        </w:tc>
        <w:tc>
          <w:tcPr>
            <w:tcW w:w="3100" w:type="dxa"/>
            <w:vAlign w:val="bottom"/>
            <w:tcBorders>
              <w:right w:val="single" w:sz="8" w:color="auto"/>
            </w:tcBorders>
            <w:gridSpan w:val="2"/>
            <w:shd w:val="clear" w:color="auto" w:fill="CCEEFF"/>
          </w:tcPr>
          <w:p>
            <w:pPr>
              <w:jc w:val="center"/>
              <w:ind w:right="2640"/>
              <w:spacing w:after="0"/>
              <w:rPr>
                <w:sz w:val="20"/>
                <w:szCs w:val="20"/>
                <w:color w:val="auto"/>
              </w:rPr>
            </w:pPr>
            <w:r>
              <w:rPr>
                <w:rFonts w:ascii="Arial" w:cs="Arial" w:eastAsia="Arial" w:hAnsi="Arial"/>
                <w:sz w:val="18"/>
                <w:szCs w:val="18"/>
                <w:color w:val="auto"/>
                <w:w w:val="99"/>
              </w:rPr>
              <w:t>3–5</w:t>
            </w:r>
          </w:p>
        </w:tc>
      </w:tr>
      <w:tr>
        <w:trPr>
          <w:trHeight w:val="252"/>
        </w:trPr>
        <w:tc>
          <w:tcPr>
            <w:tcW w:w="40" w:type="dxa"/>
            <w:vAlign w:val="bottom"/>
            <w:tcBorders>
              <w:left w:val="single" w:sz="8" w:color="auto"/>
            </w:tcBorders>
          </w:tcPr>
          <w:p>
            <w:pPr>
              <w:spacing w:after="0"/>
              <w:rPr>
                <w:sz w:val="21"/>
                <w:szCs w:val="21"/>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Machinery and other equipment</w:t>
            </w:r>
          </w:p>
        </w:tc>
        <w:tc>
          <w:tcPr>
            <w:tcW w:w="2760" w:type="dxa"/>
            <w:vAlign w:val="bottom"/>
          </w:tcPr>
          <w:p>
            <w:pPr>
              <w:spacing w:after="0"/>
              <w:rPr>
                <w:sz w:val="21"/>
                <w:szCs w:val="21"/>
                <w:color w:val="auto"/>
              </w:rPr>
            </w:pPr>
          </w:p>
        </w:tc>
        <w:tc>
          <w:tcPr>
            <w:tcW w:w="3100" w:type="dxa"/>
            <w:vAlign w:val="bottom"/>
            <w:tcBorders>
              <w:right w:val="single" w:sz="8" w:color="auto"/>
            </w:tcBorders>
            <w:gridSpan w:val="2"/>
          </w:tcPr>
          <w:p>
            <w:pPr>
              <w:jc w:val="center"/>
              <w:ind w:right="2640"/>
              <w:spacing w:after="0"/>
              <w:rPr>
                <w:sz w:val="20"/>
                <w:szCs w:val="20"/>
                <w:color w:val="auto"/>
              </w:rPr>
            </w:pPr>
            <w:r>
              <w:rPr>
                <w:rFonts w:ascii="Arial" w:cs="Arial" w:eastAsia="Arial" w:hAnsi="Arial"/>
                <w:sz w:val="18"/>
                <w:szCs w:val="18"/>
                <w:color w:val="auto"/>
                <w:w w:val="99"/>
              </w:rPr>
              <w:t>3–5</w:t>
            </w:r>
          </w:p>
        </w:tc>
      </w:tr>
      <w:tr>
        <w:trPr>
          <w:trHeight w:val="261"/>
        </w:trPr>
        <w:tc>
          <w:tcPr>
            <w:tcW w:w="40" w:type="dxa"/>
            <w:vAlign w:val="bottom"/>
            <w:tcBorders>
              <w:left w:val="single" w:sz="8" w:color="auto"/>
            </w:tcBorders>
            <w:shd w:val="clear" w:color="auto" w:fill="CCEEFF"/>
          </w:tcPr>
          <w:p>
            <w:pPr>
              <w:spacing w:after="0"/>
              <w:rPr>
                <w:sz w:val="22"/>
                <w:szCs w:val="22"/>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5860" w:type="dxa"/>
            <w:vAlign w:val="bottom"/>
            <w:tcBorders>
              <w:right w:val="single" w:sz="8" w:color="auto"/>
            </w:tcBorders>
            <w:gridSpan w:val="3"/>
            <w:shd w:val="clear" w:color="auto" w:fill="CCEEFF"/>
          </w:tcPr>
          <w:p>
            <w:pPr>
              <w:jc w:val="center"/>
              <w:ind w:left="50"/>
              <w:spacing w:after="0"/>
              <w:rPr>
                <w:sz w:val="20"/>
                <w:szCs w:val="20"/>
                <w:color w:val="auto"/>
              </w:rPr>
            </w:pPr>
            <w:r>
              <w:rPr>
                <w:rFonts w:ascii="Arial" w:cs="Arial" w:eastAsia="Arial" w:hAnsi="Arial"/>
                <w:sz w:val="18"/>
                <w:szCs w:val="18"/>
                <w:color w:val="auto"/>
              </w:rPr>
              <w:t>1.5–10</w:t>
            </w:r>
          </w:p>
        </w:tc>
      </w:tr>
      <w:tr>
        <w:trPr>
          <w:trHeight w:val="252"/>
        </w:trPr>
        <w:tc>
          <w:tcPr>
            <w:tcW w:w="40" w:type="dxa"/>
            <w:vAlign w:val="bottom"/>
            <w:tcBorders>
              <w:left w:val="single" w:sz="8" w:color="auto"/>
            </w:tcBorders>
          </w:tcPr>
          <w:p>
            <w:pPr>
              <w:spacing w:after="0"/>
              <w:rPr>
                <w:sz w:val="21"/>
                <w:szCs w:val="21"/>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586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9"/>
              </w:rPr>
              <w:t>10–40</w:t>
            </w:r>
          </w:p>
        </w:tc>
      </w:tr>
      <w:tr>
        <w:trPr>
          <w:trHeight w:val="257"/>
        </w:trPr>
        <w:tc>
          <w:tcPr>
            <w:tcW w:w="40" w:type="dxa"/>
            <w:vAlign w:val="bottom"/>
            <w:tcBorders>
              <w:left w:val="single" w:sz="8" w:color="auto"/>
              <w:bottom w:val="single" w:sz="8" w:color="auto"/>
            </w:tcBorders>
            <w:shd w:val="clear" w:color="auto" w:fill="CCEEFF"/>
          </w:tcPr>
          <w:p>
            <w:pPr>
              <w:spacing w:after="0"/>
              <w:rPr>
                <w:sz w:val="22"/>
                <w:szCs w:val="22"/>
                <w:color w:val="auto"/>
              </w:rPr>
            </w:pPr>
          </w:p>
        </w:tc>
        <w:tc>
          <w:tcPr>
            <w:tcW w:w="54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240" w:type="dxa"/>
            <w:vAlign w:val="bottom"/>
            <w:tcBorders>
              <w:bottom w:val="single" w:sz="8" w:color="auto"/>
            </w:tcBorders>
            <w:gridSpan w:val="2"/>
            <w:shd w:val="clear" w:color="auto" w:fill="CCEEFF"/>
          </w:tcPr>
          <w:p>
            <w:pPr>
              <w:jc w:val="center"/>
              <w:ind w:left="2650"/>
              <w:spacing w:after="0"/>
              <w:rPr>
                <w:sz w:val="20"/>
                <w:szCs w:val="20"/>
                <w:color w:val="auto"/>
              </w:rPr>
            </w:pPr>
            <w:r>
              <w:rPr>
                <w:rFonts w:ascii="Arial" w:cs="Arial" w:eastAsia="Arial" w:hAnsi="Arial"/>
                <w:sz w:val="18"/>
                <w:szCs w:val="18"/>
                <w:color w:val="auto"/>
                <w:w w:val="99"/>
              </w:rPr>
              <w:t>5</w:t>
            </w:r>
          </w:p>
        </w:tc>
        <w:tc>
          <w:tcPr>
            <w:tcW w:w="2620" w:type="dxa"/>
            <w:vAlign w:val="bottom"/>
            <w:tcBorders>
              <w:bottom w:val="single" w:sz="8" w:color="auto"/>
              <w:right w:val="single" w:sz="8" w:color="auto"/>
            </w:tcBorders>
            <w:shd w:val="clear" w:color="auto" w:fill="CCEEFF"/>
          </w:tcPr>
          <w:p>
            <w:pPr>
              <w:spacing w:after="0"/>
              <w:rPr>
                <w:sz w:val="22"/>
                <w:szCs w:val="22"/>
                <w:color w:val="auto"/>
              </w:rPr>
            </w:pPr>
          </w:p>
        </w:tc>
      </w:tr>
    </w:tbl>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we depreciate assets under capital leases and leasehold improvements over the shorter of their estimated useful lives or the remaining lease term. Upon retirement or sale of an asset, we remove the cost and accumulated depreciation from our consolidated balance sheets. When applicable, we record corresponding gains or losses within the accompanying consolidated statements of comprehensive income.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7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We enter into various noncancelable lease agreements for premises and equipment used in the normal course of business. We evaluate the lease agreement at the inception of the lease to determine whether the lease is an operating or capital lease.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520" w:right="239" w:bottom="1440" w:gutter="0" w:footer="0" w:header="0"/>
        </w:sectPr>
      </w:pPr>
    </w:p>
    <w:bookmarkStart w:id="62" w:name="page63"/>
    <w:bookmarkEnd w:id="62"/>
    <w:p>
      <w:pPr>
        <w:jc w:val="both"/>
        <w:ind w:firstLine="648"/>
        <w:spacing w:after="0" w:line="256" w:lineRule="auto"/>
        <w:rPr>
          <w:sz w:val="20"/>
          <w:szCs w:val="20"/>
          <w:color w:val="auto"/>
        </w:rPr>
      </w:pPr>
      <w:r>
        <w:rPr>
          <w:rFonts w:ascii="Arial" w:cs="Arial" w:eastAsia="Arial" w:hAnsi="Arial"/>
          <w:sz w:val="18"/>
          <w:szCs w:val="18"/>
          <w:color w:val="auto"/>
        </w:rPr>
        <w:t>We account for rent expense under noncancelable operating leases with escalation clauses on a straight-line basis over the initial lease term. A deferred liability is recorded for the amount of the excess of straight-line rent expense over scheduled payments. We do not assume renewals in our determination of the lease term unless the renewals are deemed to be reasonably assured at lease inception. We may also be required to make additional payments to reimburse the lessors for operating expenses such as real estate taxes, maintenance, utilities, and insurance, which are expensed as incurred. Within our Parking business, we enter into leases of parking lots and garages that contain contingent payment provisions. Under these provisions, we pay contingent amounts in addition to base rent, primarily based on percentages of the gross receipts or other financial parameters attributable to the related facilities. We record contingent rent as it becomes probable that specified targets will be met.</w:t>
      </w:r>
    </w:p>
    <w:p>
      <w:pPr>
        <w:spacing w:after="0" w:line="12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We record capital leases as an asset and an obligation at an amount that is equal to the present value of the minimum lease payments over the lease term.</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Other intangible assets primarily consist of acquired customer contracts and relationships that are amortized using the sum-of-the-years-digits method over their useful lives, consistent with the estimated useful life considerations used in the determination of their fair values. This accelerated method of amortization reflects the pattern in which the economic benefits from the intangible assets of customer contracts and relationships are expected to be realized. We amortize other non-customer acquired intangibles using a straight-line method of amortization.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evaluate our long-lived assets for impairment whenever events or changes in circumstances indicate that the carrying amount of such assets may not be recoverable. When this occurs, a recoverability test is performed that compares the projected undiscounted cash flows from the use and eventual disposition of an asset or asset group to its carrying amount. If the projected undiscounted cash flows are less than the carrying amount, we calculate an impairment loss. The impairment loss calculation compares the fair value, which is based on projected discounted cash flows, to the carrying value. We record an impairment loss if the carrying value exceeds the fair value. In 2016, we classified the long-lived assets of our Government Services business to held for sale. In connection with our plan to sell this business, we determined that the fair value was less than the carrying amount. Therefore, we recorded a $15.3 million impairment of those assets during 2016, which included an impairment of our investments in unconsolidated affiliates described above. See Note 4, “Held for Sale,” for further information. We did not recognize any material long-lived asset impairment charges in 2015 or 2014.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Goodwill represents the excess purchase price of acquired businesses over the fair values of the assets acquired and liabilities assumed. We have elected to make the first day of our fourth quarter, August 1st, the annual impairment assessment date for goodwill. However, we could be required to evaluate the recoverability of goodwill more often if impairment indicators exist.</w:t>
      </w:r>
    </w:p>
    <w:p>
      <w:pPr>
        <w:spacing w:after="0" w:line="10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test the carrying value of goodwill for impairment at a “reporting unit” level using a two-step approach. The first step of the process is to evaluate whether the fair value of a reporting unit is less than its carrying value, which is an indicator that the goodwill assigned to that reporting unit may be impaired. If the fair value is less than the carrying value, a second step of impairment testing is performed to allocate the fair value of the reporting unit to the assets and liabilities of the reporting unit, as if it had just been acquired in a business combination and as if the purchase price was equivalent to the fair value of the reporting unit. The excess of the fair value of the reporting unit over the amounts assigned to its assets and liabilities is referred to as the implied fair value of goodwill. The implied fair value of the reporting unit’s goodwill is then compared to the actual carrying value of goodwill. If the implied fair value is less than its carrying value, we would record an impairment for the excess of the carrying amount over the estimated fair value.</w:t>
      </w:r>
    </w:p>
    <w:p>
      <w:pPr>
        <w:spacing w:after="0" w:line="12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During 2016, we recognized a goodwill impairment charge of $6.0 million associated with the Government Services business. See Note 4, “Held for Sale,” for further information. We did not recognize any goodwill impairment charges in 2015 or 2014.</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Noncurrent Assets</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At October 31, 2016 and 2015, other noncurrent assets primarily consisted of long-term insurance recoverables, energy savings performance contract receivables, insurance and other long-term deposits, deferred charges, and prepayments to carriers for future insurance claims.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522"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Federal Energy Savings Performance Contract Receivables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part of our technical services business, we enter into Energy Savings Performance Contracts (“ESPC”) with the federal government pursuant to which we agree to develop, design, engineer, and construct a project and guarantee that the project will satisfy agreed-upon performance standards. ESPC receivables represent the amount to be paid by various federal government agencies for work we have satisfactorily performed under specific ESPCs. We assign certain of our rights to receive those payments to unaffiliated third parties that provide construction financing, which we record as a liability, for such contracts. This construction financing is recorded as cash flows from financing activities, while the use of the cash received under these arrangements to pay project costs is classified as operating cash flows. The ESPC receivable is recognized as revenue as each project is constructed. Upon completion and acceptance of the project by the government and upon satisfaction of true sale criteria, the assigned ESPC receivable from the government and corresponding ESPC liability are eliminated from our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For financial assets and liabilities measured at fair value on a recurring basis, fair value is the price we would receive to sell an asset or pay to transfer a liability in an orderly transaction with a market participant at the measurement date. In the absence of active markets for the identical assets or liabilities, such measurements involve developing assumptions based on market observable data and, in the absence of such data, internal information that is consistent with what market participants would use in a hypothetical transaction that occurs at the measurement date.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Observable inputs reflect market data obtained from independent sources, while unobservable inputs reflect our market assumptions.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Preference is given to observable inputs. These two types of inputs create the following fair value hierarchy: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for identical instruments in active markets;</w:t>
      </w:r>
    </w:p>
    <w:p>
      <w:pPr>
        <w:spacing w:after="0" w:line="171" w:lineRule="exact"/>
        <w:rPr>
          <w:sz w:val="20"/>
          <w:szCs w:val="20"/>
          <w:color w:val="auto"/>
        </w:rPr>
      </w:pPr>
    </w:p>
    <w:p>
      <w:pPr>
        <w:ind w:left="660"/>
        <w:spacing w:after="0" w:line="294"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Quoted prices for similar instruments in active markets; quoted prices for identical or similar instruments in markets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not active; and model-derived valuations whose inputs are observable or whose significant value drivers are observable; and</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Significant inputs to the valuation model are unobservable.</w:t>
      </w:r>
    </w:p>
    <w:p>
      <w:pPr>
        <w:spacing w:after="0" w:line="173"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We maintain policies and procedures to value instruments using the best and most relevant data available. See Note 8, “Fair Value of Financial Instruments,” for the fair value hierarchy table and for details on how we measure fair value for financial assets and liabilities.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expense acquisition-related costs as incurred. On the date of the acquisition, we allocate the purchase price to the assets acquired and liabilities assumed at their estimated fair values. Goodwill on the acquisition date is measured as the excess of the purchase price over the fair values of assets acquired and liabilities assumed. While we use our best estimates and assumptions to accurately value assets acquired and liabilities assumed at the acquisition date as well as contingent consideration, where applicable, our estimates are subject to refinement. As a result, during the measurement period, which may be up to one year from the acquisition date, we record adjustments to the assets acquired and liabilities assumed with corresponding adjustments to goodwill. We recognize subsequent changes in the estimate of the amount to be paid under contingent consideration arrangements in the accompanying consolidated statements of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In order to be reported within discontinued operations, our disposal of a component or a group of components must represent a strategic shift that will have a major effect on our operations and financial results. We aggregate the results of operations for discontinued operations within a single line item on the income statement. General corporate overhead is not allocated to discontinued operations. We disclose any gain or loss that is recognized upon the disposition of a discontinued operation. Prior to disposition, we aggregate the assets and liabilities of discontinued operations and report the amounts on separate line items within the balance sheet.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Held for Sale</w:t>
      </w:r>
    </w:p>
    <w:p>
      <w:pPr>
        <w:spacing w:after="0" w:line="17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Upon a business being classified as held for sale, we cease all depreciation and amortization related to the assets and record them at the lower of their carrying amount or fair value less estimated costs to sell. The assets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522" w:right="239" w:bottom="1440" w:gutter="0" w:footer="0" w:header="0"/>
        </w:sectPr>
      </w:pPr>
    </w:p>
    <w:bookmarkStart w:id="64" w:name="page65"/>
    <w:bookmarkEnd w:id="64"/>
    <w:p>
      <w:pPr>
        <w:jc w:val="both"/>
        <w:spacing w:after="0" w:line="271" w:lineRule="auto"/>
        <w:rPr>
          <w:sz w:val="20"/>
          <w:szCs w:val="20"/>
          <w:color w:val="auto"/>
        </w:rPr>
      </w:pPr>
      <w:r>
        <w:rPr>
          <w:rFonts w:ascii="Arial" w:cs="Arial" w:eastAsia="Arial" w:hAnsi="Arial"/>
          <w:sz w:val="18"/>
          <w:szCs w:val="18"/>
          <w:color w:val="auto"/>
        </w:rPr>
        <w:t>related liabilities of the business are separately presented on the consolidated balance sheets for the most recent reporting period. We review all assets held for sale each reporting period to determine whether the existing carrying amounts are fully recoverable in comparison to estimated fair values.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Reserves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automobile liability, property damage, and other insurable risks. Insurance claim liabilities represent our estimate of retained risks without regard to insurance coverage. We retain a substantial portion of the risk related to certain workers’ compensation and medical claims. Liabilities associated with these losses include estimates of both claims filed and incurred but not reported (“IBNR”) claim costs.</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With the assistance of third-party actuaries, we periodically review our estimate of ultimate losses for IBNR claim costs and adjust our required self-insurance reserves as appropriate. As part of this evaluation, we review the status of existing and new claim reserves as established by our third-party claims administrators. The third-party claims administrators establish the case reserves based upon known factors related to the type and severity of the claims, demographic factors, legislative matters, and case law, as appropriate. We compare actual trends to expected trends and monitor claims developments. The specific case reserves estimated by the third-party administrators are provided to an actuary who assists us in projecting an actuarial estimate of the overall ultimate losses for our self-insured or high deductible programs, which includes the case reserves plus an actuarial estimate of reserves required for additional developments including IBNR claim costs. We utilize the independent third-party administrators’ actuarial point estimate, reviewed by our management, to adjust our carried self-insurance reserves.</w:t>
      </w:r>
    </w:p>
    <w:p>
      <w:pPr>
        <w:spacing w:after="0" w:line="12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In general, our insurance reserves are recorded on an undiscounted basis. We allocate current-year insurance expense to our operating segments based upon their underlying exposures, while actuarial adjustments related to prior year claims are recorded within Corporate expenses. We classify claims as current or long-term based on the expected settlement date. Estimated insurance recoveries related to recorded liabilities are reflected as assets in our consolidated balance sheets when we believe that the receipt of such amounts is probable.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Accrued Liabilities</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At October 31, 2016 and 2015, other accrued liabilities primarily consisted of accrued employee benefits, progress billings in excess of costs related to fixed-price repair and refurbishment arrangements, dividends payable, accrued legal fees and settlements, accrued severance, accrued insurance claims, deferred rent, and other accrued expenses.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Noncurrent Liabilities</w:t>
      </w:r>
    </w:p>
    <w:p>
      <w:pPr>
        <w:spacing w:after="0" w:line="173"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At October 31, 2016 and 2015, other noncurrent liabilities primarily consisted of ESPC liabilities, retirement plan liabilities, and deferred compensation.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522"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Revenue Recognition</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earn revenue under various types of service contracts. In all forms of service we provide, revenue is recognized when persuasive evidence of an arrangement exists, services have been rendered, the fee is fixed or determinable, and collectability is reasonably assured. The various types of service contracts are described below.</w:t>
      </w:r>
    </w:p>
    <w:p>
      <w:pPr>
        <w:sectPr>
          <w:pgSz w:w="11900" w:h="16838" w:orient="portrait"/>
          <w:cols w:equalWidth="0" w:num="1">
            <w:col w:w="11420"/>
          </w:cols>
          <w:pgMar w:left="240" w:top="520" w:right="239" w:bottom="1440" w:gutter="0" w:footer="0" w:header="0"/>
        </w:sectPr>
      </w:pPr>
    </w:p>
    <w:p>
      <w:pPr>
        <w:spacing w:after="0" w:line="121" w:lineRule="exact"/>
        <w:rPr>
          <w:sz w:val="20"/>
          <w:szCs w:val="20"/>
          <w:color w:val="auto"/>
        </w:rPr>
      </w:pPr>
    </w:p>
    <w:p>
      <w:pPr>
        <w:jc w:val="center"/>
        <w:ind w:left="120"/>
        <w:spacing w:after="0"/>
        <w:rPr>
          <w:sz w:val="20"/>
          <w:szCs w:val="20"/>
          <w:color w:val="auto"/>
        </w:rPr>
      </w:pPr>
      <w:r>
        <w:rPr>
          <w:rFonts w:ascii="Arial" w:cs="Arial" w:eastAsia="Arial" w:hAnsi="Arial"/>
          <w:sz w:val="18"/>
          <w:szCs w:val="18"/>
          <w:b w:val="1"/>
          <w:bCs w:val="1"/>
          <w:color w:val="auto"/>
        </w:rPr>
        <w:t>Contract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11404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Monthly Fixed-Price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1404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Transaction-Price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11404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3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Hourly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1404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3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Cost-Plus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1404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34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Tag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1404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ESPC and Fixed-</w:t>
      </w:r>
    </w:p>
    <w:p>
      <w:pPr>
        <w:spacing w:after="0" w:line="13"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auto"/>
        </w:rPr>
        <w:t>Price Repair and</w:t>
      </w:r>
    </w:p>
    <w:p>
      <w:pPr>
        <w:jc w:val="center"/>
        <w:ind w:left="120"/>
        <w:spacing w:after="0"/>
        <w:rPr>
          <w:sz w:val="20"/>
          <w:szCs w:val="20"/>
          <w:color w:val="auto"/>
        </w:rPr>
      </w:pPr>
      <w:r>
        <w:rPr>
          <w:rFonts w:ascii="Arial" w:cs="Arial" w:eastAsia="Arial" w:hAnsi="Arial"/>
          <w:sz w:val="18"/>
          <w:szCs w:val="18"/>
          <w:color w:val="auto"/>
        </w:rPr>
        <w:t>Refurbishment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1404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Franchise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671830</wp:posOffset>
            </wp:positionV>
            <wp:extent cx="11404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29845</wp:posOffset>
            </wp:positionV>
            <wp:extent cx="59086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08675" cy="8890"/>
                    </a:xfrm>
                    <a:prstGeom prst="rect">
                      <a:avLst/>
                    </a:prstGeom>
                    <a:noFill/>
                  </pic:spPr>
                </pic:pic>
              </a:graphicData>
            </a:graphic>
          </wp:anchor>
        </w:drawing>
      </w:r>
    </w:p>
    <w:p>
      <w:pPr>
        <w:spacing w:after="0" w:line="45"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These arrangements are contracts in which the client agrees to pay a fixed fee every month over a specified contract term. A variation of a fixed-price arrangement is a square-foot arrangement, under which monthly billings are based on the actual square footage serviced.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-635</wp:posOffset>
            </wp:positionV>
            <wp:extent cx="59086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08675" cy="8890"/>
                    </a:xfrm>
                    <a:prstGeom prst="rect">
                      <a:avLst/>
                    </a:prstGeom>
                    <a:noFill/>
                  </pic:spPr>
                </pic:pic>
              </a:graphicData>
            </a:graphic>
          </wp:anchor>
        </w:drawing>
      </w:r>
    </w:p>
    <w:p>
      <w:pPr>
        <w:spacing w:after="0" w:line="158" w:lineRule="exact"/>
        <w:rPr>
          <w:sz w:val="20"/>
          <w:szCs w:val="20"/>
          <w:color w:val="auto"/>
        </w:rPr>
      </w:pPr>
    </w:p>
    <w:p>
      <w:pPr>
        <w:jc w:val="both"/>
        <w:ind w:right="220"/>
        <w:spacing w:after="0" w:line="276" w:lineRule="auto"/>
        <w:rPr>
          <w:sz w:val="20"/>
          <w:szCs w:val="20"/>
          <w:color w:val="auto"/>
        </w:rPr>
      </w:pPr>
      <w:r>
        <w:rPr>
          <w:rFonts w:ascii="Arial" w:cs="Arial" w:eastAsia="Arial" w:hAnsi="Arial"/>
          <w:sz w:val="18"/>
          <w:szCs w:val="18"/>
          <w:color w:val="auto"/>
        </w:rPr>
        <w:t>These arrangements are agreements in which the clients are billed for each transaction performed on a monthly basis (e.g., wheelchair passengers served, aircrafts cleaned).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-12700</wp:posOffset>
            </wp:positionV>
            <wp:extent cx="59086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08675" cy="889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These arrangements are contracts in which the client is billed a set hourly rate for each labor hour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28575</wp:posOffset>
            </wp:positionV>
            <wp:extent cx="59086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08675" cy="8890"/>
                    </a:xfrm>
                    <a:prstGeom prst="rect">
                      <a:avLst/>
                    </a:prstGeom>
                    <a:noFill/>
                  </pic:spPr>
                </pic:pic>
              </a:graphicData>
            </a:graphic>
          </wp:anchor>
        </w:drawing>
      </w:r>
    </w:p>
    <w:p>
      <w:pPr>
        <w:spacing w:after="0" w:line="43"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These arrangements are contracts in which the clients reimburse us for the agreed-upon amount of wages and benefits, payroll taxes, insurance charges, and other expenses associated with the contracted work, plus a profit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-635</wp:posOffset>
            </wp:positionV>
            <wp:extent cx="59086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08675" cy="8890"/>
                    </a:xfrm>
                    <a:prstGeom prst="rect">
                      <a:avLst/>
                    </a:prstGeom>
                    <a:noFill/>
                  </pic:spPr>
                </pic:pic>
              </a:graphicData>
            </a:graphic>
          </wp:anchor>
        </w:drawing>
      </w:r>
    </w:p>
    <w:p>
      <w:pPr>
        <w:jc w:val="both"/>
        <w:ind w:right="220"/>
        <w:spacing w:after="0" w:line="276" w:lineRule="auto"/>
        <w:rPr>
          <w:sz w:val="20"/>
          <w:szCs w:val="20"/>
          <w:color w:val="auto"/>
        </w:rPr>
      </w:pPr>
      <w:r>
        <w:rPr>
          <w:rFonts w:ascii="Arial" w:cs="Arial" w:eastAsia="Arial" w:hAnsi="Arial"/>
          <w:sz w:val="18"/>
          <w:szCs w:val="18"/>
          <w:color w:val="auto"/>
        </w:rPr>
        <w:t>Tag work generally consists of supplemental services requested by clients outside of the standard service specification. Examples are cleanup after tenant moves, construction cleanup, flood cleanup, and snow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-12700</wp:posOffset>
            </wp:positionV>
            <wp:extent cx="59086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08675" cy="8890"/>
                    </a:xfrm>
                    <a:prstGeom prst="rect">
                      <a:avLst/>
                    </a:prstGeom>
                    <a:noFill/>
                  </pic:spPr>
                </pic:pic>
              </a:graphicData>
            </a:graphic>
          </wp:anchor>
        </w:drawing>
      </w:r>
    </w:p>
    <w:p>
      <w:pPr>
        <w:spacing w:after="0" w:line="71" w:lineRule="exact"/>
        <w:rPr>
          <w:sz w:val="20"/>
          <w:szCs w:val="20"/>
          <w:color w:val="auto"/>
        </w:rPr>
      </w:pPr>
    </w:p>
    <w:p>
      <w:pPr>
        <w:jc w:val="both"/>
        <w:ind w:right="220"/>
        <w:spacing w:after="0" w:line="276" w:lineRule="auto"/>
        <w:rPr>
          <w:sz w:val="20"/>
          <w:szCs w:val="20"/>
          <w:color w:val="auto"/>
        </w:rPr>
      </w:pPr>
      <w:r>
        <w:rPr>
          <w:rFonts w:ascii="Arial" w:cs="Arial" w:eastAsia="Arial" w:hAnsi="Arial"/>
          <w:sz w:val="18"/>
          <w:szCs w:val="18"/>
          <w:color w:val="auto"/>
        </w:rPr>
        <w:t>Both of these arrangements are accounted for under the percentage-of-completion method of accounting, most often based on the cost-to-cost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55245</wp:posOffset>
            </wp:positionV>
            <wp:extent cx="59086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08675" cy="8890"/>
                    </a:xfrm>
                    <a:prstGeom prst="rect">
                      <a:avLst/>
                    </a:prstGeom>
                    <a:noFill/>
                  </pic:spPr>
                </pic:pic>
              </a:graphicData>
            </a:graphic>
          </wp:anchor>
        </w:drawing>
      </w:r>
    </w:p>
    <w:p>
      <w:pPr>
        <w:spacing w:after="0" w:line="247" w:lineRule="exact"/>
        <w:rPr>
          <w:sz w:val="20"/>
          <w:szCs w:val="20"/>
          <w:color w:val="auto"/>
        </w:rPr>
      </w:pPr>
    </w:p>
    <w:p>
      <w:pPr>
        <w:jc w:val="both"/>
        <w:ind w:right="220"/>
        <w:spacing w:after="0" w:line="276" w:lineRule="auto"/>
        <w:rPr>
          <w:sz w:val="20"/>
          <w:szCs w:val="20"/>
          <w:color w:val="auto"/>
        </w:rPr>
      </w:pPr>
      <w:r>
        <w:rPr>
          <w:rFonts w:ascii="Arial" w:cs="Arial" w:eastAsia="Arial" w:hAnsi="Arial"/>
          <w:sz w:val="18"/>
          <w:szCs w:val="18"/>
          <w:color w:val="auto"/>
        </w:rPr>
        <w:t>We franchise certain engineering services under the Linc Service and TEGG brands through individual and area franchises.</w:t>
      </w:r>
    </w:p>
    <w:p>
      <w:pPr>
        <w:spacing w:after="0" w:line="91" w:lineRule="exact"/>
        <w:rPr>
          <w:sz w:val="20"/>
          <w:szCs w:val="20"/>
          <w:color w:val="auto"/>
        </w:rPr>
      </w:pPr>
    </w:p>
    <w:p>
      <w:pPr>
        <w:jc w:val="both"/>
        <w:ind w:right="220"/>
        <w:spacing w:after="0" w:line="276" w:lineRule="auto"/>
        <w:rPr>
          <w:sz w:val="20"/>
          <w:szCs w:val="20"/>
          <w:color w:val="auto"/>
        </w:rPr>
      </w:pPr>
      <w:r>
        <w:rPr>
          <w:rFonts w:ascii="Arial" w:cs="Arial" w:eastAsia="Arial" w:hAnsi="Arial"/>
          <w:sz w:val="18"/>
          <w:szCs w:val="18"/>
          <w:color w:val="auto"/>
        </w:rPr>
        <w:t>Initial franchise fees are recognized when we have performed substantially all initial services required by the franchise agreement.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Royalties are recognized in income as underlying franchisee sales occur.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Other franchise fees charged to franchisees on a flat rate are recognized as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260350</wp:posOffset>
            </wp:positionV>
            <wp:extent cx="59086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086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00" w:space="260"/>
            <w:col w:w="9460"/>
          </w:cols>
          <w:pgMar w:left="240" w:top="520" w:right="239" w:bottom="1440" w:gutter="0" w:footer="0" w:header="0"/>
          <w:type w:val="continuous"/>
        </w:sectPr>
      </w:pPr>
    </w:p>
    <w:p>
      <w:pPr>
        <w:spacing w:after="0" w:line="200" w:lineRule="exact"/>
        <w:rPr>
          <w:sz w:val="20"/>
          <w:szCs w:val="20"/>
          <w:color w:val="auto"/>
        </w:rPr>
      </w:pPr>
    </w:p>
    <w:p>
      <w:pPr>
        <w:spacing w:after="0" w:line="3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Parking</w:t>
      </w:r>
    </w:p>
    <w:p>
      <w:pPr>
        <w:spacing w:after="0" w:line="18"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Reimbursement</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jc w:val="both"/>
        <w:ind w:right="220"/>
        <w:spacing w:after="0" w:line="248" w:lineRule="auto"/>
        <w:rPr>
          <w:sz w:val="20"/>
          <w:szCs w:val="20"/>
          <w:color w:val="auto"/>
        </w:rPr>
      </w:pPr>
      <w:r>
        <w:rPr>
          <w:rFonts w:ascii="Arial" w:cs="Arial" w:eastAsia="Arial" w:hAnsi="Arial"/>
          <w:sz w:val="18"/>
          <w:szCs w:val="18"/>
          <w:color w:val="auto"/>
        </w:rPr>
        <w:t>Under parking reimbursement arrangements, we manage the parking facility for a management fee and pass through the revenue and expenses associated with the facility to the owner. These revenues and expenses are reported in equal amounts for costs reimbursed from our managed locations. During 2016, 2015, and 2014, such amounts totaled $323.4 million, $305.9 million, and $306.1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131445</wp:posOffset>
            </wp:positionV>
            <wp:extent cx="712660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40" w:space="420"/>
            <w:col w:w="9460"/>
          </w:cols>
          <w:pgMar w:left="240" w:top="520" w:right="239" w:bottom="1440" w:gutter="0" w:footer="0" w:header="0"/>
          <w:type w:val="continuous"/>
        </w:sectPr>
      </w:pP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Related Costs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Restructuring and related costs reflect charges resulting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These costs primarily consist of various actions to terminate employees, exit certain contractual obligations, and dispose of certain assets. Our methodology used to record these costs are described below:</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w:t>
      </w:r>
    </w:p>
    <w:p>
      <w:pPr>
        <w:spacing w:after="0" w:line="17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As we do not have a past history of consistently providing severance benefits, we recognize severance costs for employees who do not have formal employment agreements when management has committed to a restructuring plan and communicated those actions to impacted employees, such that the employee is able to determine the type and amount of benefits that they will receive upon termination. In addition, if the employees are required to render service beyond the minimum retention period until they are terminated in order to receive the benefits, a liability is recognized ratably over the future service period. For employees with employment agreements, we accrue for these separation liabilities when it is probable that the impacted executives will be entitled to the benefits and the amount can be reasonably estimated.</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520" w:right="2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Noncancelable Leases and Contractual Obligations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record liabilities when we terminate a contract in accordance with the contract terms or when we exit the leased space. The expense for noncancelable leases is determined based on the fair value of remaining lease payments reduced by the fair value of estimated sublease income that could reasonably be obtained for the property, estimated using a present value technique.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7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For other costs associated with exit and disposal activities, we recognize an expense at fair value in the period in which the liability is incurred.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7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Advertising costs are expensed as incurred. During 2016, 2015, and 2014, advertising expense was $2.1 million, $2.8 million, and $6.8 million, respectively.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current share-based awards principally consist of restricted stock units (“RSUs”) and various performance share awards. We recognize compensation costs associated with these awards in selling, general and administrative expenses. For RSUs and certain performance share awards, the amount of compensation cost is measured based on the grant-date fair value of the equity instruments issued. Since our total shareholder return (“TSR”) performance share awards are performance awards with a market condition, the compensation costs associated with these awards are determined using a Monte Carlo simulation valuation model. For RSUs and TSR awards, compensation cost is recognized over the period that an employee provides service in exchange for the award. We recognize compensation cost associated with other performance share awards over the requisite service period based on the probability of achievement of performance criteria.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 Collected from Clients and Remitted to Governmental Agencies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record taxes on client transactions due to governmental agencies as receivables and liabilities on the consolidated balance sheets.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Common Share</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Basic net income per common share is net income divided by the weighted-average number of common shares outstanding during the period. Diluted net income per common share is based on the weighted-average number of common shares outstanding during the period, adjusted to include the potential dilution from the conversion of RSUs, vesting of performance shares, and exercise of stock options.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 and Litigation</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 We accrue for loss contingencies when losses become probable and are reasonably estimable. If the reasonable estimate of the loss is a range and no amount within the range is a better estimate, the minimum amount of the range is recorded as a liability. We recognize legal costs as an expense in the period incurred.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account for income taxes using the asset and liability method. Deferred tax assets and liabilities are recognized for the future tax consequences attributable to temporary differences between the financial statement carrying amount of existing assets and liabilities and their respective tax bases. We measure deferred tax assets and liabilities using enacted tax rates expected to be applied to taxable income in the years in which those temporary differences are expected to be recovered. Deferred tax assets are reviewed for recoverability on a quarterly basis. A valuation allowance is recorded to reduce the carrying amounts of deferred tax assets to its realizable value unless it is more likely than not that such assets will be realized. We recognize accrued interest and penalties related to unrecognized tax benefits in income tax expense in our consolidated statements of comprehensive income.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522"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3. RESTRUCTURING AND RELATED COSTS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fourth quarter of 2015, our Board of Directors approved a comprehensive strategy intended to have a positive transformative effect on ABM (the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As part of the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we identified key priorities to differentiate ABM in the marketplace, accelerate revenue growth for certain industry groups, and improve our margin profile. We also reviewed all service lines and investments to assess whether ABM was positioned to continue to competitively offer value-added services to clients over the long term.</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Rollforward of Restructuring and Related Liabilities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rPr>
              <w:t>External</w:t>
            </w:r>
          </w:p>
        </w:tc>
        <w:tc>
          <w:tcPr>
            <w:tcW w:w="1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5"/>
                <w:szCs w:val="15"/>
                <w:b w:val="1"/>
                <w:bCs w:val="1"/>
                <w:color w:val="auto"/>
              </w:rPr>
              <w:t>Employee</w:t>
            </w:r>
          </w:p>
        </w:tc>
        <w:tc>
          <w:tcPr>
            <w:tcW w:w="124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rPr>
              <w:t>Other Project</w:t>
            </w:r>
          </w:p>
        </w:tc>
        <w:tc>
          <w:tcPr>
            <w:tcW w:w="140" w:type="dxa"/>
            <w:vAlign w:val="bottom"/>
          </w:tcPr>
          <w:p>
            <w:pPr>
              <w:spacing w:after="0"/>
              <w:rPr>
                <w:sz w:val="14"/>
                <w:szCs w:val="1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Lease Exit</w:t>
            </w:r>
          </w:p>
        </w:tc>
        <w:tc>
          <w:tcPr>
            <w:tcW w:w="160" w:type="dxa"/>
            <w:vAlign w:val="bottom"/>
          </w:tcPr>
          <w:p>
            <w:pPr>
              <w:spacing w:after="0"/>
              <w:rPr>
                <w:sz w:val="14"/>
                <w:szCs w:val="14"/>
                <w:color w:val="auto"/>
              </w:rPr>
            </w:pPr>
          </w:p>
        </w:tc>
        <w:tc>
          <w:tcPr>
            <w:tcW w:w="1300" w:type="dxa"/>
            <w:vAlign w:val="bottom"/>
            <w:gridSpan w:val="2"/>
          </w:tcPr>
          <w:p>
            <w:pPr>
              <w:ind w:left="320"/>
              <w:spacing w:after="0"/>
              <w:rPr>
                <w:sz w:val="20"/>
                <w:szCs w:val="20"/>
                <w:color w:val="auto"/>
              </w:rPr>
            </w:pPr>
            <w:r>
              <w:rPr>
                <w:rFonts w:ascii="Arial" w:cs="Arial" w:eastAsia="Arial" w:hAnsi="Arial"/>
                <w:sz w:val="15"/>
                <w:szCs w:val="15"/>
                <w:b w:val="1"/>
                <w:bCs w:val="1"/>
                <w:color w:val="auto"/>
              </w:rPr>
              <w:t>Asset</w:t>
            </w:r>
          </w:p>
        </w:tc>
        <w:tc>
          <w:tcPr>
            <w:tcW w:w="300" w:type="dxa"/>
            <w:vAlign w:val="bottom"/>
          </w:tcPr>
          <w:p>
            <w:pPr>
              <w:spacing w:after="0"/>
              <w:rPr>
                <w:sz w:val="14"/>
                <w:szCs w:val="14"/>
                <w:color w:val="auto"/>
              </w:rPr>
            </w:pPr>
          </w:p>
        </w:tc>
        <w:tc>
          <w:tcPr>
            <w:tcW w:w="960" w:type="dxa"/>
            <w:vAlign w:val="bottom"/>
            <w:vMerge w:val="restart"/>
          </w:tcPr>
          <w:p>
            <w:pPr>
              <w:jc w:val="right"/>
              <w:ind w:right="379"/>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30"/>
        </w:trPr>
        <w:tc>
          <w:tcPr>
            <w:tcW w:w="33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jc w:val="center"/>
              <w:ind w:right="240"/>
              <w:spacing w:after="0" w:line="30" w:lineRule="exact"/>
              <w:rPr>
                <w:sz w:val="20"/>
                <w:szCs w:val="20"/>
                <w:color w:val="auto"/>
              </w:rPr>
            </w:pPr>
            <w:r>
              <w:rPr>
                <w:rFonts w:ascii="Arial" w:cs="Arial" w:eastAsia="Arial" w:hAnsi="Arial"/>
                <w:sz w:val="3"/>
                <w:szCs w:val="3"/>
                <w:b w:val="1"/>
                <w:bCs w:val="1"/>
                <w:color w:val="auto"/>
              </w:rPr>
              <w:t>Support Fees</w:t>
            </w:r>
          </w:p>
        </w:tc>
        <w:tc>
          <w:tcPr>
            <w:tcW w:w="180" w:type="dxa"/>
            <w:vAlign w:val="bottom"/>
          </w:tcPr>
          <w:p>
            <w:pPr>
              <w:spacing w:after="0"/>
              <w:rPr>
                <w:sz w:val="2"/>
                <w:szCs w:val="2"/>
                <w:color w:val="auto"/>
              </w:rPr>
            </w:pPr>
          </w:p>
        </w:tc>
        <w:tc>
          <w:tcPr>
            <w:tcW w:w="1160" w:type="dxa"/>
            <w:vAlign w:val="bottom"/>
            <w:gridSpan w:val="2"/>
          </w:tcPr>
          <w:p>
            <w:pPr>
              <w:ind w:left="60"/>
              <w:spacing w:after="0" w:line="30" w:lineRule="exact"/>
              <w:rPr>
                <w:sz w:val="20"/>
                <w:szCs w:val="20"/>
                <w:color w:val="auto"/>
              </w:rPr>
            </w:pPr>
            <w:r>
              <w:rPr>
                <w:rFonts w:ascii="Arial" w:cs="Arial" w:eastAsia="Arial" w:hAnsi="Arial"/>
                <w:sz w:val="3"/>
                <w:szCs w:val="3"/>
                <w:b w:val="1"/>
                <w:bCs w:val="1"/>
                <w:color w:val="auto"/>
              </w:rPr>
              <w:t>Severance</w:t>
            </w:r>
          </w:p>
        </w:tc>
        <w:tc>
          <w:tcPr>
            <w:tcW w:w="260" w:type="dxa"/>
            <w:vAlign w:val="bottom"/>
          </w:tcPr>
          <w:p>
            <w:pPr>
              <w:spacing w:after="0"/>
              <w:rPr>
                <w:sz w:val="2"/>
                <w:szCs w:val="2"/>
                <w:color w:val="auto"/>
              </w:rPr>
            </w:pPr>
          </w:p>
        </w:tc>
        <w:tc>
          <w:tcPr>
            <w:tcW w:w="980" w:type="dxa"/>
            <w:vAlign w:val="bottom"/>
            <w:gridSpan w:val="2"/>
          </w:tcPr>
          <w:p>
            <w:pPr>
              <w:jc w:val="center"/>
              <w:ind w:right="360"/>
              <w:spacing w:after="0" w:line="30" w:lineRule="exact"/>
              <w:rPr>
                <w:sz w:val="20"/>
                <w:szCs w:val="20"/>
                <w:color w:val="auto"/>
              </w:rPr>
            </w:pPr>
            <w:r>
              <w:rPr>
                <w:rFonts w:ascii="Arial" w:cs="Arial" w:eastAsia="Arial" w:hAnsi="Arial"/>
                <w:sz w:val="3"/>
                <w:szCs w:val="3"/>
                <w:b w:val="1"/>
                <w:bCs w:val="1"/>
                <w:color w:val="auto"/>
              </w:rPr>
              <w:t>Fees</w:t>
            </w: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ind w:left="20"/>
              <w:spacing w:after="0" w:line="30" w:lineRule="exact"/>
              <w:rPr>
                <w:sz w:val="20"/>
                <w:szCs w:val="20"/>
                <w:color w:val="auto"/>
              </w:rPr>
            </w:pPr>
            <w:r>
              <w:rPr>
                <w:rFonts w:ascii="Arial" w:cs="Arial" w:eastAsia="Arial" w:hAnsi="Arial"/>
                <w:sz w:val="3"/>
                <w:szCs w:val="3"/>
                <w:b w:val="1"/>
                <w:bCs w:val="1"/>
                <w:color w:val="auto"/>
              </w:rPr>
              <w:t>Impairment</w:t>
            </w:r>
          </w:p>
        </w:tc>
        <w:tc>
          <w:tcPr>
            <w:tcW w:w="30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4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ind w:right="81"/>
              <w:spacing w:after="0" w:line="143" w:lineRule="exact"/>
              <w:rPr>
                <w:sz w:val="20"/>
                <w:szCs w:val="20"/>
                <w:color w:val="auto"/>
              </w:rPr>
            </w:pPr>
            <w:r>
              <w:rPr>
                <w:rFonts w:ascii="Arial" w:cs="Arial" w:eastAsia="Arial" w:hAnsi="Arial"/>
                <w:sz w:val="13"/>
                <w:szCs w:val="13"/>
                <w:b w:val="1"/>
                <w:bCs w:val="1"/>
                <w:color w:val="auto"/>
              </w:rPr>
              <w:t>(1)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ind w:right="106"/>
              <w:spacing w:after="0" w:line="143" w:lineRule="exact"/>
              <w:rPr>
                <w:sz w:val="20"/>
                <w:szCs w:val="20"/>
                <w:color w:val="auto"/>
              </w:rPr>
            </w:pPr>
            <w:r>
              <w:rPr>
                <w:rFonts w:ascii="Arial" w:cs="Arial" w:eastAsia="Arial" w:hAnsi="Arial"/>
                <w:sz w:val="13"/>
                <w:szCs w:val="13"/>
                <w:b w:val="1"/>
                <w:bCs w:val="1"/>
                <w:color w:val="auto"/>
              </w:rPr>
              <w:t>(2)</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32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November 1, 2014</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3280" w:type="dxa"/>
            <w:vAlign w:val="bottom"/>
            <w:gridSpan w:val="2"/>
          </w:tcPr>
          <w:p>
            <w:pPr>
              <w:ind w:left="140"/>
              <w:spacing w:after="0"/>
              <w:rPr>
                <w:sz w:val="20"/>
                <w:szCs w:val="20"/>
                <w:color w:val="auto"/>
              </w:rPr>
            </w:pPr>
            <w:r>
              <w:rPr>
                <w:rFonts w:ascii="Arial" w:cs="Arial" w:eastAsia="Arial" w:hAnsi="Arial"/>
                <w:sz w:val="16"/>
                <w:szCs w:val="16"/>
                <w:color w:val="auto"/>
              </w:rPr>
              <w:t>Costs recognized</w:t>
            </w:r>
          </w:p>
        </w:tc>
        <w:tc>
          <w:tcPr>
            <w:tcW w:w="120" w:type="dxa"/>
            <w:vAlign w:val="bottom"/>
          </w:tcPr>
          <w:p>
            <w:pPr>
              <w:spacing w:after="0"/>
              <w:rPr>
                <w:sz w:val="22"/>
                <w:szCs w:val="22"/>
                <w:color w:val="auto"/>
              </w:rPr>
            </w:pPr>
          </w:p>
        </w:tc>
        <w:tc>
          <w:tcPr>
            <w:tcW w:w="1140" w:type="dxa"/>
            <w:vAlign w:val="bottom"/>
          </w:tcPr>
          <w:p>
            <w:pPr>
              <w:jc w:val="right"/>
              <w:ind w:right="25"/>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45"/>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25"/>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26"/>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78"/>
        </w:trPr>
        <w:tc>
          <w:tcPr>
            <w:tcW w:w="40" w:type="dxa"/>
            <w:vAlign w:val="bottom"/>
            <w:shd w:val="clear" w:color="auto" w:fill="CCEEFF"/>
          </w:tcPr>
          <w:p>
            <w:pPr>
              <w:spacing w:after="0"/>
              <w:rPr>
                <w:sz w:val="24"/>
                <w:szCs w:val="24"/>
                <w:color w:val="auto"/>
              </w:rPr>
            </w:pPr>
          </w:p>
        </w:tc>
        <w:tc>
          <w:tcPr>
            <w:tcW w:w="3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Payments</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Non-cash charges</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43"/>
        </w:trPr>
        <w:tc>
          <w:tcPr>
            <w:tcW w:w="332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November 1, 2015</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tcPr>
          <w:p>
            <w:pPr>
              <w:spacing w:after="0"/>
              <w:rPr>
                <w:sz w:val="18"/>
                <w:szCs w:val="18"/>
                <w:color w:val="auto"/>
              </w:rPr>
            </w:pPr>
          </w:p>
        </w:tc>
        <w:tc>
          <w:tcPr>
            <w:tcW w:w="3280" w:type="dxa"/>
            <w:vAlign w:val="bottom"/>
            <w:gridSpan w:val="2"/>
          </w:tcPr>
          <w:p>
            <w:pPr>
              <w:ind w:left="140"/>
              <w:spacing w:after="0"/>
              <w:rPr>
                <w:sz w:val="20"/>
                <w:szCs w:val="20"/>
                <w:color w:val="auto"/>
              </w:rPr>
            </w:pPr>
            <w:r>
              <w:rPr>
                <w:rFonts w:ascii="Arial" w:cs="Arial" w:eastAsia="Arial" w:hAnsi="Arial"/>
                <w:sz w:val="16"/>
                <w:szCs w:val="16"/>
                <w:color w:val="auto"/>
              </w:rPr>
              <w:t>Costs recognized</w:t>
            </w:r>
          </w:p>
        </w:tc>
        <w:tc>
          <w:tcPr>
            <w:tcW w:w="120" w:type="dxa"/>
            <w:vAlign w:val="bottom"/>
          </w:tcPr>
          <w:p>
            <w:pPr>
              <w:spacing w:after="0"/>
              <w:rPr>
                <w:sz w:val="18"/>
                <w:szCs w:val="18"/>
                <w:color w:val="auto"/>
              </w:rPr>
            </w:pPr>
          </w:p>
        </w:tc>
        <w:tc>
          <w:tcPr>
            <w:tcW w:w="1140" w:type="dxa"/>
            <w:vAlign w:val="bottom"/>
          </w:tcPr>
          <w:p>
            <w:pPr>
              <w:jc w:val="right"/>
              <w:ind w:right="25"/>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45"/>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25"/>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26"/>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78"/>
        </w:trPr>
        <w:tc>
          <w:tcPr>
            <w:tcW w:w="40" w:type="dxa"/>
            <w:vAlign w:val="bottom"/>
            <w:shd w:val="clear" w:color="auto" w:fill="CCEEFF"/>
          </w:tcPr>
          <w:p>
            <w:pPr>
              <w:spacing w:after="0"/>
              <w:rPr>
                <w:sz w:val="24"/>
                <w:szCs w:val="24"/>
                <w:color w:val="auto"/>
              </w:rPr>
            </w:pPr>
          </w:p>
        </w:tc>
        <w:tc>
          <w:tcPr>
            <w:tcW w:w="3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Payments</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3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Non-cash charges</w:t>
            </w:r>
            <w:r>
              <w:rPr>
                <w:rFonts w:ascii="Arial" w:cs="Arial" w:eastAsia="Arial" w:hAnsi="Arial"/>
                <w:sz w:val="21"/>
                <w:szCs w:val="21"/>
                <w:color w:val="auto"/>
                <w:vertAlign w:val="superscript"/>
              </w:rPr>
              <w:t>(2)</w:t>
            </w: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7"/>
        </w:trPr>
        <w:tc>
          <w:tcPr>
            <w:tcW w:w="332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October 31, 2016</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2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Cumulative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15.8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Non-cash charges consist of the write-down of fixed assets, net of deferred rent write-offs.</w:t>
      </w:r>
    </w:p>
    <w:p>
      <w:pPr>
        <w:spacing w:after="0" w:line="110"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(2)</w:t>
      </w:r>
      <w:r>
        <w:rPr>
          <w:rFonts w:ascii="Arial" w:cs="Arial" w:eastAsia="Arial" w:hAnsi="Arial"/>
          <w:sz w:val="16"/>
          <w:szCs w:val="16"/>
          <w:color w:val="auto"/>
        </w:rPr>
        <w:t>Represents the write-down of our investment in proprietary task management software and uniforms with legacy branding in 2015 and 2016, respectively.</w:t>
      </w:r>
    </w:p>
    <w:p>
      <w:pPr>
        <w:spacing w:after="0" w:line="10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results by segment exclude these costs, consistent with the manner in which our management evaluates the performance of each reportable segment based on its respective operating profit results. As such, restructuring and related costs are included within Corporate expenses. See Note 20, “Segment and Geographic Information,” for more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HELD FOR SALE</w:t>
      </w:r>
    </w:p>
    <w:p>
      <w:pPr>
        <w:spacing w:after="0" w:line="171" w:lineRule="exact"/>
        <w:rPr>
          <w:sz w:val="20"/>
          <w:szCs w:val="20"/>
          <w:color w:val="auto"/>
        </w:rPr>
      </w:pPr>
    </w:p>
    <w:p>
      <w:pPr>
        <w:jc w:val="both"/>
        <w:ind w:firstLine="281"/>
        <w:spacing w:after="0" w:line="259" w:lineRule="auto"/>
        <w:rPr>
          <w:sz w:val="20"/>
          <w:szCs w:val="20"/>
          <w:color w:val="auto"/>
        </w:rPr>
      </w:pPr>
      <w:r>
        <w:rPr>
          <w:rFonts w:ascii="Arial" w:cs="Arial" w:eastAsia="Arial" w:hAnsi="Arial"/>
          <w:sz w:val="18"/>
          <w:szCs w:val="18"/>
          <w:color w:val="auto"/>
        </w:rPr>
        <w:t xml:space="preserve">During the fourth quarter of 2016, in connection with the key priorities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we decided to sell our Government Services business. In connection with the held-for-sale classification, we were required to measure the Government Services business at the lower of its carrying value or fair value less estimated costs to sell. As a result, we recorded an impairment charge of $22.5 million during 2016. Included in the total charge was a full write down of goodwill of $6.0 million. We have classified the remaining assets and liabilities as current assets held for sale and current liabilities held for sale, as we expect to complete the sale during 2017. This business is currently included within continuing operations of the Building &amp; Energy Solutions segment, and under future segment reporting it will be a separate segment until it is sold.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520"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53"/>
        </w:trPr>
        <w:tc>
          <w:tcPr>
            <w:tcW w:w="9120" w:type="dxa"/>
            <w:vAlign w:val="bottom"/>
            <w:gridSpan w:val="3"/>
          </w:tcPr>
          <w:p>
            <w:pPr>
              <w:spacing w:after="0"/>
              <w:rPr>
                <w:sz w:val="20"/>
                <w:szCs w:val="20"/>
                <w:color w:val="auto"/>
              </w:rPr>
            </w:pPr>
            <w:r>
              <w:rPr>
                <w:rFonts w:ascii="Arial" w:cs="Arial" w:eastAsia="Arial" w:hAnsi="Arial"/>
                <w:sz w:val="18"/>
                <w:szCs w:val="18"/>
                <w:b w:val="1"/>
                <w:bCs w:val="1"/>
                <w:color w:val="auto"/>
              </w:rPr>
              <w:t>Major Classes of Assets and Liabilities Held for Sale</w:t>
            </w:r>
          </w:p>
        </w:tc>
        <w:tc>
          <w:tcPr>
            <w:tcW w:w="28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501"/>
        </w:trPr>
        <w:tc>
          <w:tcPr>
            <w:tcW w:w="912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rPr>
              <w:t>October 31, 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8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50"/>
        </w:trPr>
        <w:tc>
          <w:tcPr>
            <w:tcW w:w="9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Trade accounts receivable, net</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r>
      <w:tr>
        <w:trPr>
          <w:trHeight w:val="252"/>
        </w:trPr>
        <w:tc>
          <w:tcPr>
            <w:tcW w:w="9120" w:type="dxa"/>
            <w:vAlign w:val="bottom"/>
            <w:gridSpan w:val="3"/>
          </w:tcPr>
          <w:p>
            <w:pPr>
              <w:ind w:left="40"/>
              <w:spacing w:after="0"/>
              <w:rPr>
                <w:sz w:val="20"/>
                <w:szCs w:val="20"/>
                <w:color w:val="auto"/>
              </w:rPr>
            </w:pPr>
            <w:r>
              <w:rPr>
                <w:rFonts w:ascii="Arial" w:cs="Arial" w:eastAsia="Arial" w:hAnsi="Arial"/>
                <w:sz w:val="18"/>
                <w:szCs w:val="18"/>
                <w:color w:val="auto"/>
              </w:rPr>
              <w:t>Investments in unconsolidated affiliates</w:t>
            </w:r>
          </w:p>
        </w:tc>
        <w:tc>
          <w:tcPr>
            <w:tcW w:w="28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61"/>
        </w:trPr>
        <w:tc>
          <w:tcPr>
            <w:tcW w:w="9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CEEFF"/>
          </w:tcPr>
          <w:p>
            <w:pPr>
              <w:spacing w:after="0"/>
              <w:rPr>
                <w:sz w:val="22"/>
                <w:szCs w:val="22"/>
                <w:color w:val="auto"/>
              </w:rPr>
            </w:pPr>
          </w:p>
        </w:tc>
        <w:tc>
          <w:tcPr>
            <w:tcW w:w="2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9"/>
        </w:trPr>
        <w:tc>
          <w:tcPr>
            <w:tcW w:w="9120" w:type="dxa"/>
            <w:vAlign w:val="bottom"/>
            <w:gridSpan w:val="3"/>
          </w:tcPr>
          <w:p>
            <w:pPr>
              <w:ind w:left="40"/>
              <w:spacing w:after="0"/>
              <w:rPr>
                <w:sz w:val="20"/>
                <w:szCs w:val="20"/>
                <w:color w:val="auto"/>
              </w:rPr>
            </w:pPr>
            <w:r>
              <w:rPr>
                <w:rFonts w:ascii="Arial" w:cs="Arial" w:eastAsia="Arial" w:hAnsi="Arial"/>
                <w:sz w:val="18"/>
                <w:szCs w:val="18"/>
                <w:b w:val="1"/>
                <w:bCs w:val="1"/>
                <w:color w:val="auto"/>
              </w:rPr>
              <w:t>Assets held for sale</w:t>
            </w:r>
          </w:p>
        </w:tc>
        <w:tc>
          <w:tcPr>
            <w:tcW w:w="28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44.1</w:t>
            </w:r>
          </w:p>
        </w:tc>
      </w:tr>
      <w:tr>
        <w:trPr>
          <w:trHeight w:val="325"/>
        </w:trPr>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3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52"/>
        </w:trPr>
        <w:tc>
          <w:tcPr>
            <w:tcW w:w="9120" w:type="dxa"/>
            <w:vAlign w:val="bottom"/>
            <w:gridSpan w:val="3"/>
          </w:tcPr>
          <w:p>
            <w:pPr>
              <w:ind w:left="40"/>
              <w:spacing w:after="0"/>
              <w:rPr>
                <w:sz w:val="20"/>
                <w:szCs w:val="20"/>
                <w:color w:val="auto"/>
              </w:rPr>
            </w:pPr>
            <w:r>
              <w:rPr>
                <w:rFonts w:ascii="Arial" w:cs="Arial" w:eastAsia="Arial" w:hAnsi="Arial"/>
                <w:sz w:val="18"/>
                <w:szCs w:val="18"/>
                <w:color w:val="auto"/>
              </w:rPr>
              <w:t>Trade accounts payable</w:t>
            </w:r>
          </w:p>
        </w:tc>
        <w:tc>
          <w:tcPr>
            <w:tcW w:w="28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14.4</w:t>
            </w:r>
          </w:p>
        </w:tc>
      </w:tr>
      <w:tr>
        <w:trPr>
          <w:trHeight w:val="261"/>
        </w:trPr>
        <w:tc>
          <w:tcPr>
            <w:tcW w:w="9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accrued liabilities</w:t>
            </w:r>
          </w:p>
        </w:tc>
        <w:tc>
          <w:tcPr>
            <w:tcW w:w="280" w:type="dxa"/>
            <w:vAlign w:val="bottom"/>
            <w:tcBorders>
              <w:bottom w:val="single" w:sz="8" w:color="auto"/>
            </w:tcBorders>
            <w:shd w:val="clear" w:color="auto" w:fill="CCEEFF"/>
          </w:tcPr>
          <w:p>
            <w:pPr>
              <w:spacing w:after="0"/>
              <w:rPr>
                <w:sz w:val="22"/>
                <w:szCs w:val="22"/>
                <w:color w:val="auto"/>
              </w:rPr>
            </w:pPr>
          </w:p>
        </w:tc>
        <w:tc>
          <w:tcPr>
            <w:tcW w:w="2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49"/>
        </w:trPr>
        <w:tc>
          <w:tcPr>
            <w:tcW w:w="9120" w:type="dxa"/>
            <w:vAlign w:val="bottom"/>
            <w:gridSpan w:val="3"/>
          </w:tcPr>
          <w:p>
            <w:pPr>
              <w:ind w:left="40"/>
              <w:spacing w:after="0"/>
              <w:rPr>
                <w:sz w:val="20"/>
                <w:szCs w:val="20"/>
                <w:color w:val="auto"/>
              </w:rPr>
            </w:pPr>
            <w:r>
              <w:rPr>
                <w:rFonts w:ascii="Arial" w:cs="Arial" w:eastAsia="Arial" w:hAnsi="Arial"/>
                <w:sz w:val="18"/>
                <w:szCs w:val="18"/>
                <w:b w:val="1"/>
                <w:bCs w:val="1"/>
                <w:color w:val="auto"/>
              </w:rPr>
              <w:t>Liabilities held for sale</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19.2</w:t>
            </w:r>
          </w:p>
        </w:tc>
      </w:tr>
    </w:tbl>
    <w:p>
      <w:pPr>
        <w:spacing w:after="0" w:line="16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Determining the fair value of a held-for-sale business involves significant judgments and assumptions. Development of estimates of fair values in this circumstance is complex and is dependent upon, among other factors, the composition of assets in the disposal group, the comparability of the disposal group to similar market transactions, and negotiations with third-party purchasers. Such factors bear directly on the range of potential fair values and the selection of the best estimates. In determining the fair value of our Government Services business, we used the income and market approaches, which utilize sales growth rates, gross margin patterns, discount rates, recent indicators of market activity, and other factors that are categorized as Level 3 inputs.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DISCONTINUED OPERATIONS</w:t>
      </w:r>
    </w:p>
    <w:p>
      <w:pPr>
        <w:spacing w:after="0" w:line="171" w:lineRule="exact"/>
        <w:rPr>
          <w:sz w:val="20"/>
          <w:szCs w:val="20"/>
          <w:color w:val="auto"/>
        </w:rPr>
      </w:pPr>
    </w:p>
    <w:p>
      <w:pPr>
        <w:jc w:val="both"/>
        <w:ind w:firstLine="354"/>
        <w:spacing w:after="0" w:line="272" w:lineRule="auto"/>
        <w:rPr>
          <w:sz w:val="20"/>
          <w:szCs w:val="20"/>
          <w:color w:val="auto"/>
        </w:rPr>
      </w:pPr>
      <w:r>
        <w:rPr>
          <w:rFonts w:ascii="Arial" w:cs="Arial" w:eastAsia="Arial" w:hAnsi="Arial"/>
          <w:sz w:val="18"/>
          <w:szCs w:val="18"/>
          <w:color w:val="auto"/>
        </w:rPr>
        <w:t xml:space="preserve">On October 26, 2015, in connection with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we sold substantially all of the assets of our Security business to Universal Protection Service, L.P. (“UPS”) for cash proceeds of $131.0 million, subject to a working capital adjustment. During 2016, the working capital adjustment resulted in a payment to UPS of $3.1 million. We reduced the gain on sale recorded in 2015 by the amount of this adjustment.</w:t>
      </w:r>
    </w:p>
    <w:p>
      <w:pPr>
        <w:spacing w:after="0" w:line="10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Our discontinued operations is comprised of amounts that were directly related to the operations of this former business, including certain costs that were previously recorded in Corporate expenses. In addition, certain general corporate expenses that were previously allocated to the former Security business were allocated to Corporate expenses and to the Janitorial segment. Discontinued operations also includes both costs related to ongoing legal cases and insurance reserves associated with the former Security business. We will continue to reflect these types of costs within discontinued operations in future periods.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Results of Operations and Cash Flows from Discontinued Operations</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520"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2"/>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6"/>
                <w:szCs w:val="16"/>
                <w:b w:val="1"/>
                <w:bCs w:val="1"/>
                <w:color w:val="auto"/>
              </w:rPr>
              <w:t>Years Ended October 31,</w:t>
            </w:r>
          </w:p>
        </w:tc>
        <w:tc>
          <w:tcPr>
            <w:tcW w:w="1040" w:type="dxa"/>
            <w:vAlign w:val="bottom"/>
            <w:tcBorders>
              <w:bottom w:val="single" w:sz="8" w:color="auto"/>
            </w:tcBorders>
          </w:tcPr>
          <w:p>
            <w:pPr>
              <w:spacing w:after="0"/>
              <w:rPr>
                <w:sz w:val="20"/>
                <w:szCs w:val="20"/>
                <w:color w:val="auto"/>
              </w:rPr>
            </w:pPr>
          </w:p>
        </w:tc>
      </w:tr>
      <w:tr>
        <w:trPr>
          <w:trHeight w:val="227"/>
        </w:trPr>
        <w:tc>
          <w:tcPr>
            <w:tcW w:w="708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9"/>
                <w:szCs w:val="19"/>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339"/>
              <w:spacing w:after="0" w:line="227" w:lineRule="exact"/>
              <w:rPr>
                <w:sz w:val="20"/>
                <w:szCs w:val="20"/>
                <w:color w:val="auto"/>
              </w:rPr>
            </w:pPr>
            <w:r>
              <w:rPr>
                <w:rFonts w:ascii="Arial" w:cs="Arial" w:eastAsia="Arial" w:hAnsi="Arial"/>
                <w:sz w:val="16"/>
                <w:szCs w:val="16"/>
                <w:b w:val="1"/>
                <w:bCs w:val="1"/>
                <w:color w:val="auto"/>
              </w:rPr>
              <w:t>2015</w:t>
            </w:r>
            <w:r>
              <w:rPr>
                <w:rFonts w:ascii="Arial" w:cs="Arial" w:eastAsia="Arial" w:hAnsi="Arial"/>
                <w:sz w:val="21"/>
                <w:szCs w:val="21"/>
                <w:color w:val="auto"/>
                <w:vertAlign w:val="superscript"/>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0"/>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392.7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383.1</w:t>
            </w:r>
          </w:p>
        </w:tc>
      </w:tr>
      <w:tr>
        <w:trPr>
          <w:trHeight w:val="264"/>
        </w:trPr>
        <w:tc>
          <w:tcPr>
            <w:tcW w:w="708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Expenses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383.1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369.3</w:t>
            </w:r>
          </w:p>
        </w:tc>
      </w:tr>
      <w:tr>
        <w:trPr>
          <w:trHeight w:val="257"/>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Operating (loss) profit</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13.8</w:t>
            </w:r>
          </w:p>
        </w:tc>
      </w:tr>
      <w:tr>
        <w:trPr>
          <w:trHeight w:val="262"/>
        </w:trPr>
        <w:tc>
          <w:tcPr>
            <w:tcW w:w="7080" w:type="dxa"/>
            <w:vAlign w:val="bottom"/>
            <w:gridSpan w:val="3"/>
          </w:tcPr>
          <w:p>
            <w:pPr>
              <w:ind w:left="40"/>
              <w:spacing w:after="0"/>
              <w:rPr>
                <w:sz w:val="20"/>
                <w:szCs w:val="20"/>
                <w:color w:val="auto"/>
              </w:rPr>
            </w:pPr>
            <w:r>
              <w:rPr>
                <w:rFonts w:ascii="Arial" w:cs="Arial" w:eastAsia="Arial" w:hAnsi="Arial"/>
                <w:sz w:val="16"/>
                <w:szCs w:val="16"/>
                <w:color w:val="auto"/>
              </w:rPr>
              <w:t>Gain on sale before income taxes</w:t>
            </w:r>
          </w:p>
        </w:tc>
        <w:tc>
          <w:tcPr>
            <w:tcW w:w="32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1"/>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Working capital adjustment to previously recorded gain</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9"/>
        </w:trPr>
        <w:tc>
          <w:tcPr>
            <w:tcW w:w="7080" w:type="dxa"/>
            <w:vAlign w:val="bottom"/>
            <w:gridSpan w:val="3"/>
          </w:tcPr>
          <w:p>
            <w:pPr>
              <w:ind w:left="40"/>
              <w:spacing w:after="0"/>
              <w:rPr>
                <w:sz w:val="20"/>
                <w:szCs w:val="20"/>
                <w:color w:val="auto"/>
              </w:rPr>
            </w:pPr>
            <w:r>
              <w:rPr>
                <w:rFonts w:ascii="Arial" w:cs="Arial" w:eastAsia="Arial" w:hAnsi="Arial"/>
                <w:sz w:val="16"/>
                <w:szCs w:val="16"/>
                <w:color w:val="auto"/>
              </w:rPr>
              <w:t>(Loss) income from discontinued operations before income taxes</w:t>
            </w:r>
          </w:p>
        </w:tc>
        <w:tc>
          <w:tcPr>
            <w:tcW w:w="3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13.8</w:t>
            </w:r>
          </w:p>
        </w:tc>
      </w:tr>
      <w:tr>
        <w:trPr>
          <w:trHeight w:val="278"/>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Income tax benefit (provision)</w:t>
            </w:r>
            <w:r>
              <w:rPr>
                <w:rFonts w:ascii="Arial" w:cs="Arial" w:eastAsia="Arial" w:hAnsi="Arial"/>
                <w:sz w:val="21"/>
                <w:szCs w:val="21"/>
                <w:color w:val="auto"/>
                <w:vertAlign w:val="superscript"/>
              </w:rPr>
              <w:t>(2)</w:t>
            </w: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42"/>
        </w:trPr>
        <w:tc>
          <w:tcPr>
            <w:tcW w:w="7080" w:type="dxa"/>
            <w:vAlign w:val="bottom"/>
            <w:gridSpan w:val="3"/>
          </w:tcPr>
          <w:p>
            <w:pPr>
              <w:ind w:left="40"/>
              <w:spacing w:after="0"/>
              <w:rPr>
                <w:sz w:val="20"/>
                <w:szCs w:val="20"/>
                <w:color w:val="auto"/>
              </w:rPr>
            </w:pPr>
            <w:r>
              <w:rPr>
                <w:rFonts w:ascii="Arial" w:cs="Arial" w:eastAsia="Arial" w:hAnsi="Arial"/>
                <w:sz w:val="16"/>
                <w:szCs w:val="16"/>
                <w:color w:val="auto"/>
              </w:rPr>
              <w:t>Net (loss) income from discontinued operations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8.7</w:t>
            </w:r>
          </w:p>
        </w:tc>
      </w:tr>
      <w:tr>
        <w:trPr>
          <w:trHeight w:val="332"/>
        </w:trPr>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3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329"/>
        </w:trPr>
        <w:tc>
          <w:tcPr>
            <w:tcW w:w="7080" w:type="dxa"/>
            <w:vAlign w:val="bottom"/>
            <w:gridSpan w:val="3"/>
          </w:tcPr>
          <w:p>
            <w:pPr>
              <w:ind w:left="40"/>
              <w:spacing w:after="0"/>
              <w:rPr>
                <w:sz w:val="20"/>
                <w:szCs w:val="20"/>
                <w:color w:val="auto"/>
              </w:rPr>
            </w:pPr>
            <w:r>
              <w:rPr>
                <w:rFonts w:ascii="Arial" w:cs="Arial" w:eastAsia="Arial" w:hAnsi="Arial"/>
                <w:sz w:val="16"/>
                <w:szCs w:val="16"/>
                <w:color w:val="auto"/>
              </w:rPr>
              <w:t>Net cash (used in) provided by operating activities of discontinued operations</w:t>
            </w:r>
            <w:r>
              <w:rPr>
                <w:rFonts w:ascii="Arial" w:cs="Arial" w:eastAsia="Arial" w:hAnsi="Arial"/>
                <w:sz w:val="21"/>
                <w:szCs w:val="21"/>
                <w:color w:val="auto"/>
                <w:vertAlign w:val="superscript"/>
              </w:rPr>
              <w:t>(3)</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24"/>
                <w:szCs w:val="24"/>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5.6</w:t>
            </w:r>
          </w:p>
        </w:tc>
      </w:tr>
    </w:tbl>
    <w:p>
      <w:pPr>
        <w:spacing w:after="0" w:line="62"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21"/>
          <w:szCs w:val="21"/>
          <w:color w:val="auto"/>
          <w:vertAlign w:val="superscript"/>
        </w:rPr>
      </w:pPr>
      <w:r>
        <w:rPr>
          <w:rFonts w:ascii="Arial" w:cs="Arial" w:eastAsia="Arial" w:hAnsi="Arial"/>
          <w:sz w:val="15"/>
          <w:szCs w:val="15"/>
          <w:color w:val="auto"/>
        </w:rPr>
        <w:t>Includes a $1.6 million unfavorable legal settlement related to our former Lighting segment, which we disposed of in 2008.</w:t>
      </w:r>
    </w:p>
    <w:p>
      <w:pPr>
        <w:spacing w:after="0" w:line="109"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24"/>
        </w:numPr>
        <w:rPr>
          <w:rFonts w:ascii="Arial" w:cs="Arial" w:eastAsia="Arial" w:hAnsi="Arial"/>
          <w:sz w:val="21"/>
          <w:szCs w:val="21"/>
          <w:color w:val="auto"/>
          <w:vertAlign w:val="superscript"/>
        </w:rPr>
      </w:pPr>
      <w:r>
        <w:rPr>
          <w:rFonts w:ascii="Arial" w:cs="Arial" w:eastAsia="Arial" w:hAnsi="Arial"/>
          <w:sz w:val="15"/>
          <w:szCs w:val="15"/>
          <w:color w:val="auto"/>
        </w:rPr>
        <w:t>For 2016 and 2015, income taxes were positively impacted by the retroactive reinstatement of the Work Opportunity Tax Credits (“WOTC”).</w:t>
      </w:r>
    </w:p>
    <w:p>
      <w:pPr>
        <w:spacing w:after="0" w:line="109"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24"/>
        </w:numPr>
        <w:rPr>
          <w:rFonts w:ascii="Arial" w:cs="Arial" w:eastAsia="Arial" w:hAnsi="Arial"/>
          <w:sz w:val="21"/>
          <w:szCs w:val="21"/>
          <w:color w:val="auto"/>
          <w:vertAlign w:val="superscript"/>
        </w:rPr>
      </w:pPr>
      <w:r>
        <w:rPr>
          <w:rFonts w:ascii="Arial" w:cs="Arial" w:eastAsia="Arial" w:hAnsi="Arial"/>
          <w:sz w:val="15"/>
          <w:szCs w:val="15"/>
          <w:color w:val="auto"/>
        </w:rPr>
        <w:t>During 2016, we paid $20.0 million in taxes in connection with the sale of our Security business.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714"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6. ACQUISITIONS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Acquisitions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Effective September 30, 2016, we acquired all of the outstanding stock of BRBIBR Limited, a company which held all of the outstanding shares of 8 Solutions Ltd. (“8 Solutions”), a provider of technical cleaning services to data centers in the United Kingdom and certain other locations, for a purchase price of $16.1 million, subject to post-closing adjustments. As of September 30, 2016, the operations of 8 Solutions are included in our Janitorial segment.</w:t>
      </w:r>
    </w:p>
    <w:p>
      <w:pPr>
        <w:spacing w:after="0" w:line="11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Effective December 1, 2015, we acquired all of the outstanding stock of Westway Services Holdings (2014) Ltd. (“Westway”), a provider of technical services to clients in the United Kingdom for a purchase price of $81.0 million. This acquisition expanded the geographical reach of our technical services business to the United Kingdom, resulting in the allocation of a significant portion of the purchase price to goodwill. As such, we recorded goodwill and intangible assets of $54.2 million and $22.5 million, respectively. The goodwill associated with this acquisition is not deductible for tax purposes. As of December 1, 2015, the operations of Westway are included in our Building &amp; Energy Solutions segment.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Acquisition</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Effective May 1, 2015, we acquired certain assets and assumed certain liabilities of CTS Services/Facility Support Services (“CTS”), a provider of HVAC services and energy solutions in government, commercial, and industrial buildings, for a purchase price of $18.8 million. The purchase price includes $3.8 million of contingent consideration that is based on the expected achievement of certain pre-established revenue goals. See Note 8, “Fair Value of Financial Instruments,” regarding the valuation of the contingent consideration liability. As of May 1, 2015, the operations of CTS are included in our Building &amp; Energy Solutions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Acquisitions</w:t>
      </w:r>
    </w:p>
    <w:p>
      <w:pPr>
        <w:spacing w:after="0" w:line="17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During 2014, we completed acquisitions for an aggregate purchase price of $52.9 million, which included $3.3 million of contingent consideration. As of October 31, 2016, the remaining balance of this contingent consideration is $1.7 million.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and Other Supplemental Financial Information</w:t>
      </w:r>
    </w:p>
    <w:p>
      <w:pPr>
        <w:spacing w:after="0" w:line="17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Pro forma and other supplemental financial information is not presented for these acquisitions, as they are not considered material business combinations individually or on a combined basis.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520"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7. NET INCOME PER COMMON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Income Per Common Share Calculations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8"/>
                <w:szCs w:val="18"/>
                <w:b w:val="1"/>
                <w:bCs w:val="1"/>
                <w:color w:val="auto"/>
                <w:w w:val="99"/>
              </w:rPr>
              <w:t>Years Ended October 31,</w:t>
            </w:r>
          </w:p>
        </w:tc>
        <w:tc>
          <w:tcPr>
            <w:tcW w:w="4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360" w:type="dxa"/>
            <w:vAlign w:val="bottom"/>
            <w:gridSpan w:val="4"/>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ind w:right="69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center"/>
              <w:ind w:right="370"/>
              <w:spacing w:after="0"/>
              <w:rPr>
                <w:sz w:val="20"/>
                <w:szCs w:val="20"/>
                <w:color w:val="auto"/>
              </w:rPr>
            </w:pPr>
            <w:r>
              <w:rPr>
                <w:rFonts w:ascii="Arial" w:cs="Arial" w:eastAsia="Arial" w:hAnsi="Arial"/>
                <w:sz w:val="18"/>
                <w:szCs w:val="18"/>
                <w:b w:val="1"/>
                <w:bCs w:val="1"/>
                <w:color w:val="auto"/>
                <w:w w:val="99"/>
              </w:rPr>
              <w:t>2015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ind w:right="69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3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62.3</w:t>
            </w:r>
          </w:p>
        </w:tc>
        <w:tc>
          <w:tcPr>
            <w:tcW w:w="58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65"/>
        </w:trPr>
        <w:tc>
          <w:tcPr>
            <w:tcW w:w="536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Net (loss) income from discontinued operations</w:t>
            </w: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55"/>
        </w:trPr>
        <w:tc>
          <w:tcPr>
            <w:tcW w:w="53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57.2</w:t>
            </w:r>
          </w:p>
        </w:tc>
        <w:tc>
          <w:tcPr>
            <w:tcW w:w="58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76.3</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360" w:type="dxa"/>
            <w:vAlign w:val="bottom"/>
            <w:gridSpan w:val="4"/>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Weighted-average common and common equivalent shares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40" w:type="dxa"/>
            <w:vAlign w:val="bottom"/>
            <w:shd w:val="clear" w:color="auto" w:fill="CCEEFF"/>
          </w:tcPr>
          <w:p>
            <w:pPr>
              <w:spacing w:after="0"/>
              <w:rPr>
                <w:sz w:val="22"/>
                <w:szCs w:val="22"/>
                <w:color w:val="auto"/>
              </w:rPr>
            </w:pPr>
          </w:p>
        </w:tc>
        <w:tc>
          <w:tcPr>
            <w:tcW w:w="53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outstanding — Basic</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65"/>
        </w:trPr>
        <w:tc>
          <w:tcPr>
            <w:tcW w:w="5360" w:type="dxa"/>
            <w:vAlign w:val="bottom"/>
            <w:gridSpan w:val="4"/>
          </w:tcPr>
          <w:p>
            <w:pPr>
              <w:ind w:left="40"/>
              <w:spacing w:after="0"/>
              <w:rPr>
                <w:sz w:val="20"/>
                <w:szCs w:val="20"/>
                <w:color w:val="auto"/>
              </w:rPr>
            </w:pPr>
            <w:r>
              <w:rPr>
                <w:rFonts w:ascii="Arial" w:cs="Arial" w:eastAsia="Arial" w:hAnsi="Arial"/>
                <w:sz w:val="18"/>
                <w:szCs w:val="18"/>
                <w:color w:val="auto"/>
              </w:rPr>
              <w:t>Effect of dilutive securities</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0" w:type="dxa"/>
            <w:vAlign w:val="bottom"/>
            <w:shd w:val="clear" w:color="auto" w:fill="CCEEFF"/>
          </w:tcPr>
          <w:p>
            <w:pPr>
              <w:spacing w:after="0"/>
              <w:rPr>
                <w:sz w:val="23"/>
                <w:szCs w:val="23"/>
                <w:color w:val="auto"/>
              </w:rPr>
            </w:pPr>
          </w:p>
        </w:tc>
        <w:tc>
          <w:tcPr>
            <w:tcW w:w="5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RSUs</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5320" w:type="dxa"/>
            <w:vAlign w:val="bottom"/>
            <w:gridSpan w:val="3"/>
          </w:tcPr>
          <w:p>
            <w:pPr>
              <w:ind w:left="340"/>
              <w:spacing w:after="0"/>
              <w:rPr>
                <w:sz w:val="20"/>
                <w:szCs w:val="20"/>
                <w:color w:val="auto"/>
              </w:rPr>
            </w:pPr>
            <w:r>
              <w:rPr>
                <w:rFonts w:ascii="Arial" w:cs="Arial" w:eastAsia="Arial" w:hAnsi="Arial"/>
                <w:sz w:val="18"/>
                <w:szCs w:val="18"/>
                <w:color w:val="auto"/>
              </w:rPr>
              <w:t>Stock options</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5"/>
        </w:trPr>
        <w:tc>
          <w:tcPr>
            <w:tcW w:w="40" w:type="dxa"/>
            <w:vAlign w:val="bottom"/>
            <w:shd w:val="clear" w:color="auto" w:fill="CCEEFF"/>
          </w:tcPr>
          <w:p>
            <w:pPr>
              <w:spacing w:after="0"/>
              <w:rPr>
                <w:sz w:val="23"/>
                <w:szCs w:val="23"/>
                <w:color w:val="auto"/>
              </w:rPr>
            </w:pPr>
          </w:p>
        </w:tc>
        <w:tc>
          <w:tcPr>
            <w:tcW w:w="5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Performance shares</w:t>
            </w: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85"/>
        </w:trPr>
        <w:tc>
          <w:tcPr>
            <w:tcW w:w="5360" w:type="dxa"/>
            <w:vAlign w:val="bottom"/>
            <w:gridSpan w:val="4"/>
          </w:tcPr>
          <w:p>
            <w:pPr>
              <w:ind w:left="40"/>
              <w:spacing w:after="0" w:line="185" w:lineRule="exact"/>
              <w:rPr>
                <w:sz w:val="20"/>
                <w:szCs w:val="20"/>
                <w:color w:val="auto"/>
              </w:rPr>
            </w:pPr>
            <w:r>
              <w:rPr>
                <w:rFonts w:ascii="Arial" w:cs="Arial" w:eastAsia="Arial" w:hAnsi="Arial"/>
                <w:sz w:val="18"/>
                <w:szCs w:val="18"/>
                <w:b w:val="1"/>
                <w:bCs w:val="1"/>
                <w:color w:val="auto"/>
              </w:rPr>
              <w:t>Weighted-average common and common equivalent shares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vMerge w:val="restart"/>
          </w:tcPr>
          <w:p>
            <w:pPr>
              <w:jc w:val="right"/>
              <w:ind w:right="30"/>
              <w:spacing w:after="0"/>
              <w:rPr>
                <w:sz w:val="20"/>
                <w:szCs w:val="20"/>
                <w:color w:val="auto"/>
              </w:rPr>
            </w:pPr>
            <w:r>
              <w:rPr>
                <w:rFonts w:ascii="Arial" w:cs="Arial" w:eastAsia="Arial" w:hAnsi="Arial"/>
                <w:sz w:val="18"/>
                <w:szCs w:val="18"/>
                <w:color w:val="auto"/>
              </w:rPr>
              <w:t>56.9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vMerge w:val="restart"/>
          </w:tcPr>
          <w:p>
            <w:pPr>
              <w:jc w:val="right"/>
              <w:ind w:right="10"/>
              <w:spacing w:after="0"/>
              <w:rPr>
                <w:sz w:val="20"/>
                <w:szCs w:val="20"/>
                <w:color w:val="auto"/>
              </w:rPr>
            </w:pPr>
            <w:r>
              <w:rPr>
                <w:rFonts w:ascii="Arial" w:cs="Arial" w:eastAsia="Arial" w:hAnsi="Arial"/>
                <w:sz w:val="18"/>
                <w:szCs w:val="18"/>
                <w:color w:val="auto"/>
              </w:rPr>
              <w:t>57.4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vMerge w:val="restart"/>
          </w:tcPr>
          <w:p>
            <w:pPr>
              <w:jc w:val="right"/>
              <w:ind w:right="1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81"/>
        </w:trPr>
        <w:tc>
          <w:tcPr>
            <w:tcW w:w="40" w:type="dxa"/>
            <w:vAlign w:val="bottom"/>
            <w:tcBorders>
              <w:bottom w:val="single" w:sz="8" w:color="CCEEFF"/>
            </w:tcBorders>
          </w:tcPr>
          <w:p>
            <w:pPr>
              <w:spacing w:after="0"/>
              <w:rPr>
                <w:sz w:val="24"/>
                <w:szCs w:val="24"/>
                <w:color w:val="auto"/>
              </w:rPr>
            </w:pPr>
          </w:p>
        </w:tc>
        <w:tc>
          <w:tcPr>
            <w:tcW w:w="532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b w:val="1"/>
                <w:bCs w:val="1"/>
                <w:color w:val="auto"/>
              </w:rPr>
              <w:t>outstanding — Diluted</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5360" w:type="dxa"/>
            <w:vAlign w:val="bottom"/>
            <w:gridSpan w:val="4"/>
          </w:tcPr>
          <w:p>
            <w:pPr>
              <w:ind w:left="40"/>
              <w:spacing w:after="0"/>
              <w:rPr>
                <w:sz w:val="20"/>
                <w:szCs w:val="20"/>
                <w:color w:val="auto"/>
              </w:rPr>
            </w:pPr>
            <w:r>
              <w:rPr>
                <w:rFonts w:ascii="Arial" w:cs="Arial" w:eastAsia="Arial" w:hAnsi="Arial"/>
                <w:sz w:val="18"/>
                <w:szCs w:val="18"/>
                <w:b w:val="1"/>
                <w:bCs w:val="1"/>
                <w:color w:val="auto"/>
              </w:rPr>
              <w:t>Net income per common share — Basic</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40" w:type="dxa"/>
            <w:vAlign w:val="bottom"/>
            <w:shd w:val="clear" w:color="auto" w:fill="CCEEFF"/>
          </w:tcPr>
          <w:p>
            <w:pPr>
              <w:spacing w:after="0"/>
              <w:rPr>
                <w:sz w:val="23"/>
                <w:szCs w:val="23"/>
                <w:color w:val="auto"/>
              </w:rPr>
            </w:pPr>
          </w:p>
        </w:tc>
        <w:tc>
          <w:tcPr>
            <w:tcW w:w="5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58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0.95</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65"/>
        </w:trPr>
        <w:tc>
          <w:tcPr>
            <w:tcW w:w="40" w:type="dxa"/>
            <w:vAlign w:val="bottom"/>
            <w:tcBorders>
              <w:bottom w:val="single" w:sz="8" w:color="CCEEFF"/>
            </w:tcBorders>
          </w:tcPr>
          <w:p>
            <w:pPr>
              <w:spacing w:after="0"/>
              <w:rPr>
                <w:sz w:val="23"/>
                <w:szCs w:val="23"/>
                <w:color w:val="auto"/>
              </w:rPr>
            </w:pPr>
          </w:p>
        </w:tc>
        <w:tc>
          <w:tcPr>
            <w:tcW w:w="532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(Loss) income from discontinued operations</w:t>
            </w: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0.40</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55"/>
        </w:trPr>
        <w:tc>
          <w:tcPr>
            <w:tcW w:w="40" w:type="dxa"/>
            <w:vAlign w:val="bottom"/>
            <w:shd w:val="clear" w:color="auto" w:fill="CCEEFF"/>
          </w:tcPr>
          <w:p>
            <w:pPr>
              <w:spacing w:after="0"/>
              <w:rPr>
                <w:sz w:val="22"/>
                <w:szCs w:val="22"/>
                <w:color w:val="auto"/>
              </w:rPr>
            </w:pPr>
          </w:p>
        </w:tc>
        <w:tc>
          <w:tcPr>
            <w:tcW w:w="5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58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6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common share — Diluted</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5320" w:type="dxa"/>
            <w:vAlign w:val="bottom"/>
            <w:gridSpan w:val="3"/>
          </w:tcPr>
          <w:p>
            <w:pPr>
              <w:ind w:left="34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580" w:type="dxa"/>
            <w:vAlign w:val="bottom"/>
            <w:gridSpan w:val="4"/>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0.94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5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(Loss) income from discontinued operations</w:t>
            </w: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0.39</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5320" w:type="dxa"/>
            <w:vAlign w:val="bottom"/>
            <w:gridSpan w:val="3"/>
          </w:tcPr>
          <w:p>
            <w:pPr>
              <w:ind w:left="3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gridSpan w:val="2"/>
          </w:tcPr>
          <w:p>
            <w:pPr>
              <w:spacing w:after="0"/>
              <w:rPr>
                <w:sz w:val="22"/>
                <w:szCs w:val="22"/>
                <w:color w:val="auto"/>
              </w:rPr>
            </w:pPr>
          </w:p>
        </w:tc>
        <w:tc>
          <w:tcPr>
            <w:tcW w:w="4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900" w:type="dxa"/>
            <w:vAlign w:val="bottom"/>
            <w:gridSpan w:val="11"/>
          </w:tcPr>
          <w:p>
            <w:pPr>
              <w:spacing w:after="0"/>
              <w:rPr>
                <w:sz w:val="20"/>
                <w:szCs w:val="20"/>
                <w:color w:val="auto"/>
              </w:rPr>
            </w:pPr>
            <w:r>
              <w:rPr>
                <w:rFonts w:ascii="Arial" w:cs="Arial" w:eastAsia="Arial" w:hAnsi="Arial"/>
                <w:sz w:val="18"/>
                <w:szCs w:val="18"/>
                <w:b w:val="1"/>
                <w:bCs w:val="1"/>
                <w:color w:val="auto"/>
              </w:rPr>
              <w:t>Anti-Dilutive Outstanding Stock Awards Issued Under Share-Based Compensation Plans</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9"/>
              </w:rPr>
              <w:t>Years Ended October 31,</w:t>
            </w: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360" w:type="dxa"/>
            <w:vAlign w:val="bottom"/>
            <w:gridSpan w:val="4"/>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center"/>
              <w:ind w:right="330"/>
              <w:spacing w:after="0"/>
              <w:rPr>
                <w:sz w:val="20"/>
                <w:szCs w:val="20"/>
                <w:color w:val="auto"/>
              </w:rPr>
            </w:pPr>
            <w:r>
              <w:rPr>
                <w:rFonts w:ascii="Arial" w:cs="Arial" w:eastAsia="Arial" w:hAnsi="Arial"/>
                <w:sz w:val="18"/>
                <w:szCs w:val="18"/>
                <w:b w:val="1"/>
                <w:bCs w:val="1"/>
                <w:color w:val="auto"/>
                <w:w w:val="99"/>
              </w:rPr>
              <w:t>2015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ind w:right="6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36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Anti-dilutive</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0"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8. 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 of Our Financial Instruments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As of October 31,</w:t>
            </w:r>
          </w:p>
        </w:tc>
      </w:tr>
      <w:tr>
        <w:trPr>
          <w:trHeight w:val="182"/>
        </w:trPr>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1620" w:type="dxa"/>
            <w:vAlign w:val="bottom"/>
            <w:gridSpan w:val="2"/>
          </w:tcPr>
          <w:p>
            <w:pPr>
              <w:jc w:val="center"/>
              <w:ind w:right="120"/>
              <w:spacing w:after="0" w:line="183" w:lineRule="exact"/>
              <w:rPr>
                <w:sz w:val="20"/>
                <w:szCs w:val="20"/>
                <w:color w:val="auto"/>
              </w:rPr>
            </w:pPr>
            <w:r>
              <w:rPr>
                <w:rFonts w:ascii="Arial" w:cs="Arial" w:eastAsia="Arial" w:hAnsi="Arial"/>
                <w:sz w:val="16"/>
                <w:szCs w:val="16"/>
                <w:b w:val="1"/>
                <w:bCs w:val="1"/>
                <w:color w:val="auto"/>
              </w:rPr>
              <w:t>Fair Value</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6"/>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Hierarchy</w:t>
            </w:r>
          </w:p>
        </w:tc>
        <w:tc>
          <w:tcPr>
            <w:tcW w:w="340" w:type="dxa"/>
            <w:vAlign w:val="bottom"/>
          </w:tcPr>
          <w:p>
            <w:pPr>
              <w:spacing w:after="0"/>
              <w:rPr>
                <w:sz w:val="17"/>
                <w:szCs w:val="17"/>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64"/>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Financial assets measured at fair value on a recurring basis</w:t>
            </w: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6700" w:type="dxa"/>
            <w:vAlign w:val="bottom"/>
            <w:gridSpan w:val="2"/>
          </w:tcPr>
          <w:p>
            <w:pPr>
              <w:ind w:left="340"/>
              <w:spacing w:after="0"/>
              <w:rPr>
                <w:sz w:val="20"/>
                <w:szCs w:val="20"/>
                <w:color w:val="auto"/>
              </w:rPr>
            </w:pPr>
            <w:r>
              <w:rPr>
                <w:rFonts w:ascii="Arial" w:cs="Arial" w:eastAsia="Arial" w:hAnsi="Arial"/>
                <w:sz w:val="16"/>
                <w:szCs w:val="16"/>
                <w:color w:val="auto"/>
              </w:rPr>
              <w:t>Assets held in funded deferred compensation plan</w:t>
            </w:r>
            <w:r>
              <w:rPr>
                <w:rFonts w:ascii="Arial" w:cs="Arial" w:eastAsia="Arial" w:hAnsi="Arial"/>
                <w:sz w:val="21"/>
                <w:szCs w:val="21"/>
                <w:color w:val="auto"/>
                <w:vertAlign w:val="superscript"/>
              </w:rPr>
              <w:t>(1)</w:t>
            </w:r>
          </w:p>
        </w:tc>
        <w:tc>
          <w:tcPr>
            <w:tcW w:w="1500" w:type="dxa"/>
            <w:vAlign w:val="bottom"/>
          </w:tcPr>
          <w:p>
            <w:pPr>
              <w:jc w:val="center"/>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3"/>
                <w:szCs w:val="23"/>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5.3</w:t>
            </w:r>
          </w:p>
        </w:tc>
      </w:tr>
      <w:tr>
        <w:trPr>
          <w:trHeight w:val="270"/>
        </w:trPr>
        <w:tc>
          <w:tcPr>
            <w:tcW w:w="40" w:type="dxa"/>
            <w:vAlign w:val="bottom"/>
            <w:shd w:val="clear" w:color="auto" w:fill="CCEEFF"/>
          </w:tcPr>
          <w:p>
            <w:pPr>
              <w:spacing w:after="0"/>
              <w:rPr>
                <w:sz w:val="23"/>
                <w:szCs w:val="23"/>
                <w:color w:val="auto"/>
              </w:rPr>
            </w:pPr>
          </w:p>
        </w:tc>
        <w:tc>
          <w:tcPr>
            <w:tcW w:w="67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Investments in auction rate securities</w:t>
            </w:r>
            <w:r>
              <w:rPr>
                <w:rFonts w:ascii="Arial" w:cs="Arial" w:eastAsia="Arial" w:hAnsi="Arial"/>
                <w:sz w:val="21"/>
                <w:szCs w:val="21"/>
                <w:color w:val="auto"/>
                <w:vertAlign w:val="superscript"/>
              </w:rPr>
              <w:t>(2)</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r>
      <w:tr>
        <w:trPr>
          <w:trHeight w:val="270"/>
        </w:trPr>
        <w:tc>
          <w:tcPr>
            <w:tcW w:w="40" w:type="dxa"/>
            <w:vAlign w:val="bottom"/>
          </w:tcPr>
          <w:p>
            <w:pPr>
              <w:spacing w:after="0"/>
              <w:rPr>
                <w:sz w:val="23"/>
                <w:szCs w:val="23"/>
                <w:color w:val="auto"/>
              </w:rPr>
            </w:pPr>
          </w:p>
        </w:tc>
        <w:tc>
          <w:tcPr>
            <w:tcW w:w="6700" w:type="dxa"/>
            <w:vAlign w:val="bottom"/>
            <w:gridSpan w:val="2"/>
          </w:tcPr>
          <w:p>
            <w:pPr>
              <w:ind w:left="34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(3)</w:t>
            </w:r>
          </w:p>
        </w:tc>
        <w:tc>
          <w:tcPr>
            <w:tcW w:w="1500" w:type="dxa"/>
            <w:vAlign w:val="bottom"/>
          </w:tcPr>
          <w:p>
            <w:pPr>
              <w:jc w:val="center"/>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Other select financial assets</w:t>
            </w: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6700" w:type="dxa"/>
            <w:vAlign w:val="bottom"/>
            <w:gridSpan w:val="2"/>
          </w:tcPr>
          <w:p>
            <w:pPr>
              <w:ind w:left="340"/>
              <w:spacing w:after="0"/>
              <w:rPr>
                <w:sz w:val="20"/>
                <w:szCs w:val="20"/>
                <w:color w:val="auto"/>
              </w:rPr>
            </w:pPr>
            <w:r>
              <w:rPr>
                <w:rFonts w:ascii="Arial" w:cs="Arial" w:eastAsia="Arial" w:hAnsi="Arial"/>
                <w:sz w:val="16"/>
                <w:szCs w:val="16"/>
                <w:color w:val="auto"/>
              </w:rPr>
              <w:t>Cash and cash equivalents</w:t>
            </w:r>
            <w:r>
              <w:rPr>
                <w:rFonts w:ascii="Arial" w:cs="Arial" w:eastAsia="Arial" w:hAnsi="Arial"/>
                <w:sz w:val="21"/>
                <w:szCs w:val="21"/>
                <w:color w:val="auto"/>
                <w:vertAlign w:val="superscript"/>
              </w:rPr>
              <w:t>(4)</w:t>
            </w:r>
          </w:p>
        </w:tc>
        <w:tc>
          <w:tcPr>
            <w:tcW w:w="1500" w:type="dxa"/>
            <w:vAlign w:val="bottom"/>
          </w:tcPr>
          <w:p>
            <w:pPr>
              <w:jc w:val="center"/>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55.5</w:t>
            </w:r>
          </w:p>
        </w:tc>
      </w:tr>
      <w:tr>
        <w:trPr>
          <w:trHeight w:val="270"/>
        </w:trPr>
        <w:tc>
          <w:tcPr>
            <w:tcW w:w="40" w:type="dxa"/>
            <w:vAlign w:val="bottom"/>
            <w:shd w:val="clear" w:color="auto" w:fill="CCEEFF"/>
          </w:tcPr>
          <w:p>
            <w:pPr>
              <w:spacing w:after="0"/>
              <w:rPr>
                <w:sz w:val="23"/>
                <w:szCs w:val="23"/>
                <w:color w:val="auto"/>
              </w:rPr>
            </w:pPr>
          </w:p>
        </w:tc>
        <w:tc>
          <w:tcPr>
            <w:tcW w:w="67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Insurance deposits</w:t>
            </w:r>
            <w:r>
              <w:rPr>
                <w:rFonts w:ascii="Arial" w:cs="Arial" w:eastAsia="Arial" w:hAnsi="Arial"/>
                <w:sz w:val="21"/>
                <w:szCs w:val="21"/>
                <w:color w:val="auto"/>
                <w:vertAlign w:val="superscript"/>
              </w:rPr>
              <w:t>(5)</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r>
      <w:tr>
        <w:trPr>
          <w:trHeight w:val="338"/>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Financial liabilities measured at fair value on a recurring basis</w:t>
            </w: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6700" w:type="dxa"/>
            <w:vAlign w:val="bottom"/>
            <w:gridSpan w:val="2"/>
          </w:tcPr>
          <w:p>
            <w:pPr>
              <w:ind w:left="34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(3)</w:t>
            </w:r>
          </w:p>
        </w:tc>
        <w:tc>
          <w:tcPr>
            <w:tcW w:w="1500" w:type="dxa"/>
            <w:vAlign w:val="bottom"/>
          </w:tcPr>
          <w:p>
            <w:pPr>
              <w:jc w:val="center"/>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0.1</w:t>
            </w:r>
          </w:p>
        </w:tc>
      </w:tr>
      <w:tr>
        <w:trPr>
          <w:trHeight w:val="270"/>
        </w:trPr>
        <w:tc>
          <w:tcPr>
            <w:tcW w:w="40" w:type="dxa"/>
            <w:vAlign w:val="bottom"/>
            <w:shd w:val="clear" w:color="auto" w:fill="CCEEFF"/>
          </w:tcPr>
          <w:p>
            <w:pPr>
              <w:spacing w:after="0"/>
              <w:rPr>
                <w:sz w:val="23"/>
                <w:szCs w:val="23"/>
                <w:color w:val="auto"/>
              </w:rPr>
            </w:pPr>
          </w:p>
        </w:tc>
        <w:tc>
          <w:tcPr>
            <w:tcW w:w="67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Contingent consideration liability</w:t>
            </w:r>
            <w:r>
              <w:rPr>
                <w:rFonts w:ascii="Arial" w:cs="Arial" w:eastAsia="Arial" w:hAnsi="Arial"/>
                <w:sz w:val="21"/>
                <w:szCs w:val="21"/>
                <w:color w:val="auto"/>
                <w:vertAlign w:val="superscript"/>
              </w:rPr>
              <w:t>(6)</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r>
      <w:tr>
        <w:trPr>
          <w:trHeight w:val="266"/>
        </w:trPr>
        <w:tc>
          <w:tcPr>
            <w:tcW w:w="6740" w:type="dxa"/>
            <w:vAlign w:val="bottom"/>
            <w:gridSpan w:val="3"/>
          </w:tcPr>
          <w:p>
            <w:pPr>
              <w:ind w:left="40"/>
              <w:spacing w:after="0"/>
              <w:rPr>
                <w:sz w:val="20"/>
                <w:szCs w:val="20"/>
                <w:color w:val="auto"/>
              </w:rPr>
            </w:pPr>
            <w:r>
              <w:rPr>
                <w:rFonts w:ascii="Arial" w:cs="Arial" w:eastAsia="Arial" w:hAnsi="Arial"/>
                <w:sz w:val="16"/>
                <w:szCs w:val="16"/>
                <w:b w:val="1"/>
                <w:bCs w:val="1"/>
                <w:color w:val="auto"/>
              </w:rPr>
              <w:t>Other select financial liability</w:t>
            </w: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4"/>
        </w:trPr>
        <w:tc>
          <w:tcPr>
            <w:tcW w:w="40" w:type="dxa"/>
            <w:vAlign w:val="bottom"/>
            <w:shd w:val="clear" w:color="auto" w:fill="CCEEFF"/>
          </w:tcPr>
          <w:p>
            <w:pPr>
              <w:spacing w:after="0"/>
              <w:rPr>
                <w:sz w:val="23"/>
                <w:szCs w:val="23"/>
                <w:color w:val="auto"/>
              </w:rPr>
            </w:pPr>
          </w:p>
        </w:tc>
        <w:tc>
          <w:tcPr>
            <w:tcW w:w="67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Line of credit</w:t>
            </w:r>
            <w:r>
              <w:rPr>
                <w:rFonts w:ascii="Arial" w:cs="Arial" w:eastAsia="Arial" w:hAnsi="Arial"/>
                <w:sz w:val="21"/>
                <w:szCs w:val="21"/>
                <w:color w:val="auto"/>
                <w:vertAlign w:val="superscript"/>
              </w:rPr>
              <w:t>(7)</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268.3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158.0</w:t>
            </w:r>
          </w:p>
        </w:tc>
      </w:tr>
    </w:tbl>
    <w:p>
      <w:pPr>
        <w:spacing w:after="0" w:line="144" w:lineRule="exact"/>
        <w:rPr>
          <w:sz w:val="20"/>
          <w:szCs w:val="20"/>
          <w:color w:val="auto"/>
        </w:rPr>
      </w:pPr>
    </w:p>
    <w:p>
      <w:pPr>
        <w:jc w:val="both"/>
        <w:ind w:firstLine="8"/>
        <w:spacing w:after="0" w:line="246" w:lineRule="auto"/>
        <w:tabs>
          <w:tab w:leader="none" w:pos="180" w:val="left"/>
        </w:tabs>
        <w:numPr>
          <w:ilvl w:val="0"/>
          <w:numId w:val="25"/>
        </w:numPr>
        <w:rPr>
          <w:rFonts w:ascii="Arial" w:cs="Arial" w:eastAsia="Arial" w:hAnsi="Arial"/>
          <w:sz w:val="21"/>
          <w:szCs w:val="21"/>
          <w:color w:val="auto"/>
          <w:vertAlign w:val="superscript"/>
        </w:rPr>
      </w:pPr>
      <w:r>
        <w:rPr>
          <w:rFonts w:ascii="Arial" w:cs="Arial" w:eastAsia="Arial" w:hAnsi="Arial"/>
          <w:sz w:val="15"/>
          <w:szCs w:val="15"/>
          <w:color w:val="auto"/>
        </w:rPr>
        <w:t>Represents investments held in a Rabbi trust associated with one of our deferred compensation plans, which we include in “Other noncurrent assets” on the accompanying consolidated balance sheets. The fair value of the assets held in the funded deferred compensation plan is based on quoted market prices. See Note 15, “Employee Benefit Plans,” for further information.</w:t>
      </w:r>
    </w:p>
    <w:p>
      <w:pPr>
        <w:spacing w:after="0" w:line="128" w:lineRule="exact"/>
        <w:rPr>
          <w:rFonts w:ascii="Arial" w:cs="Arial" w:eastAsia="Arial" w:hAnsi="Arial"/>
          <w:sz w:val="21"/>
          <w:szCs w:val="21"/>
          <w:color w:val="auto"/>
          <w:vertAlign w:val="superscript"/>
        </w:rPr>
      </w:pPr>
    </w:p>
    <w:p>
      <w:pPr>
        <w:jc w:val="both"/>
        <w:ind w:firstLine="8"/>
        <w:spacing w:after="0" w:line="234" w:lineRule="auto"/>
        <w:tabs>
          <w:tab w:leader="none" w:pos="189" w:val="left"/>
        </w:tabs>
        <w:numPr>
          <w:ilvl w:val="0"/>
          <w:numId w:val="25"/>
        </w:numPr>
        <w:rPr>
          <w:rFonts w:ascii="Arial" w:cs="Arial" w:eastAsia="Arial" w:hAnsi="Arial"/>
          <w:sz w:val="22"/>
          <w:szCs w:val="22"/>
          <w:color w:val="auto"/>
          <w:vertAlign w:val="superscript"/>
        </w:rPr>
      </w:pPr>
      <w:r>
        <w:rPr>
          <w:rFonts w:ascii="Arial" w:cs="Arial" w:eastAsia="Arial" w:hAnsi="Arial"/>
          <w:sz w:val="16"/>
          <w:szCs w:val="16"/>
          <w:color w:val="auto"/>
        </w:rPr>
        <w:t>For investments in auction rate securities, the fair value was based on discounted cash flow valuation models, primarily utilizing unobservable inputs, including assumptions about the underlying collateral, credit risks associated with the issuer, credit enhancements associated with financial insurance guarantees, and the possibility of the security being re-financed by the issuer or having a successful auction. These securities are included in “Other investments” on the accompanying consolidated balance sheets. See Note 10, “Auction Rate Securities,” for further information.</w:t>
      </w:r>
    </w:p>
    <w:p>
      <w:pPr>
        <w:spacing w:after="0" w:line="133" w:lineRule="exact"/>
        <w:rPr>
          <w:rFonts w:ascii="Arial" w:cs="Arial" w:eastAsia="Arial" w:hAnsi="Arial"/>
          <w:sz w:val="22"/>
          <w:szCs w:val="22"/>
          <w:color w:val="auto"/>
          <w:vertAlign w:val="superscript"/>
        </w:rPr>
      </w:pPr>
    </w:p>
    <w:p>
      <w:pPr>
        <w:jc w:val="both"/>
        <w:ind w:firstLine="8"/>
        <w:spacing w:after="0" w:line="283" w:lineRule="auto"/>
        <w:tabs>
          <w:tab w:leader="none" w:pos="162"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Represents interest rate swap derivatives designated as cash flow hedges. The fair values of the interest rate swaps are estimated based on the present value of the difference between expected cash flows calculated at the contracted interest rates and the expected cash flows at current market interest rates using observable benchmarks for LIBOR forward rates at the end of the period. For 2016 and 2015, the interest rate swaps were included in “Other noncurrent assets” and “Other accrued liabilities,” respectively, on the accompanying consolidated balance sheets. See Note 14, “Line of Credit,” for further information.</w:t>
      </w:r>
    </w:p>
    <w:p>
      <w:pPr>
        <w:spacing w:after="0" w:line="81" w:lineRule="exact"/>
        <w:rPr>
          <w:rFonts w:ascii="Arial" w:cs="Arial" w:eastAsia="Arial" w:hAnsi="Arial"/>
          <w:sz w:val="18"/>
          <w:szCs w:val="18"/>
          <w:color w:val="auto"/>
          <w:vertAlign w:val="superscript"/>
        </w:rPr>
      </w:pPr>
    </w:p>
    <w:p>
      <w:pPr>
        <w:ind w:left="180" w:hanging="172"/>
        <w:spacing w:after="0"/>
        <w:tabs>
          <w:tab w:leader="none" w:pos="180" w:val="left"/>
        </w:tabs>
        <w:numPr>
          <w:ilvl w:val="0"/>
          <w:numId w:val="25"/>
        </w:numPr>
        <w:rPr>
          <w:rFonts w:ascii="Arial" w:cs="Arial" w:eastAsia="Arial" w:hAnsi="Arial"/>
          <w:sz w:val="21"/>
          <w:szCs w:val="21"/>
          <w:color w:val="auto"/>
          <w:vertAlign w:val="superscript"/>
        </w:rPr>
      </w:pPr>
      <w:r>
        <w:rPr>
          <w:rFonts w:ascii="Arial" w:cs="Arial" w:eastAsia="Arial" w:hAnsi="Arial"/>
          <w:sz w:val="15"/>
          <w:szCs w:val="15"/>
          <w:color w:val="auto"/>
        </w:rPr>
        <w:t>Cash and cash equivalents are stated at nominal value, which equals fair value.</w:t>
      </w:r>
    </w:p>
    <w:p>
      <w:pPr>
        <w:spacing w:after="0" w:line="132" w:lineRule="exact"/>
        <w:rPr>
          <w:rFonts w:ascii="Arial" w:cs="Arial" w:eastAsia="Arial" w:hAnsi="Arial"/>
          <w:sz w:val="21"/>
          <w:szCs w:val="21"/>
          <w:color w:val="auto"/>
          <w:vertAlign w:val="superscript"/>
        </w:rPr>
      </w:pPr>
    </w:p>
    <w:p>
      <w:pPr>
        <w:jc w:val="both"/>
        <w:ind w:firstLine="8"/>
        <w:spacing w:after="0" w:line="230" w:lineRule="auto"/>
        <w:tabs>
          <w:tab w:leader="none" w:pos="190" w:val="left"/>
        </w:tabs>
        <w:numPr>
          <w:ilvl w:val="0"/>
          <w:numId w:val="25"/>
        </w:numPr>
        <w:rPr>
          <w:rFonts w:ascii="Arial" w:cs="Arial" w:eastAsia="Arial" w:hAnsi="Arial"/>
          <w:sz w:val="22"/>
          <w:szCs w:val="22"/>
          <w:color w:val="auto"/>
          <w:vertAlign w:val="superscript"/>
        </w:rPr>
      </w:pPr>
      <w:r>
        <w:rPr>
          <w:rFonts w:ascii="Arial" w:cs="Arial" w:eastAsia="Arial" w:hAnsi="Arial"/>
          <w:sz w:val="16"/>
          <w:szCs w:val="16"/>
          <w:color w:val="auto"/>
        </w:rPr>
        <w:t>Represents restricted insurance deposits that are used to collateralize our insurance obligations and are stated at nominal value, which equals fair value. These insurance deposits are included in “Other noncurrent assets” on the accompanying consolidated balance sheets. See Note 13, “Insurance,” for further information.</w:t>
      </w:r>
    </w:p>
    <w:p>
      <w:pPr>
        <w:spacing w:after="0" w:line="134" w:lineRule="exact"/>
        <w:rPr>
          <w:rFonts w:ascii="Arial" w:cs="Arial" w:eastAsia="Arial" w:hAnsi="Arial"/>
          <w:sz w:val="22"/>
          <w:szCs w:val="22"/>
          <w:color w:val="auto"/>
          <w:vertAlign w:val="superscript"/>
        </w:rPr>
      </w:pPr>
    </w:p>
    <w:p>
      <w:pPr>
        <w:jc w:val="both"/>
        <w:ind w:firstLine="8"/>
        <w:spacing w:after="0" w:line="236" w:lineRule="auto"/>
        <w:tabs>
          <w:tab w:leader="none" w:pos="208" w:val="left"/>
        </w:tabs>
        <w:numPr>
          <w:ilvl w:val="0"/>
          <w:numId w:val="25"/>
        </w:numPr>
        <w:rPr>
          <w:rFonts w:ascii="Arial" w:cs="Arial" w:eastAsia="Arial" w:hAnsi="Arial"/>
          <w:sz w:val="22"/>
          <w:szCs w:val="22"/>
          <w:color w:val="auto"/>
          <w:vertAlign w:val="superscript"/>
        </w:rPr>
      </w:pPr>
      <w:r>
        <w:rPr>
          <w:rFonts w:ascii="Arial" w:cs="Arial" w:eastAsia="Arial" w:hAnsi="Arial"/>
          <w:sz w:val="16"/>
          <w:szCs w:val="16"/>
          <w:color w:val="auto"/>
        </w:rPr>
        <w:t>Certain of our acquisitions involve the payment of contingent consideration. For 2015, we had contingent consideration liabilities associated with two acquisitions which were recorded at fair value based on either the expected achievement of certain pre-established revenue goals or pre-defined forecasted adjusted income from operations using a probability weighted income approach. At October 31, 2015, these liabilities were included in “Other accrued liabilities” and “Other noncurrent liabilities” on the accompanying consolidated balance sheets. During 2016, the income-related target was achieved, resulting in the payment of $1.5 million to the seller. At October 31, 2016, the remaining contingent consideration liability is included in “Other accrued liabilities.”</w:t>
      </w:r>
    </w:p>
    <w:p>
      <w:pPr>
        <w:spacing w:after="0" w:line="135" w:lineRule="exact"/>
        <w:rPr>
          <w:rFonts w:ascii="Arial" w:cs="Arial" w:eastAsia="Arial" w:hAnsi="Arial"/>
          <w:sz w:val="22"/>
          <w:szCs w:val="22"/>
          <w:color w:val="auto"/>
          <w:vertAlign w:val="superscript"/>
        </w:rPr>
      </w:pPr>
    </w:p>
    <w:p>
      <w:pPr>
        <w:ind w:right="20" w:firstLine="8"/>
        <w:spacing w:after="0" w:line="299" w:lineRule="auto"/>
        <w:tabs>
          <w:tab w:leader="none" w:pos="162"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Represents outstanding borrowings under our syndicated line of credit. Due to variable interest rates, the carrying value of outstanding borrowings under our line of credit approximates the fair value. See Note 14, “Line of Credit,” for further information.</w:t>
      </w:r>
    </w:p>
    <w:p>
      <w:pPr>
        <w:spacing w:after="0" w:line="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In addition to assets and liabilities that are measured at fair value on a recurring basis, we also measure certain assets and liabilities at fair value on a non-recurring basis, which are subject to fair value adjustments only in certain circumstances. These assets can include: goodwill; intangible assets; property, plant and equipment; and other long-lived assets that have been reduced to fair value when they are held for sale. As discussed in Note 4, “Held for Sale,” we recorded impairment charges of $22.5 million, including both long-lived asset and goodwill impairment charges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520" w:right="239" w:bottom="1440" w:gutter="0" w:footer="0" w:header="0"/>
        </w:sectPr>
      </w:pPr>
    </w:p>
    <w:bookmarkStart w:id="73" w:name="page74"/>
    <w:bookmarkEnd w:id="73"/>
    <w:p>
      <w:pPr>
        <w:jc w:val="both"/>
        <w:spacing w:after="0" w:line="271" w:lineRule="auto"/>
        <w:rPr>
          <w:sz w:val="20"/>
          <w:szCs w:val="20"/>
          <w:color w:val="auto"/>
        </w:rPr>
      </w:pPr>
      <w:r>
        <w:rPr>
          <w:rFonts w:ascii="Arial" w:cs="Arial" w:eastAsia="Arial" w:hAnsi="Arial"/>
          <w:sz w:val="18"/>
          <w:szCs w:val="18"/>
          <w:color w:val="auto"/>
        </w:rPr>
        <w:t>associated with our held-for-sale Government Services business. We estimated the fair value of goodwill using the income and market approaches, which utilize expected cash flows using Level 3 inputs. No impairment existed with respect to our other goodwill and intangible assets.</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2016 and 2015, we had no transfers of assets or liabilities between any of the above hierarchy levels.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ADVANCES TO JOINT VENTURES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make various advances to our unconsolidated joint ventures to provide working capital for the joint ventures’ operations, which are not collateralized, do not carry interest, and have no specific repayment terms. At October 31, 2015, the aggregate amount of these advances was $1.1 million, which is included in “Other noncurrent assets” on the accompanying consolidated balance sheet. At October 31, 2016, the majority of the balance is classified as held for sale as it relates to our Government Services business.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AUCTION RATE SECURITIES</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At October 31, 2015, we held investments in auction rate securities from three different issuers that had an aggregate original principal amount of $15.0 million and an amortized cost and fair value of $13.0 million. During the second quarter of 2016, one of our auction rate securities was redeemed by the issuer at its par value of $5.0 million. No gain or loss was recognized upon its redemption.</w:t>
      </w:r>
    </w:p>
    <w:p>
      <w:pPr>
        <w:spacing w:after="0" w:line="10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October 31, 2016, the two remaining auction rate securities had an aggregate original principal amount of $10.0 million and an amortized cost and fair value of $8.0 million. These two auction rate securities are debt instruments with stated maturities in 2036 and 2050. The interest rates for these securities are designed to be reset through Dutch auctions approximately every thirty days, but auctions for these securities have not occurred since August 2007.</w:t>
      </w:r>
    </w:p>
    <w:p>
      <w:pPr>
        <w:spacing w:after="0" w:line="1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At October 31, 2016 and 2015, there were no unrealized gains or losses on our auction rate securities included in AOCL and the total amount of other-than-temporary impairment credit loss on our auction rate security investments included in our retained earnings was $2.0 million.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Assumptions Used to Determine the Fair Values of Our Auction Rate Securities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Assumption</w:t>
            </w:r>
          </w:p>
        </w:tc>
        <w:tc>
          <w:tcPr>
            <w:tcW w:w="120" w:type="dxa"/>
            <w:vAlign w:val="bottom"/>
            <w:tcBorders>
              <w:bottom w:val="single" w:sz="8" w:color="CCEEFF"/>
            </w:tcBorders>
          </w:tcPr>
          <w:p>
            <w:pPr>
              <w:spacing w:after="0"/>
              <w:rPr>
                <w:sz w:val="22"/>
                <w:szCs w:val="22"/>
                <w:color w:val="auto"/>
              </w:rPr>
            </w:pP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October 31, 2016</w:t>
            </w:r>
          </w:p>
        </w:tc>
        <w:tc>
          <w:tcPr>
            <w:tcW w:w="100" w:type="dxa"/>
            <w:vAlign w:val="bottom"/>
            <w:tcBorders>
              <w:bottom w:val="single" w:sz="8" w:color="CCEEFF"/>
            </w:tcBorders>
          </w:tcPr>
          <w:p>
            <w:pPr>
              <w:spacing w:after="0"/>
              <w:rPr>
                <w:sz w:val="22"/>
                <w:szCs w:val="22"/>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October 31, 2015</w:t>
            </w:r>
          </w:p>
        </w:tc>
      </w:tr>
      <w:tr>
        <w:trPr>
          <w:trHeight w:val="251"/>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Discount rates</w:t>
            </w:r>
          </w:p>
        </w:tc>
        <w:tc>
          <w:tcPr>
            <w:tcW w:w="3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 + 0.46% and L + 1.30%</w:t>
            </w:r>
          </w:p>
        </w:tc>
        <w:tc>
          <w:tcPr>
            <w:tcW w:w="3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 + 0.38% – L + 2.13%</w:t>
            </w:r>
          </w:p>
        </w:tc>
      </w:tr>
      <w:tr>
        <w:trPr>
          <w:trHeight w:val="265"/>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Yields</w:t>
            </w:r>
          </w:p>
        </w:tc>
        <w:tc>
          <w:tcPr>
            <w:tcW w:w="3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2.15%, L + 2.00%</w:t>
            </w:r>
          </w:p>
        </w:tc>
        <w:tc>
          <w:tcPr>
            <w:tcW w:w="3760" w:type="dxa"/>
            <w:vAlign w:val="bottom"/>
          </w:tcPr>
          <w:p>
            <w:pPr>
              <w:jc w:val="center"/>
              <w:spacing w:after="0"/>
              <w:rPr>
                <w:sz w:val="20"/>
                <w:szCs w:val="20"/>
                <w:color w:val="auto"/>
              </w:rPr>
            </w:pPr>
            <w:r>
              <w:rPr>
                <w:rFonts w:ascii="Arial" w:cs="Arial" w:eastAsia="Arial" w:hAnsi="Arial"/>
                <w:sz w:val="18"/>
                <w:szCs w:val="18"/>
                <w:color w:val="auto"/>
              </w:rPr>
              <w:t>2.15%, L + 2.00%</w:t>
            </w:r>
          </w:p>
        </w:tc>
      </w:tr>
      <w:tr>
        <w:trPr>
          <w:trHeight w:val="275"/>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Average expected lives</w:t>
            </w:r>
          </w:p>
        </w:tc>
        <w:tc>
          <w:tcPr>
            <w:tcW w:w="3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4 – 10 years</w:t>
            </w:r>
          </w:p>
        </w:tc>
        <w:tc>
          <w:tcPr>
            <w:tcW w:w="3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 – 10 years</w:t>
            </w:r>
          </w:p>
        </w:tc>
      </w:tr>
      <w:tr>
        <w:trPr>
          <w:trHeight w:val="382"/>
        </w:trPr>
        <w:tc>
          <w:tcPr>
            <w:tcW w:w="3780" w:type="dxa"/>
            <w:vAlign w:val="bottom"/>
            <w:gridSpan w:val="2"/>
          </w:tcPr>
          <w:p>
            <w:pPr>
              <w:spacing w:after="0"/>
              <w:rPr>
                <w:sz w:val="20"/>
                <w:szCs w:val="20"/>
                <w:color w:val="auto"/>
              </w:rPr>
            </w:pPr>
            <w:r>
              <w:rPr>
                <w:rFonts w:ascii="Arial" w:cs="Arial" w:eastAsia="Arial" w:hAnsi="Arial"/>
                <w:sz w:val="16"/>
                <w:szCs w:val="16"/>
                <w:color w:val="auto"/>
              </w:rPr>
              <w:t xml:space="preserve">L </w:t>
            </w:r>
            <w:r>
              <w:rPr>
                <w:rFonts w:ascii="Arial" w:cs="Arial" w:eastAsia="Arial" w:hAnsi="Arial"/>
                <w:sz w:val="18"/>
                <w:szCs w:val="18"/>
                <w:color w:val="auto"/>
              </w:rPr>
              <w:t>–</w:t>
            </w:r>
            <w:r>
              <w:rPr>
                <w:rFonts w:ascii="Arial" w:cs="Arial" w:eastAsia="Arial" w:hAnsi="Arial"/>
                <w:sz w:val="16"/>
                <w:szCs w:val="16"/>
                <w:color w:val="auto"/>
              </w:rPr>
              <w:t xml:space="preserve"> One Month LIBOR</w:t>
            </w:r>
          </w:p>
        </w:tc>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455"/>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8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4"/>
                <w:szCs w:val="24"/>
                <w:color w:val="auto"/>
              </w:rPr>
            </w:pPr>
          </w:p>
        </w:tc>
        <w:tc>
          <w:tcPr>
            <w:tcW w:w="3760" w:type="dxa"/>
            <w:vAlign w:val="bottom"/>
          </w:tcPr>
          <w:p>
            <w:pPr>
              <w:spacing w:after="0"/>
              <w:rPr>
                <w:sz w:val="24"/>
                <w:szCs w:val="24"/>
                <w:color w:val="auto"/>
              </w:rPr>
            </w:pPr>
          </w:p>
        </w:tc>
      </w:tr>
    </w:tbl>
    <w:p>
      <w:pPr>
        <w:sectPr>
          <w:pgSz w:w="11900" w:h="16838" w:orient="portrait"/>
          <w:cols w:equalWidth="0" w:num="1">
            <w:col w:w="11420"/>
          </w:cols>
          <w:pgMar w:left="240" w:top="522" w:right="239" w:bottom="1440" w:gutter="0" w:footer="0" w:header="0"/>
        </w:sectPr>
      </w:pPr>
    </w:p>
    <w:bookmarkStart w:id="74" w:name="page75"/>
    <w:bookmarkEnd w:id="74"/>
    <w:p>
      <w:pPr>
        <w:ind w:right="7900" w:firstLine="8"/>
        <w:spacing w:after="0" w:line="534" w:lineRule="auto"/>
        <w:tabs>
          <w:tab w:leader="none" w:pos="29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PROPERTY, PLANT AND EQUIPMENT Property, Plant and Equipment</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October 31,</w:t>
            </w:r>
          </w:p>
        </w:tc>
        <w:tc>
          <w:tcPr>
            <w:tcW w:w="1300" w:type="dxa"/>
            <w:vAlign w:val="bottom"/>
            <w:tcBorders>
              <w:bottom w:val="single" w:sz="8" w:color="auto"/>
            </w:tcBorders>
          </w:tcPr>
          <w:p>
            <w:pPr>
              <w:spacing w:after="0"/>
              <w:rPr>
                <w:sz w:val="22"/>
                <w:szCs w:val="22"/>
                <w:color w:val="auto"/>
              </w:rPr>
            </w:pPr>
          </w:p>
        </w:tc>
      </w:tr>
      <w:tr>
        <w:trPr>
          <w:trHeight w:val="224"/>
        </w:trPr>
        <w:tc>
          <w:tcPr>
            <w:tcW w:w="718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80" w:type="dxa"/>
            <w:vAlign w:val="bottom"/>
          </w:tcPr>
          <w:p>
            <w:pPr>
              <w:spacing w:after="0"/>
              <w:rPr>
                <w:sz w:val="19"/>
                <w:szCs w:val="19"/>
                <w:color w:val="auto"/>
              </w:rPr>
            </w:pPr>
          </w:p>
        </w:tc>
        <w:tc>
          <w:tcPr>
            <w:tcW w:w="1580" w:type="dxa"/>
            <w:vAlign w:val="bottom"/>
          </w:tcPr>
          <w:p>
            <w:pPr>
              <w:jc w:val="right"/>
              <w:ind w:right="7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00" w:type="dxa"/>
            <w:vAlign w:val="bottom"/>
          </w:tcPr>
          <w:p>
            <w:pPr>
              <w:jc w:val="right"/>
              <w:ind w:right="750"/>
              <w:spacing w:after="0"/>
              <w:rPr>
                <w:sz w:val="20"/>
                <w:szCs w:val="20"/>
                <w:color w:val="auto"/>
              </w:rPr>
            </w:pPr>
            <w:r>
              <w:rPr>
                <w:rFonts w:ascii="Arial" w:cs="Arial" w:eastAsia="Arial" w:hAnsi="Arial"/>
                <w:sz w:val="18"/>
                <w:szCs w:val="18"/>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64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0"/>
        </w:trPr>
        <w:tc>
          <w:tcPr>
            <w:tcW w:w="71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92.5</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89.1</w:t>
            </w:r>
          </w:p>
        </w:tc>
      </w:tr>
      <w:tr>
        <w:trPr>
          <w:trHeight w:val="265"/>
        </w:trPr>
        <w:tc>
          <w:tcPr>
            <w:tcW w:w="7180" w:type="dxa"/>
            <w:vAlign w:val="bottom"/>
            <w:gridSpan w:val="3"/>
          </w:tcPr>
          <w:p>
            <w:pPr>
              <w:ind w:left="40"/>
              <w:spacing w:after="0"/>
              <w:rPr>
                <w:sz w:val="20"/>
                <w:szCs w:val="20"/>
                <w:color w:val="auto"/>
              </w:rPr>
            </w:pPr>
            <w:r>
              <w:rPr>
                <w:rFonts w:ascii="Arial" w:cs="Arial" w:eastAsia="Arial" w:hAnsi="Arial"/>
                <w:sz w:val="18"/>
                <w:szCs w:val="18"/>
                <w:color w:val="auto"/>
              </w:rPr>
              <w:t>Machinery and other equipment</w:t>
            </w:r>
          </w:p>
        </w:tc>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68.4</w:t>
            </w:r>
          </w:p>
        </w:tc>
      </w:tr>
      <w:tr>
        <w:trPr>
          <w:trHeight w:val="275"/>
        </w:trPr>
        <w:tc>
          <w:tcPr>
            <w:tcW w:w="71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48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r>
      <w:tr>
        <w:trPr>
          <w:trHeight w:val="265"/>
        </w:trPr>
        <w:tc>
          <w:tcPr>
            <w:tcW w:w="7180" w:type="dxa"/>
            <w:vAlign w:val="bottom"/>
            <w:gridSpan w:val="3"/>
          </w:tcPr>
          <w:p>
            <w:pPr>
              <w:ind w:left="40"/>
              <w:spacing w:after="0"/>
              <w:rPr>
                <w:sz w:val="20"/>
                <w:szCs w:val="20"/>
                <w:color w:val="auto"/>
              </w:rPr>
            </w:pPr>
            <w:r>
              <w:rPr>
                <w:rFonts w:ascii="Arial" w:cs="Arial" w:eastAsia="Arial" w:hAnsi="Arial"/>
                <w:sz w:val="18"/>
                <w:szCs w:val="18"/>
                <w:color w:val="auto"/>
              </w:rPr>
              <w:t>Transportation equipment</w:t>
            </w:r>
          </w:p>
        </w:tc>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18.2</w:t>
            </w:r>
          </w:p>
        </w:tc>
      </w:tr>
      <w:tr>
        <w:trPr>
          <w:trHeight w:val="275"/>
        </w:trPr>
        <w:tc>
          <w:tcPr>
            <w:tcW w:w="71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48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r>
      <w:tr>
        <w:trPr>
          <w:trHeight w:val="265"/>
        </w:trPr>
        <w:tc>
          <w:tcPr>
            <w:tcW w:w="7180" w:type="dxa"/>
            <w:vAlign w:val="bottom"/>
            <w:gridSpan w:val="3"/>
          </w:tcPr>
          <w:p>
            <w:pPr>
              <w:ind w:left="40"/>
              <w:spacing w:after="0"/>
              <w:rPr>
                <w:sz w:val="20"/>
                <w:szCs w:val="20"/>
                <w:color w:val="auto"/>
              </w:rPr>
            </w:pPr>
            <w:r>
              <w:rPr>
                <w:rFonts w:ascii="Arial" w:cs="Arial" w:eastAsia="Arial" w:hAnsi="Arial"/>
                <w:sz w:val="18"/>
                <w:szCs w:val="18"/>
                <w:color w:val="auto"/>
              </w:rPr>
              <w:t>Buildings</w:t>
            </w:r>
          </w:p>
        </w:tc>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9.9</w:t>
            </w:r>
          </w:p>
        </w:tc>
      </w:tr>
      <w:tr>
        <w:trPr>
          <w:trHeight w:val="270"/>
        </w:trPr>
        <w:tc>
          <w:tcPr>
            <w:tcW w:w="71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48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50"/>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245.2</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222.7</w:t>
            </w:r>
          </w:p>
        </w:tc>
      </w:tr>
      <w:tr>
        <w:trPr>
          <w:trHeight w:val="275"/>
        </w:trPr>
        <w:tc>
          <w:tcPr>
            <w:tcW w:w="71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r>
              <w:rPr>
                <w:rFonts w:ascii="Arial" w:cs="Arial" w:eastAsia="Arial" w:hAnsi="Arial"/>
                <w:sz w:val="21"/>
                <w:szCs w:val="21"/>
                <w:color w:val="auto"/>
                <w:vertAlign w:val="superscript"/>
              </w:rPr>
              <w:t>(1)</w:t>
            </w:r>
          </w:p>
        </w:tc>
        <w:tc>
          <w:tcPr>
            <w:tcW w:w="48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163.4</w:t>
            </w:r>
          </w:p>
        </w:tc>
        <w:tc>
          <w:tcPr>
            <w:tcW w:w="120" w:type="dxa"/>
            <w:vAlign w:val="bottom"/>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148.7</w:t>
            </w:r>
          </w:p>
        </w:tc>
      </w:tr>
      <w:tr>
        <w:trPr>
          <w:trHeight w:val="245"/>
        </w:trPr>
        <w:tc>
          <w:tcPr>
            <w:tcW w:w="718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81.8</w:t>
            </w:r>
          </w:p>
        </w:tc>
        <w:tc>
          <w:tcPr>
            <w:tcW w:w="120" w:type="dxa"/>
            <w:vAlign w:val="bottom"/>
          </w:tcPr>
          <w:p>
            <w:pPr>
              <w:spacing w:after="0"/>
              <w:rPr>
                <w:sz w:val="21"/>
                <w:szCs w:val="21"/>
                <w:color w:val="auto"/>
              </w:rPr>
            </w:pP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74.0</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21"/>
          <w:szCs w:val="21"/>
          <w:color w:val="auto"/>
          <w:vertAlign w:val="superscript"/>
        </w:rPr>
      </w:pPr>
      <w:r>
        <w:rPr>
          <w:rFonts w:ascii="Arial" w:cs="Arial" w:eastAsia="Arial" w:hAnsi="Arial"/>
          <w:sz w:val="15"/>
          <w:szCs w:val="15"/>
          <w:color w:val="auto"/>
        </w:rPr>
        <w:t>For 2016, 2015, and 2014, depreciation expense was $32.6 million, $32.8 million, and $30.2 million,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Leases Included in Property, Plant and Equipment</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October 31,</w:t>
            </w:r>
          </w:p>
        </w:tc>
        <w:tc>
          <w:tcPr>
            <w:tcW w:w="13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22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ind w:right="7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00" w:type="dxa"/>
            <w:vAlign w:val="bottom"/>
          </w:tcPr>
          <w:p>
            <w:pPr>
              <w:jc w:val="right"/>
              <w:ind w:right="75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Transportation equipment</w:t>
            </w:r>
          </w:p>
        </w:tc>
        <w:tc>
          <w:tcPr>
            <w:tcW w:w="3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65"/>
        </w:trPr>
        <w:tc>
          <w:tcPr>
            <w:tcW w:w="4220" w:type="dxa"/>
            <w:vAlign w:val="bottom"/>
            <w:gridSpan w:val="3"/>
          </w:tcPr>
          <w:p>
            <w:pPr>
              <w:ind w:left="40"/>
              <w:spacing w:after="0"/>
              <w:rPr>
                <w:sz w:val="20"/>
                <w:szCs w:val="20"/>
                <w:color w:val="auto"/>
              </w:rPr>
            </w:pPr>
            <w:r>
              <w:rPr>
                <w:rFonts w:ascii="Arial" w:cs="Arial" w:eastAsia="Arial" w:hAnsi="Arial"/>
                <w:sz w:val="18"/>
                <w:szCs w:val="18"/>
                <w:color w:val="auto"/>
              </w:rPr>
              <w:t>Machinery and other equipment</w:t>
            </w:r>
          </w:p>
        </w:tc>
        <w:tc>
          <w:tcPr>
            <w:tcW w:w="29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5"/>
        </w:trPr>
        <w:tc>
          <w:tcPr>
            <w:tcW w:w="4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29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65"/>
        </w:trPr>
        <w:tc>
          <w:tcPr>
            <w:tcW w:w="42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Computer equipment and software</w:t>
            </w:r>
          </w:p>
        </w:tc>
        <w:tc>
          <w:tcPr>
            <w:tcW w:w="296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5"/>
        </w:trPr>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3480" w:type="dxa"/>
            <w:vAlign w:val="bottom"/>
            <w:shd w:val="clear" w:color="auto" w:fill="CCEEFF"/>
          </w:tcPr>
          <w:p>
            <w:pPr>
              <w:spacing w:after="0"/>
              <w:rPr>
                <w:sz w:val="22"/>
                <w:szCs w:val="22"/>
                <w:color w:val="auto"/>
              </w:rPr>
            </w:pPr>
          </w:p>
        </w:tc>
        <w:tc>
          <w:tcPr>
            <w:tcW w:w="29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65"/>
        </w:trPr>
        <w:tc>
          <w:tcPr>
            <w:tcW w:w="42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Less: Accumulated depreciation</w:t>
            </w:r>
          </w:p>
        </w:tc>
        <w:tc>
          <w:tcPr>
            <w:tcW w:w="296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50"/>
        </w:trPr>
        <w:tc>
          <w:tcPr>
            <w:tcW w:w="422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3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bottom w:val="single" w:sz="8" w:color="CCEEFF"/>
            </w:tcBorders>
            <w:vMerge w:val="restart"/>
          </w:tcPr>
          <w:p>
            <w:pPr>
              <w:jc w:val="right"/>
              <w:ind w:right="1290"/>
              <w:spacing w:after="0"/>
              <w:rPr>
                <w:sz w:val="20"/>
                <w:szCs w:val="20"/>
                <w:color w:val="auto"/>
              </w:rPr>
            </w:pPr>
            <w:r>
              <w:rPr>
                <w:rFonts w:ascii="Times New Roman" w:cs="Times New Roman" w:eastAsia="Times New Roman" w:hAnsi="Times New Roman"/>
                <w:sz w:val="18"/>
                <w:szCs w:val="18"/>
                <w:color w:val="auto"/>
              </w:rPr>
              <w:t>71</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0" w:right="239" w:bottom="1440" w:gutter="0" w:footer="0" w:header="0"/>
        </w:sectPr>
      </w:pPr>
    </w:p>
    <w:bookmarkStart w:id="75" w:name="page76"/>
    <w:bookmarkEnd w:id="75"/>
    <w:p>
      <w:pPr>
        <w:ind w:right="7100" w:firstLine="8"/>
        <w:spacing w:after="0" w:line="441" w:lineRule="auto"/>
        <w:tabs>
          <w:tab w:leader="none" w:pos="3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 Goodwill</w:t>
      </w: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Building &amp;</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Facility</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Energy</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6"/>
        </w:trPr>
        <w:tc>
          <w:tcPr>
            <w:tcW w:w="40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17"/>
                <w:szCs w:val="17"/>
                <w:color w:val="auto"/>
              </w:rPr>
            </w:pP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Janitorial</w:t>
            </w:r>
          </w:p>
        </w:tc>
        <w:tc>
          <w:tcPr>
            <w:tcW w:w="18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Services</w:t>
            </w:r>
          </w:p>
        </w:tc>
        <w:tc>
          <w:tcPr>
            <w:tcW w:w="200" w:type="dxa"/>
            <w:vAlign w:val="bottom"/>
          </w:tcPr>
          <w:p>
            <w:pPr>
              <w:spacing w:after="0"/>
              <w:rPr>
                <w:sz w:val="17"/>
                <w:szCs w:val="17"/>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Parking</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Solutions</w:t>
            </w:r>
          </w:p>
        </w:tc>
        <w:tc>
          <w:tcPr>
            <w:tcW w:w="240" w:type="dxa"/>
            <w:vAlign w:val="bottom"/>
          </w:tcPr>
          <w:p>
            <w:pPr>
              <w:spacing w:after="0"/>
              <w:rPr>
                <w:sz w:val="17"/>
                <w:szCs w:val="17"/>
                <w:color w:val="auto"/>
              </w:rPr>
            </w:pPr>
          </w:p>
        </w:tc>
        <w:tc>
          <w:tcPr>
            <w:tcW w:w="1000" w:type="dxa"/>
            <w:vAlign w:val="bottom"/>
            <w:gridSpan w:val="2"/>
          </w:tcPr>
          <w:p>
            <w:pPr>
              <w:ind w:left="120"/>
              <w:spacing w:after="0"/>
              <w:rPr>
                <w:sz w:val="20"/>
                <w:szCs w:val="20"/>
                <w:color w:val="auto"/>
              </w:rPr>
            </w:pPr>
            <w:r>
              <w:rPr>
                <w:rFonts w:ascii="Arial" w:cs="Arial" w:eastAsia="Arial" w:hAnsi="Arial"/>
                <w:sz w:val="16"/>
                <w:szCs w:val="16"/>
                <w:b w:val="1"/>
                <w:bCs w:val="1"/>
                <w:color w:val="auto"/>
              </w:rPr>
              <w:t>Other</w:t>
            </w:r>
          </w:p>
        </w:tc>
        <w:tc>
          <w:tcPr>
            <w:tcW w:w="260" w:type="dxa"/>
            <w:vAlign w:val="bottom"/>
          </w:tcPr>
          <w:p>
            <w:pPr>
              <w:spacing w:after="0"/>
              <w:rPr>
                <w:sz w:val="17"/>
                <w:szCs w:val="17"/>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November 1, 2014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488.4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137.4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854.7</w:t>
            </w:r>
          </w:p>
        </w:tc>
      </w:tr>
      <w:tr>
        <w:trPr>
          <w:trHeight w:val="262"/>
        </w:trPr>
        <w:tc>
          <w:tcPr>
            <w:tcW w:w="40" w:type="dxa"/>
            <w:vAlign w:val="bottom"/>
          </w:tcPr>
          <w:p>
            <w:pPr>
              <w:spacing w:after="0"/>
              <w:rPr>
                <w:sz w:val="22"/>
                <w:szCs w:val="22"/>
                <w:color w:val="auto"/>
              </w:rPr>
            </w:pPr>
          </w:p>
        </w:tc>
        <w:tc>
          <w:tcPr>
            <w:tcW w:w="3960" w:type="dxa"/>
            <w:vAlign w:val="bottom"/>
            <w:gridSpan w:val="2"/>
          </w:tcPr>
          <w:p>
            <w:pPr>
              <w:ind w:left="140"/>
              <w:spacing w:after="0"/>
              <w:rPr>
                <w:sz w:val="20"/>
                <w:szCs w:val="20"/>
                <w:color w:val="auto"/>
              </w:rPr>
            </w:pPr>
            <w:r>
              <w:rPr>
                <w:rFonts w:ascii="Arial" w:cs="Arial" w:eastAsia="Arial" w:hAnsi="Arial"/>
                <w:sz w:val="16"/>
                <w:szCs w:val="16"/>
                <w:color w:val="auto"/>
              </w:rPr>
              <w:t>Acquisitions</w:t>
            </w:r>
          </w:p>
        </w:tc>
        <w:tc>
          <w:tcPr>
            <w:tcW w:w="18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12.7</w:t>
            </w:r>
          </w:p>
        </w:tc>
      </w:tr>
      <w:tr>
        <w:trPr>
          <w:trHeight w:val="271"/>
        </w:trPr>
        <w:tc>
          <w:tcPr>
            <w:tcW w:w="40" w:type="dxa"/>
            <w:vAlign w:val="bottom"/>
            <w:shd w:val="clear" w:color="auto" w:fill="CCEEFF"/>
          </w:tcPr>
          <w:p>
            <w:pPr>
              <w:spacing w:after="0"/>
              <w:rPr>
                <w:sz w:val="23"/>
                <w:szCs w:val="23"/>
                <w:color w:val="auto"/>
              </w:rPr>
            </w:pPr>
          </w:p>
        </w:tc>
        <w:tc>
          <w:tcPr>
            <w:tcW w:w="39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and other</w:t>
            </w: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83"/>
        </w:trPr>
        <w:tc>
          <w:tcPr>
            <w:tcW w:w="400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b w:val="1"/>
                <w:bCs w:val="1"/>
                <w:color w:val="auto"/>
              </w:rPr>
              <w:t>Balance at November 1, 2015</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491.9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72.6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69.2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146.4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87.4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867.5</w:t>
            </w:r>
          </w:p>
        </w:tc>
      </w:tr>
      <w:tr>
        <w:trPr>
          <w:trHeight w:val="224"/>
        </w:trPr>
        <w:tc>
          <w:tcPr>
            <w:tcW w:w="4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140"/>
              <w:spacing w:after="0" w:line="224" w:lineRule="exact"/>
              <w:rPr>
                <w:sz w:val="20"/>
                <w:szCs w:val="20"/>
                <w:color w:val="auto"/>
              </w:rPr>
            </w:pPr>
            <w:r>
              <w:rPr>
                <w:rFonts w:ascii="Arial" w:cs="Arial" w:eastAsia="Arial" w:hAnsi="Arial"/>
                <w:sz w:val="16"/>
                <w:szCs w:val="16"/>
                <w:color w:val="auto"/>
              </w:rPr>
              <w:t>Acquisitions</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64.8</w:t>
            </w:r>
          </w:p>
        </w:tc>
      </w:tr>
      <w:tr>
        <w:trPr>
          <w:trHeight w:val="262"/>
        </w:trPr>
        <w:tc>
          <w:tcPr>
            <w:tcW w:w="40" w:type="dxa"/>
            <w:vAlign w:val="bottom"/>
          </w:tcPr>
          <w:p>
            <w:pPr>
              <w:spacing w:after="0"/>
              <w:rPr>
                <w:sz w:val="22"/>
                <w:szCs w:val="22"/>
                <w:color w:val="auto"/>
              </w:rPr>
            </w:pPr>
          </w:p>
        </w:tc>
        <w:tc>
          <w:tcPr>
            <w:tcW w:w="3960" w:type="dxa"/>
            <w:vAlign w:val="bottom"/>
            <w:gridSpan w:val="2"/>
          </w:tcPr>
          <w:p>
            <w:pPr>
              <w:ind w:left="140"/>
              <w:spacing w:after="0"/>
              <w:rPr>
                <w:sz w:val="20"/>
                <w:szCs w:val="20"/>
                <w:color w:val="auto"/>
              </w:rPr>
            </w:pPr>
            <w:r>
              <w:rPr>
                <w:rFonts w:ascii="Arial" w:cs="Arial" w:eastAsia="Arial" w:hAnsi="Arial"/>
                <w:sz w:val="16"/>
                <w:szCs w:val="16"/>
                <w:color w:val="auto"/>
              </w:rPr>
              <w:t>Foreign currency translation and other</w:t>
            </w: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(13.6)</w:t>
            </w:r>
          </w:p>
        </w:tc>
      </w:tr>
      <w:tr>
        <w:trPr>
          <w:trHeight w:val="271"/>
        </w:trPr>
        <w:tc>
          <w:tcPr>
            <w:tcW w:w="40" w:type="dxa"/>
            <w:vAlign w:val="bottom"/>
            <w:shd w:val="clear" w:color="auto" w:fill="CCEEFF"/>
          </w:tcPr>
          <w:p>
            <w:pPr>
              <w:spacing w:after="0"/>
              <w:rPr>
                <w:sz w:val="23"/>
                <w:szCs w:val="23"/>
                <w:color w:val="auto"/>
              </w:rPr>
            </w:pPr>
          </w:p>
        </w:tc>
        <w:tc>
          <w:tcPr>
            <w:tcW w:w="39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Government Services impairment loss</w:t>
            </w:r>
          </w:p>
        </w:tc>
        <w:tc>
          <w:tcPr>
            <w:tcW w:w="1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6"/>
                <w:szCs w:val="16"/>
                <w:b w:val="1"/>
                <w:bCs w:val="1"/>
                <w:color w:val="auto"/>
              </w:rPr>
              <w:t>Balance at October 31, 2016</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499.0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72.6</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69.2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184.0</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87.9</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912.8</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220" w:hanging="158"/>
        <w:spacing w:after="0"/>
        <w:tabs>
          <w:tab w:leader="none" w:pos="220" w:val="left"/>
        </w:tabs>
        <w:numPr>
          <w:ilvl w:val="0"/>
          <w:numId w:val="29"/>
        </w:numPr>
        <w:rPr>
          <w:rFonts w:ascii="Arial" w:cs="Arial" w:eastAsia="Arial" w:hAnsi="Arial"/>
          <w:sz w:val="19"/>
          <w:szCs w:val="19"/>
          <w:color w:val="auto"/>
          <w:vertAlign w:val="superscript"/>
        </w:rPr>
      </w:pPr>
      <w:r>
        <w:rPr>
          <w:rFonts w:ascii="Arial" w:cs="Arial" w:eastAsia="Arial" w:hAnsi="Arial"/>
          <w:sz w:val="15"/>
          <w:szCs w:val="15"/>
          <w:color w:val="auto"/>
        </w:rPr>
        <w:t>During 2016, goodwill primarily increased as a result of the acquisitions of Westway and 8 Solutions. See Note 6, “Acquisitions,” for additional information.</w:t>
      </w:r>
    </w:p>
    <w:p>
      <w:pPr>
        <w:spacing w:after="0" w:line="12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Components of Goodwill Balance at October 31, 2016</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Building &amp;</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Facility</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Energy</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700" w:type="dxa"/>
            <w:vAlign w:val="bottom"/>
            <w:gridSpan w:val="4"/>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Janitorial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Services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Parking</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Solutions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Other</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7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Gross balance</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499.0</w:t>
            </w:r>
          </w:p>
        </w:tc>
        <w:tc>
          <w:tcPr>
            <w:tcW w:w="1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4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69.2</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190.0</w:t>
            </w:r>
          </w:p>
        </w:tc>
        <w:tc>
          <w:tcPr>
            <w:tcW w:w="380" w:type="dxa"/>
            <w:vAlign w:val="bottom"/>
            <w:gridSpan w:val="4"/>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87.9</w:t>
            </w:r>
          </w:p>
        </w:tc>
        <w:tc>
          <w:tcPr>
            <w:tcW w:w="12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918.8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700" w:type="dxa"/>
            <w:vAlign w:val="bottom"/>
            <w:tcBorders>
              <w:bottom w:val="single" w:sz="8" w:color="CCEEFF"/>
            </w:tcBorders>
            <w:gridSpan w:val="4"/>
          </w:tcPr>
          <w:p>
            <w:pPr>
              <w:ind w:left="40"/>
              <w:spacing w:after="0"/>
              <w:rPr>
                <w:sz w:val="20"/>
                <w:szCs w:val="20"/>
                <w:color w:val="auto"/>
              </w:rPr>
            </w:pPr>
            <w:r>
              <w:rPr>
                <w:rFonts w:ascii="Arial" w:cs="Arial" w:eastAsia="Arial" w:hAnsi="Arial"/>
                <w:sz w:val="16"/>
                <w:szCs w:val="16"/>
                <w:color w:val="auto"/>
              </w:rPr>
              <w:t>Accumulated impairment charges</w:t>
            </w:r>
          </w:p>
        </w:tc>
        <w:tc>
          <w:tcPr>
            <w:tcW w:w="2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(6.0)</w:t>
            </w: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Net balance at October 31, 2016</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499.0</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69.2</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184.0</w:t>
            </w:r>
          </w:p>
        </w:tc>
        <w:tc>
          <w:tcPr>
            <w:tcW w:w="40" w:type="dxa"/>
            <w:vAlign w:val="bottom"/>
            <w:tcBorders>
              <w:bottom w:val="single" w:sz="8" w:color="auto"/>
            </w:tcBorders>
            <w:gridSpan w:val="2"/>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912.8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Other Intangible Assets</w:t>
            </w: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780" w:type="dxa"/>
            <w:vAlign w:val="bottom"/>
            <w:gridSpan w:val="6"/>
            <w:vMerge w:val="continue"/>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1"/>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7"/>
          </w:tcPr>
          <w:p>
            <w:pPr>
              <w:ind w:left="80"/>
              <w:spacing w:after="0"/>
              <w:rPr>
                <w:sz w:val="20"/>
                <w:szCs w:val="20"/>
                <w:color w:val="auto"/>
              </w:rPr>
            </w:pPr>
            <w:r>
              <w:rPr>
                <w:rFonts w:ascii="Arial" w:cs="Arial" w:eastAsia="Arial" w:hAnsi="Arial"/>
                <w:sz w:val="16"/>
                <w:szCs w:val="16"/>
                <w:b w:val="1"/>
                <w:bCs w:val="1"/>
                <w:color w:val="auto"/>
              </w:rPr>
              <w:t>October 31, 2016</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6"/>
                <w:szCs w:val="16"/>
                <w:b w:val="1"/>
                <w:bCs w:val="1"/>
                <w:color w:val="auto"/>
              </w:rPr>
              <w:t>October 31, 2015</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4"/>
          </w:tcPr>
          <w:p>
            <w:pPr>
              <w:jc w:val="right"/>
              <w:ind w:right="500"/>
              <w:spacing w:after="0"/>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Gross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320" w:type="dxa"/>
            <w:vAlign w:val="bottom"/>
            <w:gridSpan w:val="5"/>
          </w:tcPr>
          <w:p>
            <w:pPr>
              <w:jc w:val="right"/>
              <w:ind w:right="400"/>
              <w:spacing w:after="0"/>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6"/>
                <w:szCs w:val="16"/>
                <w:color w:val="auto"/>
              </w:rPr>
            </w:pPr>
          </w:p>
        </w:tc>
        <w:tc>
          <w:tcPr>
            <w:tcW w:w="1280" w:type="dxa"/>
            <w:vAlign w:val="bottom"/>
            <w:gridSpan w:val="4"/>
          </w:tcPr>
          <w:p>
            <w:pPr>
              <w:ind w:left="40"/>
              <w:spacing w:after="0"/>
              <w:rPr>
                <w:sz w:val="20"/>
                <w:szCs w:val="20"/>
                <w:color w:val="auto"/>
              </w:rPr>
            </w:pPr>
            <w:r>
              <w:rPr>
                <w:rFonts w:ascii="Arial" w:cs="Arial" w:eastAsia="Arial" w:hAnsi="Arial"/>
                <w:sz w:val="16"/>
                <w:szCs w:val="16"/>
                <w:b w:val="1"/>
                <w:bCs w:val="1"/>
                <w:color w:val="auto"/>
              </w:rPr>
              <w:t>Accumulated</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rPr>
              <w:t>Carrying</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Accumulated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80" w:type="dxa"/>
            <w:vAlign w:val="bottom"/>
            <w:gridSpan w:val="6"/>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7"/>
                <w:szCs w:val="17"/>
                <w:color w:val="auto"/>
              </w:rPr>
            </w:pPr>
          </w:p>
        </w:tc>
        <w:tc>
          <w:tcPr>
            <w:tcW w:w="1060" w:type="dxa"/>
            <w:vAlign w:val="bottom"/>
            <w:gridSpan w:val="4"/>
          </w:tcPr>
          <w:p>
            <w:pPr>
              <w:ind w:left="2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7"/>
                <w:szCs w:val="17"/>
                <w:color w:val="auto"/>
              </w:rPr>
            </w:pPr>
          </w:p>
        </w:tc>
        <w:tc>
          <w:tcPr>
            <w:tcW w:w="1280" w:type="dxa"/>
            <w:vAlign w:val="bottom"/>
            <w:gridSpan w:val="4"/>
          </w:tcPr>
          <w:p>
            <w:pPr>
              <w:ind w:left="60"/>
              <w:spacing w:after="0"/>
              <w:rPr>
                <w:sz w:val="20"/>
                <w:szCs w:val="20"/>
                <w:color w:val="auto"/>
              </w:rPr>
            </w:pPr>
            <w:r>
              <w:rPr>
                <w:rFonts w:ascii="Arial" w:cs="Arial" w:eastAsia="Arial" w:hAnsi="Arial"/>
                <w:sz w:val="16"/>
                <w:szCs w:val="16"/>
                <w:b w:val="1"/>
                <w:bCs w:val="1"/>
                <w:color w:val="auto"/>
              </w:rPr>
              <w:t>Amortization</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Amortization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780" w:type="dxa"/>
            <w:vAlign w:val="bottom"/>
            <w:gridSpan w:val="6"/>
            <w:shd w:val="clear" w:color="auto" w:fill="CCEEFF"/>
          </w:tcPr>
          <w:p>
            <w:pPr>
              <w:ind w:left="40"/>
              <w:spacing w:after="0"/>
              <w:rPr>
                <w:sz w:val="20"/>
                <w:szCs w:val="20"/>
                <w:color w:val="auto"/>
              </w:rPr>
            </w:pPr>
            <w:r>
              <w:rPr>
                <w:rFonts w:ascii="Arial" w:cs="Arial" w:eastAsia="Arial" w:hAnsi="Arial"/>
                <w:sz w:val="16"/>
                <w:szCs w:val="16"/>
                <w:color w:val="auto"/>
              </w:rPr>
              <w:t>Customer contracts and relationships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258.6</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(155.1)</w:t>
            </w:r>
          </w:p>
        </w:tc>
        <w:tc>
          <w:tcPr>
            <w:tcW w:w="4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103.5</w:t>
            </w:r>
          </w:p>
        </w:tc>
        <w:tc>
          <w:tcPr>
            <w:tcW w:w="10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255.2</w:t>
            </w:r>
          </w:p>
        </w:tc>
        <w:tc>
          <w:tcPr>
            <w:tcW w:w="80" w:type="dxa"/>
            <w:vAlign w:val="bottom"/>
            <w:shd w:val="clear" w:color="auto" w:fill="CCEEFF"/>
          </w:tcPr>
          <w:p>
            <w:pPr>
              <w:spacing w:after="0"/>
              <w:rPr>
                <w:sz w:val="21"/>
                <w:szCs w:val="21"/>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(144.3)</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780" w:type="dxa"/>
            <w:vAlign w:val="bottom"/>
            <w:gridSpan w:val="6"/>
          </w:tcPr>
          <w:p>
            <w:pPr>
              <w:ind w:left="40"/>
              <w:spacing w:after="0"/>
              <w:rPr>
                <w:sz w:val="20"/>
                <w:szCs w:val="20"/>
                <w:color w:val="auto"/>
              </w:rPr>
            </w:pPr>
            <w:r>
              <w:rPr>
                <w:rFonts w:ascii="Arial" w:cs="Arial" w:eastAsia="Arial" w:hAnsi="Arial"/>
                <w:sz w:val="16"/>
                <w:szCs w:val="16"/>
                <w:color w:val="auto"/>
              </w:rPr>
              <w:t>Trademarks and trade names</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3780" w:type="dxa"/>
            <w:vAlign w:val="bottom"/>
            <w:gridSpan w:val="6"/>
            <w:shd w:val="clear" w:color="auto" w:fill="CCEEFF"/>
          </w:tcPr>
          <w:p>
            <w:pPr>
              <w:ind w:left="40"/>
              <w:spacing w:after="0"/>
              <w:rPr>
                <w:sz w:val="20"/>
                <w:szCs w:val="20"/>
                <w:color w:val="auto"/>
              </w:rPr>
            </w:pPr>
            <w:r>
              <w:rPr>
                <w:rFonts w:ascii="Arial" w:cs="Arial" w:eastAsia="Arial" w:hAnsi="Arial"/>
                <w:sz w:val="16"/>
                <w:szCs w:val="16"/>
                <w:color w:val="auto"/>
              </w:rPr>
              <w:t>Contract rights and other</w:t>
            </w:r>
          </w:p>
        </w:tc>
        <w:tc>
          <w:tcPr>
            <w:tcW w:w="26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780" w:type="dxa"/>
            <w:vAlign w:val="bottom"/>
            <w:gridSpan w:val="6"/>
          </w:tcPr>
          <w:p>
            <w:pPr>
              <w:ind w:left="40"/>
              <w:spacing w:after="0"/>
              <w:rPr>
                <w:sz w:val="20"/>
                <w:szCs w:val="20"/>
                <w:color w:val="auto"/>
              </w:rPr>
            </w:pPr>
            <w:r>
              <w:rPr>
                <w:rFonts w:ascii="Arial" w:cs="Arial" w:eastAsia="Arial" w:hAnsi="Arial"/>
                <w:sz w:val="16"/>
                <w:szCs w:val="16"/>
                <w:b w:val="1"/>
                <w:bCs w:val="1"/>
                <w:color w:val="auto"/>
              </w:rPr>
              <w:t>Total</w:t>
            </w:r>
            <w:r>
              <w:rPr>
                <w:rFonts w:ascii="Arial" w:cs="Arial" w:eastAsia="Arial" w:hAnsi="Arial"/>
                <w:sz w:val="21"/>
                <w:szCs w:val="21"/>
                <w:b w:val="1"/>
                <w:bCs w:val="1"/>
                <w:color w:val="auto"/>
                <w:vertAlign w:val="superscript"/>
              </w:rPr>
              <w:t>(1)</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260.9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(157.0)</w:t>
            </w:r>
          </w:p>
        </w:tc>
        <w:tc>
          <w:tcPr>
            <w:tcW w:w="40" w:type="dxa"/>
            <w:vAlign w:val="bottom"/>
          </w:tcPr>
          <w:p>
            <w:pPr>
              <w:spacing w:after="0"/>
              <w:rPr>
                <w:sz w:val="21"/>
                <w:szCs w:val="21"/>
                <w:color w:val="auto"/>
              </w:rPr>
            </w:pPr>
          </w:p>
        </w:tc>
        <w:tc>
          <w:tcPr>
            <w:tcW w:w="30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103.8</w:t>
            </w:r>
          </w:p>
        </w:tc>
        <w:tc>
          <w:tcPr>
            <w:tcW w:w="10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260.8</w:t>
            </w:r>
          </w:p>
        </w:tc>
        <w:tc>
          <w:tcPr>
            <w:tcW w:w="80" w:type="dxa"/>
            <w:vAlign w:val="bottom"/>
          </w:tcPr>
          <w:p>
            <w:pPr>
              <w:spacing w:after="0"/>
              <w:rPr>
                <w:sz w:val="21"/>
                <w:szCs w:val="21"/>
                <w:color w:val="auto"/>
              </w:rPr>
            </w:pPr>
          </w:p>
        </w:tc>
        <w:tc>
          <w:tcPr>
            <w:tcW w:w="1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(149.4)</w:t>
            </w:r>
          </w:p>
        </w:tc>
        <w:tc>
          <w:tcPr>
            <w:tcW w:w="3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21"/>
          <w:szCs w:val="21"/>
          <w:color w:val="auto"/>
          <w:vertAlign w:val="superscript"/>
        </w:rPr>
      </w:pPr>
      <w:r>
        <w:rPr>
          <w:rFonts w:ascii="Arial" w:cs="Arial" w:eastAsia="Arial" w:hAnsi="Arial"/>
          <w:sz w:val="15"/>
          <w:szCs w:val="15"/>
          <w:color w:val="auto"/>
        </w:rPr>
        <w:t>These intangible assets are being amortized over the expected period of benefit, with a weighted average life of approximately 13 years.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Annual Amortization Expense For Each of the Next Five Years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2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2021</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0"/>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Estimated amortization expense</w:t>
            </w:r>
            <w:r>
              <w:rPr>
                <w:rFonts w:ascii="Arial" w:cs="Arial" w:eastAsia="Arial" w:hAnsi="Arial"/>
                <w:sz w:val="21"/>
                <w:szCs w:val="21"/>
                <w:color w:val="auto"/>
                <w:vertAlign w:val="superscript"/>
              </w:rPr>
              <w:t>(1)</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19.8</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w:t>
            </w:r>
          </w:p>
        </w:tc>
      </w:tr>
    </w:tbl>
    <w:p>
      <w:pPr>
        <w:spacing w:after="0" w:line="144" w:lineRule="exact"/>
        <w:rPr>
          <w:sz w:val="20"/>
          <w:szCs w:val="20"/>
          <w:color w:val="auto"/>
        </w:rPr>
      </w:pPr>
    </w:p>
    <w:p>
      <w:pPr>
        <w:ind w:firstLine="8"/>
        <w:spacing w:after="0" w:line="223" w:lineRule="auto"/>
        <w:tabs>
          <w:tab w:leader="none" w:pos="206" w:val="left"/>
        </w:tabs>
        <w:numPr>
          <w:ilvl w:val="0"/>
          <w:numId w:val="31"/>
        </w:numPr>
        <w:rPr>
          <w:rFonts w:ascii="Arial" w:cs="Arial" w:eastAsia="Arial" w:hAnsi="Arial"/>
          <w:sz w:val="22"/>
          <w:szCs w:val="22"/>
          <w:color w:val="auto"/>
          <w:vertAlign w:val="superscript"/>
        </w:rPr>
      </w:pPr>
      <w:r>
        <w:rPr>
          <w:rFonts w:ascii="Arial" w:cs="Arial" w:eastAsia="Arial" w:hAnsi="Arial"/>
          <w:sz w:val="16"/>
          <w:szCs w:val="16"/>
          <w:color w:val="auto"/>
        </w:rPr>
        <w:t>These amounts will vary as acquisitions of additional intangible assets occur in the future and as purchase price allocations are finalized for existing acquisitions.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INSURANCE</w:t>
      </w:r>
    </w:p>
    <w:p>
      <w:pPr>
        <w:spacing w:after="0" w:line="1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automobile liability, property damage, and other insurable risks. For the majority of these insurance programs, we retain the initial $ 1.0 million of exposure on a per-occurrence basis, either through deductibles or self-insured retentions. Beyond the retained exposures, we have varying primary policy limits ranging between $1.0 million and $5.0 million per occurrence. To cover general liability and automobile liability losses above these primary limits, we maintain commercial umbrella insurance policies that provide aggregate limits of $200.0 million. Our insurance policies generally</w:t>
      </w:r>
    </w:p>
    <w:p>
      <w:pPr>
        <w:sectPr>
          <w:pgSz w:w="11900" w:h="16838" w:orient="portrait"/>
          <w:cols w:equalWidth="0" w:num="1">
            <w:col w:w="11420"/>
          </w:cols>
          <w:pgMar w:left="240" w:top="520"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520" w:right="239" w:bottom="1440" w:gutter="0" w:footer="0" w:header="0"/>
          <w:type w:val="continuous"/>
        </w:sectPr>
      </w:pPr>
    </w:p>
    <w:bookmarkStart w:id="76" w:name="page77"/>
    <w:bookmarkEnd w:id="76"/>
    <w:p>
      <w:pPr>
        <w:jc w:val="both"/>
        <w:spacing w:after="0" w:line="264" w:lineRule="auto"/>
        <w:rPr>
          <w:sz w:val="20"/>
          <w:szCs w:val="20"/>
          <w:color w:val="auto"/>
        </w:rPr>
      </w:pPr>
      <w:r>
        <w:rPr>
          <w:rFonts w:ascii="Arial" w:cs="Arial" w:eastAsia="Arial" w:hAnsi="Arial"/>
          <w:sz w:val="18"/>
          <w:szCs w:val="18"/>
          <w:color w:val="auto"/>
        </w:rPr>
        <w:t>cover workers’ compensation losses to the full extent of statutory requirements. Additionally, to cover property damage risks above our retained limits, we maintain policies that provide per occurrence limits of $75.0 million. We are also self-insured for certain employee medical and dental plans. We maintain stop-loss insurance for our self-insured medical plan under which we retain up to $0.4 million of exposure on a per-participant per-year basis with respect to claims.</w:t>
      </w:r>
    </w:p>
    <w:p>
      <w:pPr>
        <w:spacing w:after="0" w:line="1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adequacy of our reserves for workers’ compensation, general liability, automobile liability, and property damage insurance claims is based upon known trends and events and the actuarial estimates of required reserves considering the most recently completed actuarial reports. We use all available information to develop our best estimate of insurance claims reserves as information is obtained. The results of actuarial studies are used to estimate our insurance rates and insurance reserves for future periods and to adjust reserves, if appropriate, for prior years. During 2016, we performed both an annual actuarial evaluation and an actuarial review. As a result of these studies, we increased our reserves for claims related to prior periods by $32.9 million during 2016. Pursuant to the actuarial evaluation completed during 2015, we increased our reserves for claims related to prior periods by $35.9 million during 2015.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Reserve Adjustments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Actuarial Evaluations Performed During 2016</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Annual actuarial evaluations were performed for our casualty insurance programs during 2016. These evaluations considered all changes made to claims reserves and claim payment activity for the period commencing May 1, 2015 and ending April 30, 2016 (the “Evaluation Period”). We performed these evaluations for all policy years in which open claims existed.</w:t>
      </w:r>
    </w:p>
    <w:p>
      <w:pPr>
        <w:spacing w:after="0" w:line="10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The annual actuarial evaluations showed unfavorable developments in our estimate of ultimate losses related to general liability, workers’ compensation, and automobile liability claims, as explained below. While we have made significant improvements in our risk management programs, the actuarial evaluation demonstrates these improvements have had a modest impact on prior years and that the impact is not occurring at the pace originally forecasted by the actuaries. The average claim cost was also unfavorably impacted by increases in legal fees, medical costs, and other claim management expenses necessary to adjudicate the claims with dates of loss prior to 2016.</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actuarial evaluations related to our general liability program showed that the total number of claims has remained relatively stable for prior years. However, we experienced adverse developments in prior year claims, which are largely attributable to adjustments on certain property damage claims, in addition to losses for alleged bodily injuries. Also contributing to the increase in projected cost estimates was a higher than expected average incurred cost for our less severe claims observed during the Evaluation Period.</w:t>
      </w:r>
    </w:p>
    <w:p>
      <w:pPr>
        <w:spacing w:after="0" w:line="116"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Our workers’ compensation estimate of ultimate losses was negatively impacted by increases in projected costs for a significant number of prior year claims in California and New York. These claims have been impacted by statutory, regulatory, and legal implications. In California, we also experienced increases in frequency of claims.</w:t>
      </w:r>
    </w:p>
    <w:p>
      <w:pPr>
        <w:spacing w:after="0" w:line="10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Our automobile liability program covers our fleet of passenger vehicles, service vans, and shuttle buses, which are associated with our various transportation service contracts. Claim frequency and severity associated with our fleet operations developed unfavorably versus actuarial expectations. The adverse development was primarily attributable to claims in 2013 through 2015.</w:t>
      </w:r>
    </w:p>
    <w:p>
      <w:pPr>
        <w:spacing w:after="0" w:line="10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After analyzing the recent loss development patterns, comparing the loss development against benchmarks, and applying actuarial projection methods to determine the estimate of ultimate losses, we increased our reserves for known claims as well as our estimate of the loss amounts associated with IBNR claims for years prior to 2016 by $32.9 million during 2016.</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Actuarial Evaluations Performed During 2015</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During the third quarter of 2015, our annual actuarial evaluations showed unfavorable developments in our estimate of ultimate losses related to certain general liability, workers’ compensation, and automobile liability claims. These evaluations indicated that previously estimated decreases in our average claim cost and the anticipated reduction in the total number of claims had not occurred at the pace contemplated in the 2014 actuarial evaluations. As a result, in the third quarter of 2015, we increased our insurance reserves for years prior to 2015 by $35.9 million.</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522"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Insurance Related Balances and Activity</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October 31, 2016 and 2015, we had insurance claim reserves totaling $423.8 million and $387.4 million, respectively, which included $5.9 million and $8.1 million in reserves, respectively, related to our medical and dental self-insured plans. At October 31, 2016 and 2015, we also had insurance recoverables, which we include in “Other current assets” and “Other noncurrent assets” on the accompanying consolidated balance sheets, totaling $69.7 million and $65.9 million,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Casualty Program Insurance Reserves Rollforward</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1"/>
                <w:szCs w:val="21"/>
                <w:color w:val="auto"/>
              </w:rPr>
            </w:pPr>
          </w:p>
        </w:tc>
      </w:tr>
      <w:tr>
        <w:trPr>
          <w:trHeight w:val="198"/>
        </w:trPr>
        <w:tc>
          <w:tcPr>
            <w:tcW w:w="6380" w:type="dxa"/>
            <w:vAlign w:val="bottom"/>
            <w:gridSpan w:val="3"/>
          </w:tcPr>
          <w:p>
            <w:pPr>
              <w:ind w:left="40"/>
              <w:spacing w:after="0" w:line="177" w:lineRule="exact"/>
              <w:rPr>
                <w:sz w:val="20"/>
                <w:szCs w:val="20"/>
                <w:color w:val="auto"/>
              </w:rPr>
            </w:pPr>
            <w:r>
              <w:rPr>
                <w:rFonts w:ascii="Times New Roman" w:cs="Times New Roman" w:eastAsia="Times New Roman" w:hAnsi="Times New Roman"/>
                <w:sz w:val="18"/>
                <w:szCs w:val="18"/>
                <w:i w:val="1"/>
                <w:iCs w:val="1"/>
                <w:color w:val="auto"/>
              </w:rPr>
              <w:t>(in millions)</w:t>
            </w:r>
          </w:p>
        </w:tc>
        <w:tc>
          <w:tcPr>
            <w:tcW w:w="360" w:type="dxa"/>
            <w:vAlign w:val="bottom"/>
          </w:tcPr>
          <w:p>
            <w:pPr>
              <w:spacing w:after="0"/>
              <w:rPr>
                <w:sz w:val="17"/>
                <w:szCs w:val="17"/>
                <w:color w:val="auto"/>
              </w:rPr>
            </w:pPr>
          </w:p>
        </w:tc>
        <w:tc>
          <w:tcPr>
            <w:tcW w:w="1240" w:type="dxa"/>
            <w:vAlign w:val="bottom"/>
          </w:tcPr>
          <w:p>
            <w:pPr>
              <w:jc w:val="right"/>
              <w:ind w:right="510"/>
              <w:spacing w:after="0" w:line="182" w:lineRule="exact"/>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510"/>
              <w:spacing w:after="0" w:line="182" w:lineRule="exact"/>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10"/>
              <w:spacing w:after="0" w:line="182" w:lineRule="exact"/>
              <w:rPr>
                <w:sz w:val="20"/>
                <w:szCs w:val="20"/>
                <w:color w:val="auto"/>
              </w:rPr>
            </w:pPr>
            <w:r>
              <w:rPr>
                <w:rFonts w:ascii="Arial" w:cs="Arial" w:eastAsia="Arial" w:hAnsi="Arial"/>
                <w:sz w:val="18"/>
                <w:szCs w:val="18"/>
                <w:b w:val="1"/>
                <w:bCs w:val="1"/>
                <w:color w:val="auto"/>
              </w:rPr>
              <w:t>2014</w:t>
            </w:r>
          </w:p>
        </w:tc>
      </w:tr>
      <w:tr>
        <w:trPr>
          <w:trHeight w:val="48"/>
        </w:trPr>
        <w:tc>
          <w:tcPr>
            <w:tcW w:w="40" w:type="dxa"/>
            <w:vAlign w:val="bottom"/>
            <w:tcBorders>
              <w:bottom w:val="single" w:sz="8" w:color="CCEEFF"/>
            </w:tcBorders>
          </w:tcPr>
          <w:p>
            <w:pPr>
              <w:spacing w:after="0"/>
              <w:rPr>
                <w:sz w:val="4"/>
                <w:szCs w:val="4"/>
                <w:color w:val="auto"/>
              </w:rPr>
            </w:pPr>
          </w:p>
        </w:tc>
        <w:tc>
          <w:tcPr>
            <w:tcW w:w="880" w:type="dxa"/>
            <w:vAlign w:val="bottom"/>
            <w:tcBorders>
              <w:top w:val="single" w:sz="8" w:color="auto"/>
              <w:bottom w:val="single" w:sz="8" w:color="CCEEFF"/>
            </w:tcBorders>
          </w:tcPr>
          <w:p>
            <w:pPr>
              <w:spacing w:after="0"/>
              <w:rPr>
                <w:sz w:val="4"/>
                <w:szCs w:val="4"/>
                <w:color w:val="auto"/>
              </w:rPr>
            </w:pPr>
          </w:p>
        </w:tc>
        <w:tc>
          <w:tcPr>
            <w:tcW w:w="546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5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balance at beginning of year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277.8</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282.2</w:t>
            </w:r>
          </w:p>
        </w:tc>
      </w:tr>
      <w:tr>
        <w:trPr>
          <w:trHeight w:val="265"/>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Change in case reserves plus IBNR - current year</w:t>
            </w: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78.6</w:t>
            </w:r>
          </w:p>
        </w:tc>
      </w:tr>
      <w:tr>
        <w:trPr>
          <w:trHeight w:val="275"/>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Change in case reserves plus IBNR - prior year</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r>
      <w:tr>
        <w:trPr>
          <w:trHeight w:val="265"/>
        </w:trPr>
        <w:tc>
          <w:tcPr>
            <w:tcW w:w="63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Claims paid</w:t>
            </w: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w:t>
            </w:r>
          </w:p>
        </w:tc>
      </w:tr>
      <w:tr>
        <w:trPr>
          <w:trHeight w:val="255"/>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balance at October 31</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348.2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312.7</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277.8</w:t>
            </w:r>
          </w:p>
        </w:tc>
      </w:tr>
      <w:tr>
        <w:trPr>
          <w:trHeight w:val="269"/>
        </w:trPr>
        <w:tc>
          <w:tcPr>
            <w:tcW w:w="63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Recoverables</w:t>
            </w: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69.7</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65.9</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66.4</w:t>
            </w:r>
          </w:p>
        </w:tc>
      </w:tr>
      <w:tr>
        <w:trPr>
          <w:trHeight w:val="251"/>
        </w:trPr>
        <w:tc>
          <w:tcPr>
            <w:tcW w:w="6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Gross balance at October 31</w:t>
            </w:r>
            <w:r>
              <w:rPr>
                <w:rFonts w:ascii="Arial" w:cs="Arial" w:eastAsia="Arial" w:hAnsi="Arial"/>
                <w:sz w:val="21"/>
                <w:szCs w:val="21"/>
                <w:b w:val="1"/>
                <w:bCs w:val="1"/>
                <w:color w:val="auto"/>
                <w:vertAlign w:val="superscript"/>
              </w:rPr>
              <w:t>(1)</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344.2</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21"/>
          <w:szCs w:val="21"/>
          <w:color w:val="auto"/>
          <w:vertAlign w:val="superscript"/>
        </w:rPr>
      </w:pPr>
      <w:r>
        <w:rPr>
          <w:rFonts w:ascii="Arial" w:cs="Arial" w:eastAsia="Arial" w:hAnsi="Arial"/>
          <w:sz w:val="15"/>
          <w:szCs w:val="15"/>
          <w:color w:val="auto"/>
        </w:rPr>
        <w:t>Includes reserves related to discontinued operations of approximately $12 million for both 2016 and 2015 and $11 million for 2014.</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Instruments Used to Collateralize Our Insurance Obligations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October 31,</w:t>
            </w:r>
          </w:p>
        </w:tc>
        <w:tc>
          <w:tcPr>
            <w:tcW w:w="1200" w:type="dxa"/>
            <w:vAlign w:val="bottom"/>
            <w:tcBorders>
              <w:bottom w:val="single" w:sz="8" w:color="auto"/>
            </w:tcBorders>
          </w:tcPr>
          <w:p>
            <w:pPr>
              <w:spacing w:after="0"/>
              <w:rPr>
                <w:sz w:val="22"/>
                <w:szCs w:val="22"/>
                <w:color w:val="auto"/>
              </w:rPr>
            </w:pPr>
          </w:p>
        </w:tc>
      </w:tr>
      <w:tr>
        <w:trPr>
          <w:trHeight w:val="224"/>
        </w:trPr>
        <w:tc>
          <w:tcPr>
            <w:tcW w:w="742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60" w:type="dxa"/>
            <w:vAlign w:val="bottom"/>
          </w:tcPr>
          <w:p>
            <w:pPr>
              <w:spacing w:after="0"/>
              <w:rPr>
                <w:sz w:val="19"/>
                <w:szCs w:val="19"/>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jc w:val="right"/>
              <w:ind w:right="690"/>
              <w:spacing w:after="0"/>
              <w:rPr>
                <w:sz w:val="20"/>
                <w:szCs w:val="20"/>
                <w:color w:val="auto"/>
              </w:rPr>
            </w:pPr>
            <w:r>
              <w:rPr>
                <w:rFonts w:ascii="Arial" w:cs="Arial" w:eastAsia="Arial" w:hAnsi="Arial"/>
                <w:sz w:val="18"/>
                <w:szCs w:val="18"/>
                <w:b w:val="1"/>
                <w:bCs w:val="1"/>
                <w:color w:val="auto"/>
                <w:w w:val="99"/>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50"/>
        </w:trPr>
        <w:tc>
          <w:tcPr>
            <w:tcW w:w="7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Standby letters of credit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118.3</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105.4</w:t>
            </w:r>
          </w:p>
        </w:tc>
      </w:tr>
      <w:tr>
        <w:trPr>
          <w:trHeight w:val="265"/>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Surety bonds</w:t>
            </w:r>
          </w:p>
        </w:tc>
        <w:tc>
          <w:tcPr>
            <w:tcW w:w="46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55.9</w:t>
            </w:r>
          </w:p>
        </w:tc>
      </w:tr>
      <w:tr>
        <w:trPr>
          <w:trHeight w:val="270"/>
        </w:trPr>
        <w:tc>
          <w:tcPr>
            <w:tcW w:w="7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Restricted insurance deposits</w:t>
            </w:r>
          </w:p>
        </w:tc>
        <w:tc>
          <w:tcPr>
            <w:tcW w:w="4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r>
      <w:tr>
        <w:trPr>
          <w:trHeight w:val="255"/>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186.7</w:t>
            </w:r>
          </w:p>
        </w:tc>
        <w:tc>
          <w:tcPr>
            <w:tcW w:w="120" w:type="dxa"/>
            <w:vAlign w:val="bottom"/>
          </w:tcPr>
          <w:p>
            <w:pPr>
              <w:spacing w:after="0"/>
              <w:rPr>
                <w:sz w:val="22"/>
                <w:szCs w:val="22"/>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172.7</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LINE OF CREDIT</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November 30, 2010, we entered into a syndicated credit agreement pursuant to which we obtained an unsecured revolving credit facility (the “Facility”). This credit agreement, as amended from time to time, is referred to as the “Credit Agreement.” We can borrow up to $800.0 million under our Credit Agreement and we have the option to increase the size of the Facility to $1.0 billion at any time prior to the December 11, 2018 expiration date (subject to receipt of commitments for the increased amount from existing and new lenders).</w:t>
      </w:r>
    </w:p>
    <w:p>
      <w:pPr>
        <w:spacing w:after="0" w:line="1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Borrowings under the Facility bear interest at a rate equal to an applicable margin plus, at our option, either a (i) eurodollar rate (generally LIBOR) or (ii) base rate determined by reference to the highest of (1) the federal funds rate plus 0.50%, (2) the prime rate published by Bank of America, N.A. from time to time, and (3) the eurodollar rate plus 1.00%. The applicable margin is a percentage per annum varying from zero to 0.75% for base rate loans and 1.00% to 1.75% for eurodollar loans, based upon our leverage ratio. We also pay a commitment fee, based on the leverage ratio, payable quarterly in arrears, ranging from 0.200% to 0.275% on the average daily unused portion of the Facility. For purposes of this calculation, irrevocable standby letters of credit, which are issued primarily in conjunction with our insurance programs, and cash borrowings are included as outstanding under the Facility.</w:t>
      </w:r>
    </w:p>
    <w:p>
      <w:pPr>
        <w:spacing w:after="0" w:line="12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Credit Agreement contains certain financial covenants that include a maximum leverage ratio of 3.25 to 1.0 (except as described below) and a minimum fixed charge coverage ratio of 1.50 to 1.0. In addition, we are required to maintain a consolidated net worth in an amount not less than the sum of (i) $570.0 million, (ii) 50% of our consolidated net income (with no deduction for net loss), and (iii) 100% of our aggregate increases in stockholders’ equity, beginning on November 30, 2010. In the event of a material acquisition, as defined in the Credit Agreement, we may elect to increase the leverage ratio to 3.50 to 1.0 for a total of four fiscal quarters. As of October 31, 2016, we were in compliance with these covenants.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520" w:right="239" w:bottom="1440" w:gutter="0" w:footer="0" w:header="0"/>
        </w:sectPr>
      </w:pPr>
    </w:p>
    <w:bookmarkStart w:id="78" w:name="page79"/>
    <w:bookmarkEnd w:id="78"/>
    <w:p>
      <w:pPr>
        <w:jc w:val="both"/>
        <w:ind w:firstLine="648"/>
        <w:spacing w:after="0" w:line="264" w:lineRule="auto"/>
        <w:rPr>
          <w:sz w:val="20"/>
          <w:szCs w:val="20"/>
          <w:color w:val="auto"/>
        </w:rPr>
      </w:pPr>
      <w:r>
        <w:rPr>
          <w:rFonts w:ascii="Arial" w:cs="Arial" w:eastAsia="Arial" w:hAnsi="Arial"/>
          <w:sz w:val="18"/>
          <w:szCs w:val="18"/>
          <w:color w:val="auto"/>
        </w:rPr>
        <w:t>If an event of default occurs under the Credit Agreement, including certain cross-defaults, insolvency, change in control, or violation of specific covenants, the lenders can terminate or suspend our access to the Facility, declare all amounts outstanding under the Facility (including all accrued interest and unpaid fees) to be immediately due and payable, and require that we cash collateralize the outstanding standby letters of credit.</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Facility is available for working capital, the issuance of up to $300.0 million for standby letters of credit, the issuance of up to $ 50.0 million in swing line advances, the financing of capital expenditures, and other general corporate purposes, including acquisitions and investments in subsidiaries, subject to certain limitations, where applicable, as set forth in the Credit Agreement. The availability of our borrowing capacity is subject to, and limited by, compliance with the covenants described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Information</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October 31,</w:t>
            </w:r>
          </w:p>
        </w:tc>
        <w:tc>
          <w:tcPr>
            <w:tcW w:w="1200" w:type="dxa"/>
            <w:vAlign w:val="bottom"/>
            <w:tcBorders>
              <w:bottom w:val="single" w:sz="8" w:color="auto"/>
            </w:tcBorders>
          </w:tcPr>
          <w:p>
            <w:pPr>
              <w:spacing w:after="0"/>
              <w:rPr>
                <w:sz w:val="22"/>
                <w:szCs w:val="22"/>
                <w:color w:val="auto"/>
              </w:rPr>
            </w:pPr>
          </w:p>
        </w:tc>
      </w:tr>
      <w:tr>
        <w:trPr>
          <w:trHeight w:val="224"/>
        </w:trPr>
        <w:tc>
          <w:tcPr>
            <w:tcW w:w="742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60" w:type="dxa"/>
            <w:vAlign w:val="bottom"/>
          </w:tcPr>
          <w:p>
            <w:pPr>
              <w:spacing w:after="0"/>
              <w:rPr>
                <w:sz w:val="19"/>
                <w:szCs w:val="19"/>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jc w:val="right"/>
              <w:ind w:right="690"/>
              <w:spacing w:after="0"/>
              <w:rPr>
                <w:sz w:val="20"/>
                <w:szCs w:val="20"/>
                <w:color w:val="auto"/>
              </w:rPr>
            </w:pPr>
            <w:r>
              <w:rPr>
                <w:rFonts w:ascii="Arial" w:cs="Arial" w:eastAsia="Arial" w:hAnsi="Arial"/>
                <w:sz w:val="18"/>
                <w:szCs w:val="18"/>
                <w:b w:val="1"/>
                <w:bCs w:val="1"/>
                <w:color w:val="auto"/>
                <w:w w:val="99"/>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50"/>
        </w:trPr>
        <w:tc>
          <w:tcPr>
            <w:tcW w:w="7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borrowings</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268.3</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158.0</w:t>
            </w:r>
          </w:p>
        </w:tc>
      </w:tr>
      <w:tr>
        <w:trPr>
          <w:trHeight w:val="265"/>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Standby letters of credit</w:t>
            </w:r>
          </w:p>
        </w:tc>
        <w:tc>
          <w:tcPr>
            <w:tcW w:w="46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130.9</w:t>
            </w: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112.9</w:t>
            </w:r>
          </w:p>
        </w:tc>
      </w:tr>
      <w:tr>
        <w:trPr>
          <w:trHeight w:val="275"/>
        </w:trPr>
        <w:tc>
          <w:tcPr>
            <w:tcW w:w="7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Borrowing capacity</w:t>
            </w:r>
          </w:p>
        </w:tc>
        <w:tc>
          <w:tcPr>
            <w:tcW w:w="4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400.8</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529.1</w:t>
            </w: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enter into interest rate swaps to manage the interest rate risk associated with our floating-rate, LIBOR-based borrowings under our Facility. Under these arrangements, we typically pay a fixed interest rate in exchange for LIBOR-based variable interest throughout the life of the agreement.</w:t>
      </w:r>
    </w:p>
    <w:p>
      <w:pPr>
        <w:spacing w:after="0" w:line="10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second quarter of 2016, several interest rate swaps matured that had an underlying aggregate notional amount of $155.0 million. During April and May 2016, we entered into three new interest rate swap agreements with an underlying aggregate notional amount of $105.0 million, a fixed interest rate of 1.05%, and effective dates of April 7, 2016 and May 11, 2016. These swaps were designated and accounted for as cash flow hedges from inception and mature on April 7, 2021 and May 11, 2021.</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recognize interest rate swaps on the accompanying consolidated balance sheets at fair value. The fair value of our interest rate swaps are estimated based on the present value of the difference between expected cash flows calculated at the contracted interest rates and the expected cash flows at current market interest rates using observable benchmarks for LIBOR forward rates at the end of the period. See Note 8, “Fair Value of Financial Instruments,” for more information.</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effective portion of the derivative’s mark-to-market gain or loss is initially reported as a component of AOCL and subsequently reclassified into earnings when the hedged transactions occur and affect earnings. The ineffective portion of the gain or loss is reported in earnings immediately. Interest payables and receivables under the swap agreements are accrued and recorded as adjustments to interest expense.</w:t>
      </w:r>
    </w:p>
    <w:p>
      <w:pPr>
        <w:spacing w:after="0" w:line="11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At both October 31, 2016 and 2015, the amounts recorded in AOCL were $0.2 million. At October 31, 2016, the amount expected to be reclassified from AOCL to earnings during the next twelve months was insignificant.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522" w:right="239" w:bottom="1440" w:gutter="0" w:footer="0" w:header="0"/>
        </w:sectPr>
      </w:pPr>
    </w:p>
    <w:bookmarkStart w:id="79" w:name="page80"/>
    <w:bookmarkEnd w:id="79"/>
    <w:p>
      <w:pPr>
        <w:ind w:right="8640" w:firstLine="8"/>
        <w:spacing w:after="0" w:line="439" w:lineRule="auto"/>
        <w:tabs>
          <w:tab w:leader="none" w:pos="3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Defined Benefit Plans</w:t>
      </w:r>
    </w:p>
    <w:p>
      <w:pPr>
        <w:spacing w:after="0" w:line="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provide benefits to certain employees under various defined benefit and postretirement benefit plans (collectively, the “Plans”). The Plans were previously amended to preclude new participants. All but one of the Plans are unfunded. At October 31, 2016 and 2015, we recorded aggregate net obligations of $7.8 million and $7.4 million, respectively, for the Plans. At October 31, 2016 and 2015, the projected benefit obligations in the aggregate for the Plans were $15.7 million and $15.6 million, respectively. The fair value of the Plans’ assets was $7.9 million and $8.2 million, at October 31, 2016 and 2015, respectively. At October 31, 2016, approximately 54% of the Plan assets were invested in equities, 32% in fixed income, and 14% in cash. The expected return on assets was $0.5 million during 2016</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2015, and 2014. The aggregate net periodic benefit cost for all Plans was $0.2 million for each of 2016 and 2015 and $0.4 million for 2014. Future benefit payments in the aggregate are expected to be $13.2 million.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Plans</w:t>
      </w:r>
    </w:p>
    <w:p>
      <w:pPr>
        <w:spacing w:after="0" w:line="17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maintain deferred compensation plans that permit eligible employees and directors to defer a portion of their compensation. At October 31, 2016 and 2015, the total liability of all deferred compensation was $19.1 million and $19.5 million, respectively, and these amounts are included in “Other accrued liabilities” and “Other noncurrent liabilities” on the accompanying consolidated balance sheets. Under one of our deferred compensation plans, a Rabbi trust was created to fund the obligations, and we are required to contribute a portion of the deferred compensation contributions for eligible participants. The assets held in the Rabbi trust are not available for general corporate purposes. At October 31, 2016 and 2015, the fair value of these assets was $4.9 million and $5.3 million, respectively, and was included in “Other noncurrent assets” on the accompanying consolidated balance sheets. Aggregate expense recognized under these deferred compensation plans was $0.4 million for 2016 and $0.5 million for both 2015 and 2014.</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sponsor three defined contribution plans covering certain employees that are subject to the applicable provisions of the Employee Retirement Income Security Act of 1974 and the Internal Revenue Code (“IRC”). Certain plans permit a company match of a portion of the participant’s contributions or a discretionary contribution after the participant has met the eligibility requirements set forth in the plan. During 2016, 2015, and 2014, we made matching contributions required by the plans of $11.7 million, $12.1 million, and $10.0 million,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Multiemployer Pension and Postretirement Plans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participate in various multiemployer pension plans under union and industry-wide agreements, which provide defined pension benefits to employees covered by collective bargaining agreements. Because of the nature of multiemployer plans, there are risks associated with participation in these plans that differ from single-employer plans. Assets contributed by an employer to a multiemployer plan are not segregated into a separate account and are not restricted to provide benefits only to employees of that contributing employer. In the event another participating employer in a multiemployer plan no longer contributes to the plan, the unfunded obligations of the plan may be borne by the remaining participating employers, including us. In the event of the termination of a multiemployer pension plan or a withdrawal from a multiemployer pension plan, we could incur material liabilities under applicable law.</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520"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Key Information for Individually Significant Multiemployer Defined Benefit Pension Plans</w:t>
      </w:r>
      <w:r>
        <w:rPr>
          <w:rFonts w:ascii="Arial" w:cs="Arial" w:eastAsia="Arial" w:hAnsi="Arial"/>
          <w:sz w:val="21"/>
          <w:szCs w:val="21"/>
          <w:b w:val="1"/>
          <w:bCs w:val="1"/>
          <w:i w:val="1"/>
          <w:iCs w:val="1"/>
          <w:color w:val="auto"/>
          <w:vertAlign w:val="superscript"/>
        </w:rPr>
        <w:t>(1)</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rPr>
              <w:t>Pension Protection Act Zone</w:t>
            </w:r>
          </w:p>
        </w:tc>
        <w:tc>
          <w:tcPr>
            <w:tcW w:w="1420" w:type="dxa"/>
            <w:vAlign w:val="bottom"/>
            <w:gridSpan w:val="3"/>
            <w:vMerge w:val="restart"/>
          </w:tcPr>
          <w:p>
            <w:pPr>
              <w:jc w:val="center"/>
              <w:ind w:right="260"/>
              <w:spacing w:after="0"/>
              <w:rPr>
                <w:sz w:val="20"/>
                <w:szCs w:val="20"/>
                <w:color w:val="auto"/>
              </w:rPr>
            </w:pPr>
            <w:r>
              <w:rPr>
                <w:rFonts w:ascii="Arial" w:cs="Arial" w:eastAsia="Arial" w:hAnsi="Arial"/>
                <w:sz w:val="13"/>
                <w:szCs w:val="13"/>
                <w:b w:val="1"/>
                <w:bCs w:val="1"/>
                <w:color w:val="auto"/>
                <w:w w:val="96"/>
              </w:rPr>
              <w:t>FIP/RP Status</w:t>
            </w:r>
            <w:r>
              <w:rPr>
                <w:rFonts w:ascii="Arial" w:cs="Arial" w:eastAsia="Arial" w:hAnsi="Arial"/>
                <w:sz w:val="22"/>
                <w:szCs w:val="22"/>
                <w:b w:val="1"/>
                <w:bCs w:val="1"/>
                <w:color w:val="auto"/>
                <w:w w:val="96"/>
                <w:vertAlign w:val="superscript"/>
              </w:rPr>
              <w:t>(4)</w:t>
            </w:r>
          </w:p>
        </w:tc>
        <w:tc>
          <w:tcPr>
            <w:tcW w:w="1740" w:type="dxa"/>
            <w:vAlign w:val="bottom"/>
            <w:gridSpan w:val="5"/>
            <w:vMerge w:val="restart"/>
          </w:tcPr>
          <w:p>
            <w:pPr>
              <w:jc w:val="right"/>
              <w:spacing w:after="0"/>
              <w:rPr>
                <w:sz w:val="20"/>
                <w:szCs w:val="20"/>
                <w:color w:val="auto"/>
              </w:rPr>
            </w:pPr>
            <w:r>
              <w:rPr>
                <w:rFonts w:ascii="Arial" w:cs="Arial" w:eastAsia="Arial" w:hAnsi="Arial"/>
                <w:sz w:val="13"/>
                <w:szCs w:val="13"/>
                <w:b w:val="1"/>
                <w:bCs w:val="1"/>
                <w:color w:val="auto"/>
              </w:rPr>
              <w:t>Contributions by ABM</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Expiration</w:t>
            </w:r>
          </w:p>
        </w:tc>
        <w:tc>
          <w:tcPr>
            <w:tcW w:w="0" w:type="dxa"/>
            <w:vAlign w:val="bottom"/>
          </w:tcPr>
          <w:p>
            <w:pPr>
              <w:spacing w:after="0"/>
              <w:rPr>
                <w:sz w:val="1"/>
                <w:szCs w:val="1"/>
                <w:color w:val="auto"/>
              </w:rPr>
            </w:pPr>
          </w:p>
        </w:tc>
      </w:tr>
      <w:tr>
        <w:trPr>
          <w:trHeight w:val="156"/>
        </w:trPr>
        <w:tc>
          <w:tcPr>
            <w:tcW w:w="2520" w:type="dxa"/>
            <w:vAlign w:val="bottom"/>
            <w:gridSpan w:val="3"/>
          </w:tcPr>
          <w:p>
            <w:pPr>
              <w:ind w:left="4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4"/>
          </w:tcPr>
          <w:p>
            <w:pPr>
              <w:jc w:val="center"/>
              <w:ind w:right="100"/>
              <w:spacing w:after="0" w:line="149" w:lineRule="exact"/>
              <w:rPr>
                <w:sz w:val="20"/>
                <w:szCs w:val="20"/>
                <w:color w:val="auto"/>
              </w:rPr>
            </w:pPr>
            <w:r>
              <w:rPr>
                <w:rFonts w:ascii="Arial" w:cs="Arial" w:eastAsia="Arial" w:hAnsi="Arial"/>
                <w:sz w:val="11"/>
                <w:szCs w:val="11"/>
                <w:b w:val="1"/>
                <w:bCs w:val="1"/>
                <w:color w:val="auto"/>
              </w:rPr>
              <w:t>Status</w:t>
            </w:r>
            <w:r>
              <w:rPr>
                <w:rFonts w:ascii="Arial" w:cs="Arial" w:eastAsia="Arial" w:hAnsi="Arial"/>
                <w:sz w:val="17"/>
                <w:szCs w:val="17"/>
                <w:b w:val="1"/>
                <w:bCs w:val="1"/>
                <w:color w:val="auto"/>
                <w:vertAlign w:val="superscript"/>
              </w:rPr>
              <w:t>(3)</w:t>
            </w:r>
          </w:p>
        </w:tc>
        <w:tc>
          <w:tcPr>
            <w:tcW w:w="1420" w:type="dxa"/>
            <w:vAlign w:val="bottom"/>
            <w:gridSpan w:val="3"/>
            <w:vMerge w:val="continue"/>
          </w:tcPr>
          <w:p>
            <w:pPr>
              <w:spacing w:after="0"/>
              <w:rPr>
                <w:sz w:val="13"/>
                <w:szCs w:val="13"/>
                <w:color w:val="auto"/>
              </w:rPr>
            </w:pPr>
          </w:p>
        </w:tc>
        <w:tc>
          <w:tcPr>
            <w:tcW w:w="1740" w:type="dxa"/>
            <w:vAlign w:val="bottom"/>
            <w:gridSpan w:val="5"/>
            <w:vMerge w:val="continue"/>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Dates of</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vMerge w:val="restart"/>
          </w:tcPr>
          <w:p>
            <w:pPr>
              <w:jc w:val="center"/>
              <w:spacing w:after="0" w:line="105" w:lineRule="exact"/>
              <w:rPr>
                <w:sz w:val="20"/>
                <w:szCs w:val="20"/>
                <w:color w:val="auto"/>
              </w:rPr>
            </w:pPr>
            <w:r>
              <w:rPr>
                <w:rFonts w:ascii="Arial" w:cs="Arial" w:eastAsia="Arial" w:hAnsi="Arial"/>
                <w:sz w:val="12"/>
                <w:szCs w:val="12"/>
                <w:b w:val="1"/>
                <w:bCs w:val="1"/>
                <w:color w:val="auto"/>
              </w:rPr>
              <w:t>Collective</w:t>
            </w:r>
          </w:p>
        </w:tc>
        <w:tc>
          <w:tcPr>
            <w:tcW w:w="0" w:type="dxa"/>
            <w:vAlign w:val="bottom"/>
          </w:tcPr>
          <w:p>
            <w:pPr>
              <w:spacing w:after="0"/>
              <w:rPr>
                <w:sz w:val="1"/>
                <w:szCs w:val="1"/>
                <w:color w:val="auto"/>
              </w:rPr>
            </w:pPr>
          </w:p>
        </w:tc>
      </w:tr>
      <w:tr>
        <w:trPr>
          <w:trHeight w:val="58"/>
        </w:trPr>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gridSpan w:val="3"/>
            <w:vMerge w:val="restart"/>
          </w:tcPr>
          <w:p>
            <w:pPr>
              <w:jc w:val="center"/>
              <w:ind w:right="260"/>
              <w:spacing w:after="0"/>
              <w:rPr>
                <w:sz w:val="20"/>
                <w:szCs w:val="20"/>
                <w:color w:val="auto"/>
              </w:rPr>
            </w:pPr>
            <w:r>
              <w:rPr>
                <w:rFonts w:ascii="Arial" w:cs="Arial" w:eastAsia="Arial" w:hAnsi="Arial"/>
                <w:sz w:val="13"/>
                <w:szCs w:val="13"/>
                <w:b w:val="1"/>
                <w:bCs w:val="1"/>
                <w:color w:val="auto"/>
              </w:rPr>
              <w:t>Pending/</w:t>
            </w: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rPr>
              <w:t>Surcharge</w:t>
            </w: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4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Pension Fund</w:t>
            </w:r>
          </w:p>
        </w:tc>
        <w:tc>
          <w:tcPr>
            <w:tcW w:w="114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EIN/PN</w:t>
            </w:r>
            <w:r>
              <w:rPr>
                <w:rFonts w:ascii="Arial" w:cs="Arial" w:eastAsia="Arial" w:hAnsi="Arial"/>
                <w:sz w:val="22"/>
                <w:szCs w:val="22"/>
                <w:b w:val="1"/>
                <w:bCs w:val="1"/>
                <w:color w:val="auto"/>
                <w:vertAlign w:val="superscript"/>
              </w:rPr>
              <w:t>(2)</w:t>
            </w: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2015</w:t>
            </w:r>
          </w:p>
        </w:tc>
        <w:tc>
          <w:tcPr>
            <w:tcW w:w="12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560" w:type="dxa"/>
            <w:vAlign w:val="bottom"/>
            <w:vMerge w:val="restart"/>
          </w:tcPr>
          <w:p>
            <w:pPr>
              <w:jc w:val="right"/>
              <w:ind w:right="136"/>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12"/>
                <w:szCs w:val="12"/>
                <w:color w:val="auto"/>
              </w:rPr>
            </w:pPr>
          </w:p>
        </w:tc>
        <w:tc>
          <w:tcPr>
            <w:tcW w:w="66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2015</w:t>
            </w:r>
          </w:p>
        </w:tc>
        <w:tc>
          <w:tcPr>
            <w:tcW w:w="120" w:type="dxa"/>
            <w:vAlign w:val="bottom"/>
          </w:tcPr>
          <w:p>
            <w:pPr>
              <w:spacing w:after="0"/>
              <w:rPr>
                <w:sz w:val="12"/>
                <w:szCs w:val="12"/>
                <w:color w:val="auto"/>
              </w:rPr>
            </w:pPr>
          </w:p>
        </w:tc>
        <w:tc>
          <w:tcPr>
            <w:tcW w:w="660" w:type="dxa"/>
            <w:vAlign w:val="bottom"/>
            <w:gridSpan w:val="2"/>
            <w:vMerge w:val="restart"/>
          </w:tcPr>
          <w:p>
            <w:pPr>
              <w:jc w:val="right"/>
              <w:ind w:right="137"/>
              <w:spacing w:after="0"/>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Bargaining</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40" w:type="dxa"/>
            <w:vAlign w:val="bottom"/>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rPr>
              <w:t>Implemented</w:t>
            </w:r>
          </w:p>
        </w:tc>
        <w:tc>
          <w:tcPr>
            <w:tcW w:w="5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00"/>
              <w:spacing w:after="0" w:line="195" w:lineRule="exact"/>
              <w:rPr>
                <w:sz w:val="20"/>
                <w:szCs w:val="20"/>
                <w:color w:val="auto"/>
              </w:rPr>
            </w:pPr>
            <w:r>
              <w:rPr>
                <w:rFonts w:ascii="Arial" w:cs="Arial" w:eastAsia="Arial" w:hAnsi="Arial"/>
                <w:sz w:val="13"/>
                <w:szCs w:val="13"/>
                <w:b w:val="1"/>
                <w:bCs w:val="1"/>
                <w:color w:val="auto"/>
                <w:w w:val="95"/>
              </w:rPr>
              <w:t>Imposed</w:t>
            </w:r>
            <w:r>
              <w:rPr>
                <w:rFonts w:ascii="Arial" w:cs="Arial" w:eastAsia="Arial" w:hAnsi="Arial"/>
                <w:sz w:val="22"/>
                <w:szCs w:val="22"/>
                <w:b w:val="1"/>
                <w:bCs w:val="1"/>
                <w:color w:val="auto"/>
                <w:w w:val="95"/>
                <w:vertAlign w:val="superscript"/>
              </w:rPr>
              <w:t>(5)</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Agreements</w:t>
            </w:r>
          </w:p>
        </w:tc>
        <w:tc>
          <w:tcPr>
            <w:tcW w:w="0" w:type="dxa"/>
            <w:vAlign w:val="bottom"/>
          </w:tcPr>
          <w:p>
            <w:pPr>
              <w:spacing w:after="0"/>
              <w:rPr>
                <w:sz w:val="1"/>
                <w:szCs w:val="1"/>
                <w:color w:val="auto"/>
              </w:rPr>
            </w:pPr>
          </w:p>
        </w:tc>
      </w:tr>
      <w:tr>
        <w:trPr>
          <w:trHeight w:val="264"/>
        </w:trPr>
        <w:tc>
          <w:tcPr>
            <w:tcW w:w="4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18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2520" w:type="dxa"/>
            <w:vAlign w:val="bottom"/>
            <w:gridSpan w:val="3"/>
            <w:vMerge w:val="restart"/>
          </w:tcPr>
          <w:p>
            <w:pPr>
              <w:ind w:left="40"/>
              <w:spacing w:after="0"/>
              <w:rPr>
                <w:sz w:val="20"/>
                <w:szCs w:val="20"/>
                <w:color w:val="auto"/>
              </w:rPr>
            </w:pPr>
            <w:r>
              <w:rPr>
                <w:rFonts w:ascii="Arial" w:cs="Arial" w:eastAsia="Arial" w:hAnsi="Arial"/>
                <w:sz w:val="13"/>
                <w:szCs w:val="13"/>
                <w:color w:val="auto"/>
              </w:rPr>
              <w:t>Building Service 32BJ Pension Fund</w:t>
            </w:r>
          </w:p>
        </w:tc>
        <w:tc>
          <w:tcPr>
            <w:tcW w:w="1020" w:type="dxa"/>
            <w:vAlign w:val="bottom"/>
          </w:tcPr>
          <w:p>
            <w:pPr>
              <w:jc w:val="center"/>
              <w:spacing w:after="0" w:line="140" w:lineRule="exact"/>
              <w:rPr>
                <w:sz w:val="20"/>
                <w:szCs w:val="20"/>
                <w:color w:val="auto"/>
              </w:rPr>
            </w:pPr>
            <w:r>
              <w:rPr>
                <w:rFonts w:ascii="Arial" w:cs="Arial" w:eastAsia="Arial" w:hAnsi="Arial"/>
                <w:sz w:val="13"/>
                <w:szCs w:val="13"/>
                <w:color w:val="auto"/>
                <w:w w:val="96"/>
              </w:rPr>
              <w:t>13-1879376 /</w:t>
            </w:r>
          </w:p>
        </w:tc>
        <w:tc>
          <w:tcPr>
            <w:tcW w:w="120" w:type="dxa"/>
            <w:vAlign w:val="bottom"/>
          </w:tcPr>
          <w:p>
            <w:pPr>
              <w:spacing w:after="0"/>
              <w:rPr>
                <w:sz w:val="12"/>
                <w:szCs w:val="12"/>
                <w:color w:val="auto"/>
              </w:rPr>
            </w:pPr>
          </w:p>
        </w:tc>
        <w:tc>
          <w:tcPr>
            <w:tcW w:w="1040" w:type="dxa"/>
            <w:vAlign w:val="bottom"/>
            <w:gridSpan w:val="2"/>
          </w:tcPr>
          <w:p>
            <w:pPr>
              <w:jc w:val="center"/>
              <w:ind w:right="100"/>
              <w:spacing w:after="0" w:line="140" w:lineRule="exact"/>
              <w:rPr>
                <w:sz w:val="20"/>
                <w:szCs w:val="20"/>
                <w:color w:val="auto"/>
              </w:rPr>
            </w:pPr>
            <w:r>
              <w:rPr>
                <w:rFonts w:ascii="Arial" w:cs="Arial" w:eastAsia="Arial" w:hAnsi="Arial"/>
                <w:sz w:val="13"/>
                <w:szCs w:val="13"/>
                <w:color w:val="auto"/>
                <w:w w:val="92"/>
              </w:rPr>
              <w:t>Red</w:t>
            </w:r>
          </w:p>
        </w:tc>
        <w:tc>
          <w:tcPr>
            <w:tcW w:w="1040" w:type="dxa"/>
            <w:vAlign w:val="bottom"/>
            <w:gridSpan w:val="2"/>
          </w:tcPr>
          <w:p>
            <w:pPr>
              <w:jc w:val="center"/>
              <w:ind w:right="100"/>
              <w:spacing w:after="0" w:line="140" w:lineRule="exact"/>
              <w:rPr>
                <w:sz w:val="20"/>
                <w:szCs w:val="20"/>
                <w:color w:val="auto"/>
              </w:rPr>
            </w:pPr>
            <w:r>
              <w:rPr>
                <w:rFonts w:ascii="Arial" w:cs="Arial" w:eastAsia="Arial" w:hAnsi="Arial"/>
                <w:sz w:val="13"/>
                <w:szCs w:val="13"/>
                <w:color w:val="auto"/>
                <w:w w:val="92"/>
              </w:rPr>
              <w:t>Red</w:t>
            </w:r>
          </w:p>
        </w:tc>
        <w:tc>
          <w:tcPr>
            <w:tcW w:w="1420" w:type="dxa"/>
            <w:vAlign w:val="bottom"/>
            <w:gridSpan w:val="3"/>
            <w:vMerge w:val="restart"/>
          </w:tcPr>
          <w:p>
            <w:pPr>
              <w:jc w:val="center"/>
              <w:ind w:right="260"/>
              <w:spacing w:after="0"/>
              <w:rPr>
                <w:sz w:val="20"/>
                <w:szCs w:val="20"/>
                <w:color w:val="auto"/>
              </w:rPr>
            </w:pPr>
            <w:r>
              <w:rPr>
                <w:rFonts w:ascii="Arial" w:cs="Arial" w:eastAsia="Arial" w:hAnsi="Arial"/>
                <w:sz w:val="13"/>
                <w:szCs w:val="13"/>
                <w:color w:val="auto"/>
                <w:w w:val="95"/>
              </w:rPr>
              <w:t>Implemented</w:t>
            </w:r>
          </w:p>
        </w:tc>
        <w:tc>
          <w:tcPr>
            <w:tcW w:w="560" w:type="dxa"/>
            <w:vAlign w:val="bottom"/>
            <w:vMerge w:val="restart"/>
          </w:tcPr>
          <w:p>
            <w:pPr>
              <w:jc w:val="right"/>
              <w:ind w:right="56"/>
              <w:spacing w:after="0"/>
              <w:rPr>
                <w:sz w:val="20"/>
                <w:szCs w:val="20"/>
                <w:color w:val="auto"/>
              </w:rPr>
            </w:pPr>
            <w:r>
              <w:rPr>
                <w:rFonts w:ascii="Arial" w:cs="Arial" w:eastAsia="Arial" w:hAnsi="Arial"/>
                <w:sz w:val="13"/>
                <w:szCs w:val="13"/>
                <w:color w:val="auto"/>
              </w:rPr>
              <w:t>17.0</w:t>
            </w:r>
          </w:p>
        </w:tc>
        <w:tc>
          <w:tcPr>
            <w:tcW w:w="120" w:type="dxa"/>
            <w:vAlign w:val="bottom"/>
          </w:tcPr>
          <w:p>
            <w:pPr>
              <w:spacing w:after="0"/>
              <w:rPr>
                <w:sz w:val="12"/>
                <w:szCs w:val="12"/>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14.2</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vMerge w:val="restart"/>
          </w:tcPr>
          <w:p>
            <w:pPr>
              <w:jc w:val="right"/>
              <w:ind w:right="57"/>
              <w:spacing w:after="0"/>
              <w:rPr>
                <w:sz w:val="20"/>
                <w:szCs w:val="20"/>
                <w:color w:val="auto"/>
              </w:rPr>
            </w:pPr>
            <w:r>
              <w:rPr>
                <w:rFonts w:ascii="Arial" w:cs="Arial" w:eastAsia="Arial" w:hAnsi="Arial"/>
                <w:sz w:val="13"/>
                <w:szCs w:val="13"/>
                <w:color w:val="auto"/>
                <w:w w:val="94"/>
              </w:rPr>
              <w:t>14.1</w:t>
            </w:r>
          </w:p>
        </w:tc>
        <w:tc>
          <w:tcPr>
            <w:tcW w:w="100" w:type="dxa"/>
            <w:vAlign w:val="bottom"/>
          </w:tcPr>
          <w:p>
            <w:pPr>
              <w:spacing w:after="0"/>
              <w:rPr>
                <w:sz w:val="12"/>
                <w:szCs w:val="12"/>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6"/>
              </w:rPr>
              <w:t>No</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w w:val="98"/>
              </w:rPr>
              <w:t>12/31/2019</w:t>
            </w:r>
          </w:p>
        </w:tc>
        <w:tc>
          <w:tcPr>
            <w:tcW w:w="0" w:type="dxa"/>
            <w:vAlign w:val="bottom"/>
          </w:tcPr>
          <w:p>
            <w:pPr>
              <w:spacing w:after="0"/>
              <w:rPr>
                <w:sz w:val="1"/>
                <w:szCs w:val="1"/>
                <w:color w:val="auto"/>
              </w:rPr>
            </w:pPr>
          </w:p>
        </w:tc>
      </w:tr>
      <w:tr>
        <w:trPr>
          <w:trHeight w:val="103"/>
        </w:trPr>
        <w:tc>
          <w:tcPr>
            <w:tcW w:w="2520" w:type="dxa"/>
            <w:vAlign w:val="bottom"/>
            <w:gridSpan w:val="3"/>
            <w:vMerge w:val="continue"/>
          </w:tcPr>
          <w:p>
            <w:pPr>
              <w:spacing w:after="0"/>
              <w:rPr>
                <w:sz w:val="8"/>
                <w:szCs w:val="8"/>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8"/>
                <w:szCs w:val="8"/>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6"/>
              </w:rPr>
              <w:t>6/30/2016</w:t>
            </w:r>
          </w:p>
        </w:tc>
        <w:tc>
          <w:tcPr>
            <w:tcW w:w="120" w:type="dxa"/>
            <w:vAlign w:val="bottom"/>
          </w:tcPr>
          <w:p>
            <w:pPr>
              <w:spacing w:after="0"/>
              <w:rPr>
                <w:sz w:val="8"/>
                <w:szCs w:val="8"/>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6"/>
              </w:rPr>
              <w:t>6/30/2016</w:t>
            </w:r>
          </w:p>
        </w:tc>
        <w:tc>
          <w:tcPr>
            <w:tcW w:w="120" w:type="dxa"/>
            <w:vAlign w:val="bottom"/>
          </w:tcPr>
          <w:p>
            <w:pPr>
              <w:spacing w:after="0"/>
              <w:rPr>
                <w:sz w:val="8"/>
                <w:szCs w:val="8"/>
                <w:color w:val="auto"/>
              </w:rPr>
            </w:pPr>
          </w:p>
        </w:tc>
        <w:tc>
          <w:tcPr>
            <w:tcW w:w="1420" w:type="dxa"/>
            <w:vAlign w:val="bottom"/>
            <w:gridSpan w:val="3"/>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520" w:type="dxa"/>
            <w:vAlign w:val="bottom"/>
            <w:gridSpan w:val="3"/>
            <w:shd w:val="clear" w:color="auto" w:fill="CCEEFF"/>
          </w:tcPr>
          <w:p>
            <w:pPr>
              <w:ind w:left="40"/>
              <w:spacing w:after="0" w:line="148" w:lineRule="exact"/>
              <w:rPr>
                <w:sz w:val="20"/>
                <w:szCs w:val="20"/>
                <w:color w:val="auto"/>
              </w:rPr>
            </w:pPr>
            <w:r>
              <w:rPr>
                <w:rFonts w:ascii="Arial" w:cs="Arial" w:eastAsia="Arial" w:hAnsi="Arial"/>
                <w:sz w:val="13"/>
                <w:szCs w:val="13"/>
                <w:color w:val="auto"/>
              </w:rPr>
              <w:t>Central Pension Fund of the IUOE &amp;</w:t>
            </w:r>
          </w:p>
        </w:tc>
        <w:tc>
          <w:tcPr>
            <w:tcW w:w="10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6"/>
              </w:rPr>
              <w:t>36-6052390 /</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140"/>
              <w:spacing w:after="0" w:line="148" w:lineRule="exact"/>
              <w:rPr>
                <w:sz w:val="20"/>
                <w:szCs w:val="20"/>
                <w:color w:val="auto"/>
              </w:rPr>
            </w:pPr>
            <w:r>
              <w:rPr>
                <w:rFonts w:ascii="Arial" w:cs="Arial" w:eastAsia="Arial" w:hAnsi="Arial"/>
                <w:sz w:val="13"/>
                <w:szCs w:val="13"/>
                <w:color w:val="auto"/>
                <w:w w:val="93"/>
              </w:rPr>
              <w:t>Green</w:t>
            </w:r>
          </w:p>
        </w:tc>
        <w:tc>
          <w:tcPr>
            <w:tcW w:w="1040" w:type="dxa"/>
            <w:vAlign w:val="bottom"/>
            <w:gridSpan w:val="2"/>
            <w:shd w:val="clear" w:color="auto" w:fill="CCEEFF"/>
          </w:tcPr>
          <w:p>
            <w:pPr>
              <w:jc w:val="center"/>
              <w:ind w:right="140"/>
              <w:spacing w:after="0" w:line="148" w:lineRule="exact"/>
              <w:rPr>
                <w:sz w:val="20"/>
                <w:szCs w:val="20"/>
                <w:color w:val="auto"/>
              </w:rPr>
            </w:pPr>
            <w:r>
              <w:rPr>
                <w:rFonts w:ascii="Arial" w:cs="Arial" w:eastAsia="Arial" w:hAnsi="Arial"/>
                <w:sz w:val="13"/>
                <w:szCs w:val="13"/>
                <w:color w:val="auto"/>
                <w:w w:val="93"/>
              </w:rPr>
              <w:t>Green</w:t>
            </w:r>
          </w:p>
        </w:tc>
        <w:tc>
          <w:tcPr>
            <w:tcW w:w="1420" w:type="dxa"/>
            <w:vAlign w:val="bottom"/>
            <w:gridSpan w:val="3"/>
            <w:vMerge w:val="restart"/>
            <w:shd w:val="clear" w:color="auto" w:fill="CCEEFF"/>
          </w:tcPr>
          <w:p>
            <w:pPr>
              <w:jc w:val="center"/>
              <w:ind w:right="240"/>
              <w:spacing w:after="0"/>
              <w:rPr>
                <w:sz w:val="20"/>
                <w:szCs w:val="20"/>
                <w:color w:val="auto"/>
              </w:rPr>
            </w:pPr>
            <w:r>
              <w:rPr>
                <w:rFonts w:ascii="Arial" w:cs="Arial" w:eastAsia="Arial" w:hAnsi="Arial"/>
                <w:sz w:val="13"/>
                <w:szCs w:val="13"/>
                <w:color w:val="auto"/>
                <w:w w:val="97"/>
              </w:rPr>
              <w:t>N/A*</w:t>
            </w:r>
          </w:p>
        </w:tc>
        <w:tc>
          <w:tcPr>
            <w:tcW w:w="56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rPr>
              <w:t>11.0</w:t>
            </w: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11.2</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9.8</w:t>
            </w: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97"/>
              </w:rPr>
              <w:t>N/A*</w:t>
            </w:r>
          </w:p>
        </w:tc>
        <w:tc>
          <w:tcPr>
            <w:tcW w:w="10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6"/>
              </w:rPr>
              <w:t>8/31/2017-</w:t>
            </w:r>
          </w:p>
        </w:tc>
        <w:tc>
          <w:tcPr>
            <w:tcW w:w="0" w:type="dxa"/>
            <w:vAlign w:val="bottom"/>
          </w:tcPr>
          <w:p>
            <w:pPr>
              <w:spacing w:after="0"/>
              <w:rPr>
                <w:sz w:val="1"/>
                <w:szCs w:val="1"/>
                <w:color w:val="auto"/>
              </w:rPr>
            </w:pPr>
          </w:p>
        </w:tc>
      </w:tr>
      <w:tr>
        <w:trPr>
          <w:trHeight w:val="103"/>
        </w:trPr>
        <w:tc>
          <w:tcPr>
            <w:tcW w:w="2520" w:type="dxa"/>
            <w:vAlign w:val="bottom"/>
            <w:gridSpan w:val="3"/>
            <w:vMerge w:val="restart"/>
            <w:shd w:val="clear" w:color="auto" w:fill="CCEEFF"/>
          </w:tcPr>
          <w:p>
            <w:pPr>
              <w:ind w:left="40"/>
              <w:spacing w:after="0"/>
              <w:rPr>
                <w:sz w:val="20"/>
                <w:szCs w:val="20"/>
                <w:color w:val="auto"/>
              </w:rPr>
            </w:pPr>
            <w:r>
              <w:rPr>
                <w:rFonts w:ascii="Arial" w:cs="Arial" w:eastAsia="Arial" w:hAnsi="Arial"/>
                <w:sz w:val="13"/>
                <w:szCs w:val="13"/>
                <w:color w:val="auto"/>
              </w:rPr>
              <w:t>Participating Employers</w:t>
            </w: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001</w:t>
            </w:r>
          </w:p>
        </w:tc>
        <w:tc>
          <w:tcPr>
            <w:tcW w:w="120" w:type="dxa"/>
            <w:vAlign w:val="bottom"/>
            <w:shd w:val="clear" w:color="auto" w:fill="CCEEFF"/>
          </w:tcPr>
          <w:p>
            <w:pPr>
              <w:spacing w:after="0"/>
              <w:rPr>
                <w:sz w:val="8"/>
                <w:szCs w:val="8"/>
                <w:color w:val="auto"/>
              </w:rPr>
            </w:pP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6"/>
              </w:rPr>
              <w:t>1/31/2016</w:t>
            </w:r>
          </w:p>
        </w:tc>
        <w:tc>
          <w:tcPr>
            <w:tcW w:w="120" w:type="dxa"/>
            <w:vAlign w:val="bottom"/>
            <w:shd w:val="clear" w:color="auto" w:fill="CCEEFF"/>
          </w:tcPr>
          <w:p>
            <w:pPr>
              <w:spacing w:after="0"/>
              <w:rPr>
                <w:sz w:val="8"/>
                <w:szCs w:val="8"/>
                <w:color w:val="auto"/>
              </w:rPr>
            </w:pP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6"/>
              </w:rPr>
              <w:t>1/31/2015</w:t>
            </w:r>
          </w:p>
        </w:tc>
        <w:tc>
          <w:tcPr>
            <w:tcW w:w="120" w:type="dxa"/>
            <w:vAlign w:val="bottom"/>
            <w:shd w:val="clear" w:color="auto" w:fill="CCEEFF"/>
          </w:tcPr>
          <w:p>
            <w:pPr>
              <w:spacing w:after="0"/>
              <w:rPr>
                <w:sz w:val="8"/>
                <w:szCs w:val="8"/>
                <w:color w:val="auto"/>
              </w:rPr>
            </w:pPr>
          </w:p>
        </w:tc>
        <w:tc>
          <w:tcPr>
            <w:tcW w:w="1420" w:type="dxa"/>
            <w:vAlign w:val="bottom"/>
            <w:gridSpan w:val="3"/>
            <w:vMerge w:val="continue"/>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3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20" w:type="dxa"/>
            <w:vAlign w:val="bottom"/>
            <w:gridSpan w:val="2"/>
            <w:vMerge w:val="continue"/>
            <w:shd w:val="clear" w:color="auto" w:fill="CCEEFF"/>
          </w:tcPr>
          <w:p>
            <w:pPr>
              <w:spacing w:after="0"/>
              <w:rPr>
                <w:sz w:val="8"/>
                <w:szCs w:val="8"/>
                <w:color w:val="auto"/>
              </w:rPr>
            </w:pPr>
          </w:p>
        </w:tc>
        <w:tc>
          <w:tcPr>
            <w:tcW w:w="10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6"/>
              </w:rPr>
              <w:t>6/30/2018</w:t>
            </w:r>
          </w:p>
        </w:tc>
        <w:tc>
          <w:tcPr>
            <w:tcW w:w="0" w:type="dxa"/>
            <w:vAlign w:val="bottom"/>
          </w:tcPr>
          <w:p>
            <w:pPr>
              <w:spacing w:after="0"/>
              <w:rPr>
                <w:sz w:val="1"/>
                <w:szCs w:val="1"/>
                <w:color w:val="auto"/>
              </w:rPr>
            </w:pPr>
          </w:p>
        </w:tc>
      </w:tr>
      <w:tr>
        <w:trPr>
          <w:trHeight w:val="82"/>
        </w:trPr>
        <w:tc>
          <w:tcPr>
            <w:tcW w:w="2520" w:type="dxa"/>
            <w:vAlign w:val="bottom"/>
            <w:gridSpan w:val="3"/>
            <w:vMerge w:val="continue"/>
            <w:shd w:val="clear" w:color="auto" w:fill="CCEEFF"/>
          </w:tcPr>
          <w:p>
            <w:pPr>
              <w:spacing w:after="0"/>
              <w:rPr>
                <w:sz w:val="7"/>
                <w:szCs w:val="7"/>
                <w:color w:val="auto"/>
              </w:rPr>
            </w:pPr>
          </w:p>
        </w:tc>
        <w:tc>
          <w:tcPr>
            <w:tcW w:w="10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520" w:type="dxa"/>
            <w:vAlign w:val="bottom"/>
            <w:gridSpan w:val="3"/>
            <w:vMerge w:val="restart"/>
          </w:tcPr>
          <w:p>
            <w:pPr>
              <w:ind w:left="40"/>
              <w:spacing w:after="0"/>
              <w:rPr>
                <w:sz w:val="20"/>
                <w:szCs w:val="20"/>
                <w:color w:val="auto"/>
              </w:rPr>
            </w:pPr>
            <w:r>
              <w:rPr>
                <w:rFonts w:ascii="Arial" w:cs="Arial" w:eastAsia="Arial" w:hAnsi="Arial"/>
                <w:sz w:val="13"/>
                <w:szCs w:val="13"/>
                <w:color w:val="auto"/>
              </w:rPr>
              <w:t>S.E.I.U. National Industry Pension Fund</w:t>
            </w:r>
          </w:p>
        </w:tc>
        <w:tc>
          <w:tcPr>
            <w:tcW w:w="1020" w:type="dxa"/>
            <w:vAlign w:val="bottom"/>
          </w:tcPr>
          <w:p>
            <w:pPr>
              <w:jc w:val="center"/>
              <w:spacing w:after="0" w:line="140" w:lineRule="exact"/>
              <w:rPr>
                <w:sz w:val="20"/>
                <w:szCs w:val="20"/>
                <w:color w:val="auto"/>
              </w:rPr>
            </w:pPr>
            <w:r>
              <w:rPr>
                <w:rFonts w:ascii="Arial" w:cs="Arial" w:eastAsia="Arial" w:hAnsi="Arial"/>
                <w:sz w:val="13"/>
                <w:szCs w:val="13"/>
                <w:color w:val="auto"/>
                <w:w w:val="96"/>
              </w:rPr>
              <w:t>52-6148540 /</w:t>
            </w:r>
          </w:p>
        </w:tc>
        <w:tc>
          <w:tcPr>
            <w:tcW w:w="120" w:type="dxa"/>
            <w:vAlign w:val="bottom"/>
          </w:tcPr>
          <w:p>
            <w:pPr>
              <w:spacing w:after="0"/>
              <w:rPr>
                <w:sz w:val="12"/>
                <w:szCs w:val="12"/>
                <w:color w:val="auto"/>
              </w:rPr>
            </w:pPr>
          </w:p>
        </w:tc>
        <w:tc>
          <w:tcPr>
            <w:tcW w:w="1040" w:type="dxa"/>
            <w:vAlign w:val="bottom"/>
            <w:gridSpan w:val="2"/>
          </w:tcPr>
          <w:p>
            <w:pPr>
              <w:jc w:val="center"/>
              <w:ind w:right="100"/>
              <w:spacing w:after="0" w:line="140" w:lineRule="exact"/>
              <w:rPr>
                <w:sz w:val="20"/>
                <w:szCs w:val="20"/>
                <w:color w:val="auto"/>
              </w:rPr>
            </w:pPr>
            <w:r>
              <w:rPr>
                <w:rFonts w:ascii="Arial" w:cs="Arial" w:eastAsia="Arial" w:hAnsi="Arial"/>
                <w:sz w:val="13"/>
                <w:szCs w:val="13"/>
                <w:color w:val="auto"/>
                <w:w w:val="92"/>
              </w:rPr>
              <w:t>Red</w:t>
            </w:r>
          </w:p>
        </w:tc>
        <w:tc>
          <w:tcPr>
            <w:tcW w:w="1040" w:type="dxa"/>
            <w:vAlign w:val="bottom"/>
            <w:gridSpan w:val="2"/>
          </w:tcPr>
          <w:p>
            <w:pPr>
              <w:jc w:val="center"/>
              <w:ind w:right="100"/>
              <w:spacing w:after="0" w:line="140" w:lineRule="exact"/>
              <w:rPr>
                <w:sz w:val="20"/>
                <w:szCs w:val="20"/>
                <w:color w:val="auto"/>
              </w:rPr>
            </w:pPr>
            <w:r>
              <w:rPr>
                <w:rFonts w:ascii="Arial" w:cs="Arial" w:eastAsia="Arial" w:hAnsi="Arial"/>
                <w:sz w:val="13"/>
                <w:szCs w:val="13"/>
                <w:color w:val="auto"/>
                <w:w w:val="92"/>
              </w:rPr>
              <w:t>Red</w:t>
            </w:r>
          </w:p>
        </w:tc>
        <w:tc>
          <w:tcPr>
            <w:tcW w:w="1420" w:type="dxa"/>
            <w:vAlign w:val="bottom"/>
            <w:gridSpan w:val="3"/>
            <w:vMerge w:val="restart"/>
          </w:tcPr>
          <w:p>
            <w:pPr>
              <w:jc w:val="center"/>
              <w:ind w:right="260"/>
              <w:spacing w:after="0"/>
              <w:rPr>
                <w:sz w:val="20"/>
                <w:szCs w:val="20"/>
                <w:color w:val="auto"/>
              </w:rPr>
            </w:pPr>
            <w:r>
              <w:rPr>
                <w:rFonts w:ascii="Arial" w:cs="Arial" w:eastAsia="Arial" w:hAnsi="Arial"/>
                <w:sz w:val="13"/>
                <w:szCs w:val="13"/>
                <w:color w:val="auto"/>
                <w:w w:val="95"/>
              </w:rPr>
              <w:t>Implemented</w:t>
            </w:r>
          </w:p>
        </w:tc>
        <w:tc>
          <w:tcPr>
            <w:tcW w:w="560" w:type="dxa"/>
            <w:vAlign w:val="bottom"/>
            <w:vMerge w:val="restart"/>
          </w:tcPr>
          <w:p>
            <w:pPr>
              <w:jc w:val="right"/>
              <w:ind w:right="56"/>
              <w:spacing w:after="0"/>
              <w:rPr>
                <w:sz w:val="20"/>
                <w:szCs w:val="20"/>
                <w:color w:val="auto"/>
              </w:rPr>
            </w:pPr>
            <w:r>
              <w:rPr>
                <w:rFonts w:ascii="Arial" w:cs="Arial" w:eastAsia="Arial" w:hAnsi="Arial"/>
                <w:sz w:val="13"/>
                <w:szCs w:val="13"/>
                <w:color w:val="auto"/>
              </w:rPr>
              <w:t>6.8</w:t>
            </w:r>
          </w:p>
        </w:tc>
        <w:tc>
          <w:tcPr>
            <w:tcW w:w="120" w:type="dxa"/>
            <w:vAlign w:val="bottom"/>
          </w:tcPr>
          <w:p>
            <w:pPr>
              <w:spacing w:after="0"/>
              <w:rPr>
                <w:sz w:val="12"/>
                <w:szCs w:val="12"/>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6.0</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vMerge w:val="restart"/>
          </w:tcPr>
          <w:p>
            <w:pPr>
              <w:jc w:val="right"/>
              <w:ind w:right="57"/>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2"/>
                <w:szCs w:val="12"/>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9"/>
              </w:rPr>
              <w:t>Yes</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w w:val="96"/>
              </w:rPr>
              <w:t>7/31/2020</w:t>
            </w:r>
          </w:p>
        </w:tc>
        <w:tc>
          <w:tcPr>
            <w:tcW w:w="0" w:type="dxa"/>
            <w:vAlign w:val="bottom"/>
          </w:tcPr>
          <w:p>
            <w:pPr>
              <w:spacing w:after="0"/>
              <w:rPr>
                <w:sz w:val="1"/>
                <w:szCs w:val="1"/>
                <w:color w:val="auto"/>
              </w:rPr>
            </w:pPr>
          </w:p>
        </w:tc>
      </w:tr>
      <w:tr>
        <w:trPr>
          <w:trHeight w:val="103"/>
        </w:trPr>
        <w:tc>
          <w:tcPr>
            <w:tcW w:w="2520" w:type="dxa"/>
            <w:vAlign w:val="bottom"/>
            <w:gridSpan w:val="3"/>
            <w:vMerge w:val="continue"/>
          </w:tcPr>
          <w:p>
            <w:pPr>
              <w:spacing w:after="0"/>
              <w:rPr>
                <w:sz w:val="8"/>
                <w:szCs w:val="8"/>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8"/>
                <w:szCs w:val="8"/>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5"/>
              </w:rPr>
              <w:t>12/31/2015</w:t>
            </w:r>
          </w:p>
        </w:tc>
        <w:tc>
          <w:tcPr>
            <w:tcW w:w="120" w:type="dxa"/>
            <w:vAlign w:val="bottom"/>
          </w:tcPr>
          <w:p>
            <w:pPr>
              <w:spacing w:after="0"/>
              <w:rPr>
                <w:sz w:val="8"/>
                <w:szCs w:val="8"/>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5"/>
              </w:rPr>
              <w:t>12/31/2014</w:t>
            </w:r>
          </w:p>
        </w:tc>
        <w:tc>
          <w:tcPr>
            <w:tcW w:w="120" w:type="dxa"/>
            <w:vAlign w:val="bottom"/>
          </w:tcPr>
          <w:p>
            <w:pPr>
              <w:spacing w:after="0"/>
              <w:rPr>
                <w:sz w:val="8"/>
                <w:szCs w:val="8"/>
                <w:color w:val="auto"/>
              </w:rPr>
            </w:pPr>
          </w:p>
        </w:tc>
        <w:tc>
          <w:tcPr>
            <w:tcW w:w="1420" w:type="dxa"/>
            <w:vAlign w:val="bottom"/>
            <w:gridSpan w:val="3"/>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520" w:type="dxa"/>
            <w:vAlign w:val="bottom"/>
            <w:gridSpan w:val="3"/>
            <w:shd w:val="clear" w:color="auto" w:fill="CCEEFF"/>
          </w:tcPr>
          <w:p>
            <w:pPr>
              <w:ind w:left="40"/>
              <w:spacing w:after="0" w:line="148" w:lineRule="exact"/>
              <w:rPr>
                <w:sz w:val="20"/>
                <w:szCs w:val="20"/>
                <w:color w:val="auto"/>
              </w:rPr>
            </w:pPr>
            <w:r>
              <w:rPr>
                <w:rFonts w:ascii="Arial" w:cs="Arial" w:eastAsia="Arial" w:hAnsi="Arial"/>
                <w:sz w:val="13"/>
                <w:szCs w:val="13"/>
                <w:color w:val="auto"/>
              </w:rPr>
              <w:t>Local 25 SEIU &amp; Participating Employers</w:t>
            </w:r>
          </w:p>
        </w:tc>
        <w:tc>
          <w:tcPr>
            <w:tcW w:w="10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6"/>
              </w:rPr>
              <w:t>36-6486542 /</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100"/>
              <w:spacing w:after="0" w:line="148" w:lineRule="exact"/>
              <w:rPr>
                <w:sz w:val="20"/>
                <w:szCs w:val="20"/>
                <w:color w:val="auto"/>
              </w:rPr>
            </w:pPr>
            <w:r>
              <w:rPr>
                <w:rFonts w:ascii="Arial" w:cs="Arial" w:eastAsia="Arial" w:hAnsi="Arial"/>
                <w:sz w:val="13"/>
                <w:szCs w:val="13"/>
                <w:color w:val="auto"/>
                <w:w w:val="93"/>
              </w:rPr>
              <w:t>Green</w:t>
            </w:r>
          </w:p>
        </w:tc>
        <w:tc>
          <w:tcPr>
            <w:tcW w:w="1040" w:type="dxa"/>
            <w:vAlign w:val="bottom"/>
            <w:gridSpan w:val="2"/>
            <w:shd w:val="clear" w:color="auto" w:fill="CCEEFF"/>
          </w:tcPr>
          <w:p>
            <w:pPr>
              <w:jc w:val="center"/>
              <w:ind w:right="100"/>
              <w:spacing w:after="0" w:line="148" w:lineRule="exact"/>
              <w:rPr>
                <w:sz w:val="20"/>
                <w:szCs w:val="20"/>
                <w:color w:val="auto"/>
              </w:rPr>
            </w:pPr>
            <w:r>
              <w:rPr>
                <w:rFonts w:ascii="Arial" w:cs="Arial" w:eastAsia="Arial" w:hAnsi="Arial"/>
                <w:sz w:val="13"/>
                <w:szCs w:val="13"/>
                <w:color w:val="auto"/>
                <w:w w:val="93"/>
              </w:rPr>
              <w:t>Green</w:t>
            </w:r>
          </w:p>
        </w:tc>
        <w:tc>
          <w:tcPr>
            <w:tcW w:w="1420" w:type="dxa"/>
            <w:vAlign w:val="bottom"/>
            <w:gridSpan w:val="3"/>
            <w:vMerge w:val="restart"/>
            <w:shd w:val="clear" w:color="auto" w:fill="CCEEFF"/>
          </w:tcPr>
          <w:p>
            <w:pPr>
              <w:jc w:val="center"/>
              <w:ind w:right="240"/>
              <w:spacing w:after="0"/>
              <w:rPr>
                <w:sz w:val="20"/>
                <w:szCs w:val="20"/>
                <w:color w:val="auto"/>
              </w:rPr>
            </w:pPr>
            <w:r>
              <w:rPr>
                <w:rFonts w:ascii="Arial" w:cs="Arial" w:eastAsia="Arial" w:hAnsi="Arial"/>
                <w:sz w:val="13"/>
                <w:szCs w:val="13"/>
                <w:color w:val="auto"/>
                <w:w w:val="97"/>
              </w:rPr>
              <w:t>N/A*</w:t>
            </w:r>
          </w:p>
        </w:tc>
        <w:tc>
          <w:tcPr>
            <w:tcW w:w="56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rPr>
              <w:t>6.2</w:t>
            </w: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6.0</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97"/>
              </w:rPr>
              <w:t>N/A*</w:t>
            </w:r>
          </w:p>
        </w:tc>
        <w:tc>
          <w:tcPr>
            <w:tcW w:w="10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4"/>
              </w:rPr>
              <w:t>4/8/2018</w:t>
            </w:r>
          </w:p>
        </w:tc>
        <w:tc>
          <w:tcPr>
            <w:tcW w:w="0" w:type="dxa"/>
            <w:vAlign w:val="bottom"/>
          </w:tcPr>
          <w:p>
            <w:pPr>
              <w:spacing w:after="0"/>
              <w:rPr>
                <w:sz w:val="1"/>
                <w:szCs w:val="1"/>
                <w:color w:val="auto"/>
              </w:rPr>
            </w:pPr>
          </w:p>
        </w:tc>
      </w:tr>
      <w:tr>
        <w:trPr>
          <w:trHeight w:val="103"/>
        </w:trPr>
        <w:tc>
          <w:tcPr>
            <w:tcW w:w="2520" w:type="dxa"/>
            <w:vAlign w:val="bottom"/>
            <w:gridSpan w:val="3"/>
            <w:vMerge w:val="restart"/>
            <w:shd w:val="clear" w:color="auto" w:fill="CCEEFF"/>
          </w:tcPr>
          <w:p>
            <w:pPr>
              <w:ind w:left="40"/>
              <w:spacing w:after="0"/>
              <w:rPr>
                <w:sz w:val="20"/>
                <w:szCs w:val="20"/>
                <w:color w:val="auto"/>
              </w:rPr>
            </w:pPr>
            <w:r>
              <w:rPr>
                <w:rFonts w:ascii="Arial" w:cs="Arial" w:eastAsia="Arial" w:hAnsi="Arial"/>
                <w:sz w:val="13"/>
                <w:szCs w:val="13"/>
                <w:color w:val="auto"/>
              </w:rPr>
              <w:t>Pension Trust</w:t>
            </w: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001</w:t>
            </w:r>
          </w:p>
        </w:tc>
        <w:tc>
          <w:tcPr>
            <w:tcW w:w="120" w:type="dxa"/>
            <w:vAlign w:val="bottom"/>
            <w:shd w:val="clear" w:color="auto" w:fill="CCEEFF"/>
          </w:tcPr>
          <w:p>
            <w:pPr>
              <w:spacing w:after="0"/>
              <w:rPr>
                <w:sz w:val="8"/>
                <w:szCs w:val="8"/>
                <w:color w:val="auto"/>
              </w:rPr>
            </w:pP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6"/>
              </w:rPr>
              <w:t>9/30/2015</w:t>
            </w:r>
          </w:p>
        </w:tc>
        <w:tc>
          <w:tcPr>
            <w:tcW w:w="120" w:type="dxa"/>
            <w:vAlign w:val="bottom"/>
            <w:shd w:val="clear" w:color="auto" w:fill="CCEEFF"/>
          </w:tcPr>
          <w:p>
            <w:pPr>
              <w:spacing w:after="0"/>
              <w:rPr>
                <w:sz w:val="8"/>
                <w:szCs w:val="8"/>
                <w:color w:val="auto"/>
              </w:rPr>
            </w:pP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6"/>
              </w:rPr>
              <w:t>9/30/2014</w:t>
            </w:r>
          </w:p>
        </w:tc>
        <w:tc>
          <w:tcPr>
            <w:tcW w:w="120" w:type="dxa"/>
            <w:vAlign w:val="bottom"/>
            <w:shd w:val="clear" w:color="auto" w:fill="CCEEFF"/>
          </w:tcPr>
          <w:p>
            <w:pPr>
              <w:spacing w:after="0"/>
              <w:rPr>
                <w:sz w:val="8"/>
                <w:szCs w:val="8"/>
                <w:color w:val="auto"/>
              </w:rPr>
            </w:pPr>
          </w:p>
        </w:tc>
        <w:tc>
          <w:tcPr>
            <w:tcW w:w="1420" w:type="dxa"/>
            <w:vAlign w:val="bottom"/>
            <w:gridSpan w:val="3"/>
            <w:vMerge w:val="continue"/>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3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20" w:type="dxa"/>
            <w:vAlign w:val="bottom"/>
            <w:gridSpan w:val="2"/>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520" w:type="dxa"/>
            <w:vAlign w:val="bottom"/>
            <w:gridSpan w:val="3"/>
            <w:vMerge w:val="continue"/>
            <w:shd w:val="clear" w:color="auto" w:fill="CCEEFF"/>
          </w:tcPr>
          <w:p>
            <w:pPr>
              <w:spacing w:after="0"/>
              <w:rPr>
                <w:sz w:val="7"/>
                <w:szCs w:val="7"/>
                <w:color w:val="auto"/>
              </w:rPr>
            </w:pPr>
          </w:p>
        </w:tc>
        <w:tc>
          <w:tcPr>
            <w:tcW w:w="10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520" w:type="dxa"/>
            <w:vAlign w:val="bottom"/>
            <w:gridSpan w:val="3"/>
          </w:tcPr>
          <w:p>
            <w:pPr>
              <w:ind w:left="40"/>
              <w:spacing w:after="0" w:line="140" w:lineRule="exact"/>
              <w:rPr>
                <w:sz w:val="20"/>
                <w:szCs w:val="20"/>
                <w:color w:val="auto"/>
              </w:rPr>
            </w:pPr>
            <w:r>
              <w:rPr>
                <w:rFonts w:ascii="Arial" w:cs="Arial" w:eastAsia="Arial" w:hAnsi="Arial"/>
                <w:sz w:val="13"/>
                <w:szCs w:val="13"/>
                <w:color w:val="auto"/>
              </w:rPr>
              <w:t>IUOE Stationary Engineers Local 39</w:t>
            </w:r>
          </w:p>
        </w:tc>
        <w:tc>
          <w:tcPr>
            <w:tcW w:w="1020" w:type="dxa"/>
            <w:vAlign w:val="bottom"/>
          </w:tcPr>
          <w:p>
            <w:pPr>
              <w:jc w:val="center"/>
              <w:spacing w:after="0" w:line="140" w:lineRule="exact"/>
              <w:rPr>
                <w:sz w:val="20"/>
                <w:szCs w:val="20"/>
                <w:color w:val="auto"/>
              </w:rPr>
            </w:pPr>
            <w:r>
              <w:rPr>
                <w:rFonts w:ascii="Arial" w:cs="Arial" w:eastAsia="Arial" w:hAnsi="Arial"/>
                <w:sz w:val="13"/>
                <w:szCs w:val="13"/>
                <w:color w:val="auto"/>
                <w:w w:val="96"/>
              </w:rPr>
              <w:t>94-6118939 /</w:t>
            </w:r>
          </w:p>
        </w:tc>
        <w:tc>
          <w:tcPr>
            <w:tcW w:w="120" w:type="dxa"/>
            <w:vAlign w:val="bottom"/>
          </w:tcPr>
          <w:p>
            <w:pPr>
              <w:spacing w:after="0"/>
              <w:rPr>
                <w:sz w:val="12"/>
                <w:szCs w:val="12"/>
                <w:color w:val="auto"/>
              </w:rPr>
            </w:pPr>
          </w:p>
        </w:tc>
        <w:tc>
          <w:tcPr>
            <w:tcW w:w="1040" w:type="dxa"/>
            <w:vAlign w:val="bottom"/>
            <w:gridSpan w:val="2"/>
          </w:tcPr>
          <w:p>
            <w:pPr>
              <w:jc w:val="center"/>
              <w:ind w:right="100"/>
              <w:spacing w:after="0" w:line="140" w:lineRule="exact"/>
              <w:rPr>
                <w:sz w:val="20"/>
                <w:szCs w:val="20"/>
                <w:color w:val="auto"/>
              </w:rPr>
            </w:pPr>
            <w:r>
              <w:rPr>
                <w:rFonts w:ascii="Arial" w:cs="Arial" w:eastAsia="Arial" w:hAnsi="Arial"/>
                <w:sz w:val="13"/>
                <w:szCs w:val="13"/>
                <w:color w:val="auto"/>
                <w:w w:val="93"/>
              </w:rPr>
              <w:t>Green</w:t>
            </w:r>
          </w:p>
        </w:tc>
        <w:tc>
          <w:tcPr>
            <w:tcW w:w="1040" w:type="dxa"/>
            <w:vAlign w:val="bottom"/>
            <w:gridSpan w:val="2"/>
          </w:tcPr>
          <w:p>
            <w:pPr>
              <w:jc w:val="center"/>
              <w:ind w:right="100"/>
              <w:spacing w:after="0" w:line="140" w:lineRule="exact"/>
              <w:rPr>
                <w:sz w:val="20"/>
                <w:szCs w:val="20"/>
                <w:color w:val="auto"/>
              </w:rPr>
            </w:pPr>
            <w:r>
              <w:rPr>
                <w:rFonts w:ascii="Arial" w:cs="Arial" w:eastAsia="Arial" w:hAnsi="Arial"/>
                <w:sz w:val="13"/>
                <w:szCs w:val="13"/>
                <w:color w:val="auto"/>
                <w:w w:val="93"/>
              </w:rPr>
              <w:t>Green</w:t>
            </w:r>
          </w:p>
        </w:tc>
        <w:tc>
          <w:tcPr>
            <w:tcW w:w="1420" w:type="dxa"/>
            <w:vAlign w:val="bottom"/>
            <w:gridSpan w:val="3"/>
            <w:vMerge w:val="restart"/>
          </w:tcPr>
          <w:p>
            <w:pPr>
              <w:jc w:val="center"/>
              <w:ind w:right="240"/>
              <w:spacing w:after="0"/>
              <w:rPr>
                <w:sz w:val="20"/>
                <w:szCs w:val="20"/>
                <w:color w:val="auto"/>
              </w:rPr>
            </w:pPr>
            <w:r>
              <w:rPr>
                <w:rFonts w:ascii="Arial" w:cs="Arial" w:eastAsia="Arial" w:hAnsi="Arial"/>
                <w:sz w:val="13"/>
                <w:szCs w:val="13"/>
                <w:color w:val="auto"/>
                <w:w w:val="97"/>
              </w:rPr>
              <w:t>N/A*</w:t>
            </w:r>
          </w:p>
        </w:tc>
        <w:tc>
          <w:tcPr>
            <w:tcW w:w="560" w:type="dxa"/>
            <w:vAlign w:val="bottom"/>
            <w:vMerge w:val="restart"/>
          </w:tcPr>
          <w:p>
            <w:pPr>
              <w:jc w:val="right"/>
              <w:ind w:right="56"/>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12"/>
                <w:szCs w:val="12"/>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5.6</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vMerge w:val="restart"/>
          </w:tcPr>
          <w:p>
            <w:pPr>
              <w:jc w:val="right"/>
              <w:ind w:right="57"/>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2"/>
                <w:szCs w:val="12"/>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97"/>
              </w:rPr>
              <w:t>N/A*</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w w:val="96"/>
              </w:rPr>
              <w:t>2/28/2018</w:t>
            </w:r>
          </w:p>
        </w:tc>
        <w:tc>
          <w:tcPr>
            <w:tcW w:w="0" w:type="dxa"/>
            <w:vAlign w:val="bottom"/>
          </w:tcPr>
          <w:p>
            <w:pPr>
              <w:spacing w:after="0"/>
              <w:rPr>
                <w:sz w:val="1"/>
                <w:szCs w:val="1"/>
                <w:color w:val="auto"/>
              </w:rPr>
            </w:pPr>
          </w:p>
        </w:tc>
      </w:tr>
      <w:tr>
        <w:trPr>
          <w:trHeight w:val="103"/>
        </w:trPr>
        <w:tc>
          <w:tcPr>
            <w:tcW w:w="2520" w:type="dxa"/>
            <w:vAlign w:val="bottom"/>
            <w:gridSpan w:val="3"/>
            <w:vMerge w:val="restart"/>
          </w:tcPr>
          <w:p>
            <w:pPr>
              <w:ind w:left="40"/>
              <w:spacing w:after="0"/>
              <w:rPr>
                <w:sz w:val="20"/>
                <w:szCs w:val="20"/>
                <w:color w:val="auto"/>
              </w:rPr>
            </w:pPr>
            <w:r>
              <w:rPr>
                <w:rFonts w:ascii="Arial" w:cs="Arial" w:eastAsia="Arial" w:hAnsi="Arial"/>
                <w:sz w:val="13"/>
                <w:szCs w:val="13"/>
                <w:color w:val="auto"/>
              </w:rPr>
              <w:t>Pension Plan</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8"/>
                <w:szCs w:val="8"/>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5"/>
              </w:rPr>
              <w:t>12/31/2015</w:t>
            </w:r>
          </w:p>
        </w:tc>
        <w:tc>
          <w:tcPr>
            <w:tcW w:w="120" w:type="dxa"/>
            <w:vAlign w:val="bottom"/>
          </w:tcPr>
          <w:p>
            <w:pPr>
              <w:spacing w:after="0"/>
              <w:rPr>
                <w:sz w:val="8"/>
                <w:szCs w:val="8"/>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5"/>
              </w:rPr>
              <w:t>12/31/2014</w:t>
            </w:r>
          </w:p>
        </w:tc>
        <w:tc>
          <w:tcPr>
            <w:tcW w:w="120" w:type="dxa"/>
            <w:vAlign w:val="bottom"/>
          </w:tcPr>
          <w:p>
            <w:pPr>
              <w:spacing w:after="0"/>
              <w:rPr>
                <w:sz w:val="8"/>
                <w:szCs w:val="8"/>
                <w:color w:val="auto"/>
              </w:rPr>
            </w:pPr>
          </w:p>
        </w:tc>
        <w:tc>
          <w:tcPr>
            <w:tcW w:w="1420" w:type="dxa"/>
            <w:vAlign w:val="bottom"/>
            <w:gridSpan w:val="3"/>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520" w:type="dxa"/>
            <w:vAlign w:val="bottom"/>
            <w:gridSpan w:val="3"/>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520" w:type="dxa"/>
            <w:vAlign w:val="bottom"/>
            <w:gridSpan w:val="3"/>
            <w:vMerge w:val="restart"/>
            <w:shd w:val="clear" w:color="auto" w:fill="CCEEFF"/>
          </w:tcPr>
          <w:p>
            <w:pPr>
              <w:ind w:left="40"/>
              <w:spacing w:after="0"/>
              <w:rPr>
                <w:sz w:val="20"/>
                <w:szCs w:val="20"/>
                <w:color w:val="auto"/>
              </w:rPr>
            </w:pPr>
            <w:r>
              <w:rPr>
                <w:rFonts w:ascii="Arial" w:cs="Arial" w:eastAsia="Arial" w:hAnsi="Arial"/>
                <w:sz w:val="13"/>
                <w:szCs w:val="13"/>
                <w:color w:val="auto"/>
              </w:rPr>
              <w:t>Local 68 Engineers Union Pension Plan</w:t>
            </w:r>
          </w:p>
        </w:tc>
        <w:tc>
          <w:tcPr>
            <w:tcW w:w="10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6"/>
              </w:rPr>
              <w:t>51-0176618 /</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100"/>
              <w:spacing w:after="0" w:line="148" w:lineRule="exact"/>
              <w:rPr>
                <w:sz w:val="20"/>
                <w:szCs w:val="20"/>
                <w:color w:val="auto"/>
              </w:rPr>
            </w:pPr>
            <w:r>
              <w:rPr>
                <w:rFonts w:ascii="Arial" w:cs="Arial" w:eastAsia="Arial" w:hAnsi="Arial"/>
                <w:sz w:val="13"/>
                <w:szCs w:val="13"/>
                <w:color w:val="auto"/>
                <w:w w:val="93"/>
              </w:rPr>
              <w:t>Green</w:t>
            </w:r>
          </w:p>
        </w:tc>
        <w:tc>
          <w:tcPr>
            <w:tcW w:w="1040" w:type="dxa"/>
            <w:vAlign w:val="bottom"/>
            <w:gridSpan w:val="2"/>
            <w:shd w:val="clear" w:color="auto" w:fill="CCEEFF"/>
          </w:tcPr>
          <w:p>
            <w:pPr>
              <w:jc w:val="center"/>
              <w:ind w:right="120"/>
              <w:spacing w:after="0" w:line="148" w:lineRule="exact"/>
              <w:rPr>
                <w:sz w:val="20"/>
                <w:szCs w:val="20"/>
                <w:color w:val="auto"/>
              </w:rPr>
            </w:pPr>
            <w:r>
              <w:rPr>
                <w:rFonts w:ascii="Arial" w:cs="Arial" w:eastAsia="Arial" w:hAnsi="Arial"/>
                <w:sz w:val="13"/>
                <w:szCs w:val="13"/>
                <w:color w:val="auto"/>
                <w:w w:val="93"/>
              </w:rPr>
              <w:t>Yellow</w:t>
            </w:r>
          </w:p>
        </w:tc>
        <w:tc>
          <w:tcPr>
            <w:tcW w:w="1420" w:type="dxa"/>
            <w:vAlign w:val="bottom"/>
            <w:gridSpan w:val="3"/>
            <w:vMerge w:val="restart"/>
            <w:shd w:val="clear" w:color="auto" w:fill="CCEEFF"/>
          </w:tcPr>
          <w:p>
            <w:pPr>
              <w:jc w:val="center"/>
              <w:ind w:right="240"/>
              <w:spacing w:after="0"/>
              <w:rPr>
                <w:sz w:val="20"/>
                <w:szCs w:val="20"/>
                <w:color w:val="auto"/>
              </w:rPr>
            </w:pPr>
            <w:r>
              <w:rPr>
                <w:rFonts w:ascii="Arial" w:cs="Arial" w:eastAsia="Arial" w:hAnsi="Arial"/>
                <w:sz w:val="13"/>
                <w:szCs w:val="13"/>
                <w:color w:val="auto"/>
                <w:w w:val="97"/>
              </w:rPr>
              <w:t>N/A*</w:t>
            </w:r>
          </w:p>
        </w:tc>
        <w:tc>
          <w:tcPr>
            <w:tcW w:w="56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97"/>
              </w:rPr>
              <w:t>N/A*</w:t>
            </w:r>
          </w:p>
        </w:tc>
        <w:tc>
          <w:tcPr>
            <w:tcW w:w="10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6"/>
              </w:rPr>
              <w:t>8/31/2018</w:t>
            </w:r>
          </w:p>
        </w:tc>
        <w:tc>
          <w:tcPr>
            <w:tcW w:w="0" w:type="dxa"/>
            <w:vAlign w:val="bottom"/>
          </w:tcPr>
          <w:p>
            <w:pPr>
              <w:spacing w:after="0"/>
              <w:rPr>
                <w:sz w:val="1"/>
                <w:szCs w:val="1"/>
                <w:color w:val="auto"/>
              </w:rPr>
            </w:pPr>
          </w:p>
        </w:tc>
      </w:tr>
      <w:tr>
        <w:trPr>
          <w:trHeight w:val="103"/>
        </w:trPr>
        <w:tc>
          <w:tcPr>
            <w:tcW w:w="2520" w:type="dxa"/>
            <w:vAlign w:val="bottom"/>
            <w:gridSpan w:val="3"/>
            <w:vMerge w:val="continue"/>
            <w:shd w:val="clear" w:color="auto" w:fill="CCEEFF"/>
          </w:tcPr>
          <w:p>
            <w:pPr>
              <w:spacing w:after="0"/>
              <w:rPr>
                <w:sz w:val="8"/>
                <w:szCs w:val="8"/>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001</w:t>
            </w:r>
          </w:p>
        </w:tc>
        <w:tc>
          <w:tcPr>
            <w:tcW w:w="120" w:type="dxa"/>
            <w:vAlign w:val="bottom"/>
            <w:shd w:val="clear" w:color="auto" w:fill="CCEEFF"/>
          </w:tcPr>
          <w:p>
            <w:pPr>
              <w:spacing w:after="0"/>
              <w:rPr>
                <w:sz w:val="8"/>
                <w:szCs w:val="8"/>
                <w:color w:val="auto"/>
              </w:rPr>
            </w:pP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6"/>
              </w:rPr>
              <w:t>6/30/2015</w:t>
            </w:r>
          </w:p>
        </w:tc>
        <w:tc>
          <w:tcPr>
            <w:tcW w:w="120" w:type="dxa"/>
            <w:vAlign w:val="bottom"/>
            <w:shd w:val="clear" w:color="auto" w:fill="CCEEFF"/>
          </w:tcPr>
          <w:p>
            <w:pPr>
              <w:spacing w:after="0"/>
              <w:rPr>
                <w:sz w:val="8"/>
                <w:szCs w:val="8"/>
                <w:color w:val="auto"/>
              </w:rPr>
            </w:pP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6"/>
              </w:rPr>
              <w:t>6/30/2014</w:t>
            </w:r>
          </w:p>
        </w:tc>
        <w:tc>
          <w:tcPr>
            <w:tcW w:w="120" w:type="dxa"/>
            <w:vAlign w:val="bottom"/>
            <w:shd w:val="clear" w:color="auto" w:fill="CCEEFF"/>
          </w:tcPr>
          <w:p>
            <w:pPr>
              <w:spacing w:after="0"/>
              <w:rPr>
                <w:sz w:val="8"/>
                <w:szCs w:val="8"/>
                <w:color w:val="auto"/>
              </w:rPr>
            </w:pPr>
          </w:p>
        </w:tc>
        <w:tc>
          <w:tcPr>
            <w:tcW w:w="1420" w:type="dxa"/>
            <w:vAlign w:val="bottom"/>
            <w:gridSpan w:val="3"/>
            <w:vMerge w:val="continue"/>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3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20" w:type="dxa"/>
            <w:vAlign w:val="bottom"/>
            <w:gridSpan w:val="2"/>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10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520" w:type="dxa"/>
            <w:vAlign w:val="bottom"/>
            <w:gridSpan w:val="3"/>
          </w:tcPr>
          <w:p>
            <w:pPr>
              <w:ind w:left="40"/>
              <w:spacing w:after="0" w:line="140" w:lineRule="exact"/>
              <w:rPr>
                <w:sz w:val="20"/>
                <w:szCs w:val="20"/>
                <w:color w:val="auto"/>
              </w:rPr>
            </w:pPr>
            <w:r>
              <w:rPr>
                <w:rFonts w:ascii="Arial" w:cs="Arial" w:eastAsia="Arial" w:hAnsi="Arial"/>
                <w:sz w:val="13"/>
                <w:szCs w:val="13"/>
                <w:color w:val="auto"/>
              </w:rPr>
              <w:t>Service Employees International Union</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96"/>
              </w:rPr>
              <w:t>23-6546776 /</w:t>
            </w:r>
          </w:p>
        </w:tc>
        <w:tc>
          <w:tcPr>
            <w:tcW w:w="120" w:type="dxa"/>
            <w:vAlign w:val="bottom"/>
          </w:tcPr>
          <w:p>
            <w:pPr>
              <w:spacing w:after="0"/>
              <w:rPr>
                <w:sz w:val="12"/>
                <w:szCs w:val="12"/>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3"/>
              </w:rPr>
              <w:t>Green</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93"/>
              </w:rPr>
              <w:t>Yellow</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520" w:type="dxa"/>
            <w:vAlign w:val="bottom"/>
            <w:gridSpan w:val="3"/>
            <w:vMerge w:val="restart"/>
          </w:tcPr>
          <w:p>
            <w:pPr>
              <w:ind w:left="40"/>
              <w:spacing w:after="0" w:line="135" w:lineRule="exact"/>
              <w:rPr>
                <w:sz w:val="20"/>
                <w:szCs w:val="20"/>
                <w:color w:val="auto"/>
              </w:rPr>
            </w:pPr>
            <w:r>
              <w:rPr>
                <w:rFonts w:ascii="Arial" w:cs="Arial" w:eastAsia="Arial" w:hAnsi="Arial"/>
                <w:sz w:val="13"/>
                <w:szCs w:val="13"/>
                <w:color w:val="auto"/>
              </w:rPr>
              <w:t>Local 32BJ, District 36 Building Operators</w:t>
            </w: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420" w:type="dxa"/>
            <w:vAlign w:val="bottom"/>
            <w:gridSpan w:val="3"/>
            <w:vMerge w:val="restart"/>
          </w:tcPr>
          <w:p>
            <w:pPr>
              <w:jc w:val="center"/>
              <w:ind w:right="240"/>
              <w:spacing w:after="0" w:line="135" w:lineRule="exact"/>
              <w:rPr>
                <w:sz w:val="20"/>
                <w:szCs w:val="20"/>
                <w:color w:val="auto"/>
              </w:rPr>
            </w:pPr>
            <w:r>
              <w:rPr>
                <w:rFonts w:ascii="Arial" w:cs="Arial" w:eastAsia="Arial" w:hAnsi="Arial"/>
                <w:sz w:val="13"/>
                <w:szCs w:val="13"/>
                <w:color w:val="auto"/>
                <w:w w:val="97"/>
              </w:rPr>
              <w:t>N/A*</w:t>
            </w:r>
          </w:p>
        </w:tc>
        <w:tc>
          <w:tcPr>
            <w:tcW w:w="560" w:type="dxa"/>
            <w:vAlign w:val="bottom"/>
            <w:vMerge w:val="restart"/>
          </w:tcPr>
          <w:p>
            <w:pPr>
              <w:jc w:val="right"/>
              <w:ind w:right="56"/>
              <w:spacing w:after="0" w:line="135" w:lineRule="exact"/>
              <w:rPr>
                <w:sz w:val="20"/>
                <w:szCs w:val="20"/>
                <w:color w:val="auto"/>
              </w:rPr>
            </w:pPr>
            <w:r>
              <w:rPr>
                <w:rFonts w:ascii="Arial" w:cs="Arial" w:eastAsia="Arial" w:hAnsi="Arial"/>
                <w:sz w:val="13"/>
                <w:szCs w:val="13"/>
                <w:color w:val="auto"/>
              </w:rPr>
              <w:t>1.1</w:t>
            </w:r>
          </w:p>
        </w:tc>
        <w:tc>
          <w:tcPr>
            <w:tcW w:w="120" w:type="dxa"/>
            <w:vAlign w:val="bottom"/>
          </w:tcPr>
          <w:p>
            <w:pPr>
              <w:spacing w:after="0"/>
              <w:rPr>
                <w:sz w:val="5"/>
                <w:szCs w:val="5"/>
                <w:color w:val="auto"/>
              </w:rPr>
            </w:pPr>
          </w:p>
        </w:tc>
        <w:tc>
          <w:tcPr>
            <w:tcW w:w="660" w:type="dxa"/>
            <w:vAlign w:val="bottom"/>
            <w:vMerge w:val="restart"/>
          </w:tcPr>
          <w:p>
            <w:pPr>
              <w:jc w:val="right"/>
              <w:ind w:right="37"/>
              <w:spacing w:after="0" w:line="135" w:lineRule="exact"/>
              <w:rPr>
                <w:sz w:val="20"/>
                <w:szCs w:val="20"/>
                <w:color w:val="auto"/>
              </w:rPr>
            </w:pPr>
            <w:r>
              <w:rPr>
                <w:rFonts w:ascii="Arial" w:cs="Arial" w:eastAsia="Arial" w:hAnsi="Arial"/>
                <w:sz w:val="13"/>
                <w:szCs w:val="13"/>
                <w:color w:val="auto"/>
              </w:rPr>
              <w:t>1.4</w:t>
            </w: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vMerge w:val="restart"/>
          </w:tcPr>
          <w:p>
            <w:pPr>
              <w:jc w:val="right"/>
              <w:ind w:right="57"/>
              <w:spacing w:after="0" w:line="135" w:lineRule="exact"/>
              <w:rPr>
                <w:sz w:val="20"/>
                <w:szCs w:val="20"/>
                <w:color w:val="auto"/>
              </w:rPr>
            </w:pPr>
            <w:r>
              <w:rPr>
                <w:rFonts w:ascii="Arial" w:cs="Arial" w:eastAsia="Arial" w:hAnsi="Arial"/>
                <w:sz w:val="13"/>
                <w:szCs w:val="13"/>
                <w:color w:val="auto"/>
              </w:rPr>
              <w:t>1.6</w:t>
            </w:r>
          </w:p>
        </w:tc>
        <w:tc>
          <w:tcPr>
            <w:tcW w:w="100" w:type="dxa"/>
            <w:vAlign w:val="bottom"/>
          </w:tcPr>
          <w:p>
            <w:pPr>
              <w:spacing w:after="0"/>
              <w:rPr>
                <w:sz w:val="5"/>
                <w:szCs w:val="5"/>
                <w:color w:val="auto"/>
              </w:rPr>
            </w:pPr>
          </w:p>
        </w:tc>
        <w:tc>
          <w:tcPr>
            <w:tcW w:w="102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color w:val="auto"/>
                <w:w w:val="97"/>
              </w:rPr>
              <w:t>N/A*</w:t>
            </w:r>
          </w:p>
        </w:tc>
        <w:tc>
          <w:tcPr>
            <w:tcW w:w="10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8"/>
              </w:rPr>
              <w:t>10/15/2019</w:t>
            </w:r>
          </w:p>
        </w:tc>
        <w:tc>
          <w:tcPr>
            <w:tcW w:w="0" w:type="dxa"/>
            <w:vAlign w:val="bottom"/>
          </w:tcPr>
          <w:p>
            <w:pPr>
              <w:spacing w:after="0"/>
              <w:rPr>
                <w:sz w:val="1"/>
                <w:szCs w:val="1"/>
                <w:color w:val="auto"/>
              </w:rPr>
            </w:pPr>
          </w:p>
        </w:tc>
      </w:tr>
      <w:tr>
        <w:trPr>
          <w:trHeight w:val="68"/>
        </w:trPr>
        <w:tc>
          <w:tcPr>
            <w:tcW w:w="2520" w:type="dxa"/>
            <w:vAlign w:val="bottom"/>
            <w:gridSpan w:val="3"/>
            <w:vMerge w:val="continue"/>
          </w:tcPr>
          <w:p>
            <w:pPr>
              <w:spacing w:after="0"/>
              <w:rPr>
                <w:sz w:val="5"/>
                <w:szCs w:val="5"/>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5"/>
                <w:szCs w:val="5"/>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5"/>
              </w:rPr>
              <w:t>12/31/2015</w:t>
            </w:r>
          </w:p>
        </w:tc>
        <w:tc>
          <w:tcPr>
            <w:tcW w:w="120" w:type="dxa"/>
            <w:vAlign w:val="bottom"/>
          </w:tcPr>
          <w:p>
            <w:pPr>
              <w:spacing w:after="0"/>
              <w:rPr>
                <w:sz w:val="5"/>
                <w:szCs w:val="5"/>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5"/>
              </w:rPr>
              <w:t>12/31/2014</w:t>
            </w:r>
          </w:p>
        </w:tc>
        <w:tc>
          <w:tcPr>
            <w:tcW w:w="120" w:type="dxa"/>
            <w:vAlign w:val="bottom"/>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520" w:type="dxa"/>
            <w:vAlign w:val="bottom"/>
            <w:gridSpan w:val="3"/>
            <w:vMerge w:val="restart"/>
          </w:tcPr>
          <w:p>
            <w:pPr>
              <w:ind w:left="40"/>
              <w:spacing w:after="0"/>
              <w:rPr>
                <w:sz w:val="20"/>
                <w:szCs w:val="20"/>
                <w:color w:val="auto"/>
              </w:rPr>
            </w:pPr>
            <w:r>
              <w:rPr>
                <w:rFonts w:ascii="Arial" w:cs="Arial" w:eastAsia="Arial" w:hAnsi="Arial"/>
                <w:sz w:val="13"/>
                <w:szCs w:val="13"/>
                <w:color w:val="auto"/>
              </w:rPr>
              <w:t>Pension Trust Fund</w:t>
            </w:r>
          </w:p>
        </w:tc>
        <w:tc>
          <w:tcPr>
            <w:tcW w:w="10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52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2520" w:type="dxa"/>
            <w:vAlign w:val="bottom"/>
            <w:gridSpan w:val="3"/>
            <w:shd w:val="clear" w:color="auto" w:fill="CCEEFF"/>
          </w:tcPr>
          <w:p>
            <w:pPr>
              <w:ind w:left="40"/>
              <w:spacing w:after="0"/>
              <w:rPr>
                <w:sz w:val="20"/>
                <w:szCs w:val="20"/>
                <w:color w:val="auto"/>
              </w:rPr>
            </w:pPr>
            <w:r>
              <w:rPr>
                <w:rFonts w:ascii="Arial" w:cs="Arial" w:eastAsia="Arial" w:hAnsi="Arial"/>
                <w:sz w:val="13"/>
                <w:szCs w:val="13"/>
                <w:i w:val="1"/>
                <w:iCs w:val="1"/>
                <w:color w:val="auto"/>
              </w:rPr>
              <w:t>All Other Plans:</w:t>
            </w: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9.2</w:t>
            </w:r>
          </w:p>
        </w:tc>
        <w:tc>
          <w:tcPr>
            <w:tcW w:w="12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11.1</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94"/>
              </w:rPr>
              <w:t>10.9</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520" w:type="dxa"/>
            <w:vAlign w:val="bottom"/>
            <w:gridSpan w:val="3"/>
          </w:tcPr>
          <w:p>
            <w:pPr>
              <w:ind w:left="40"/>
              <w:spacing w:after="0"/>
              <w:rPr>
                <w:sz w:val="20"/>
                <w:szCs w:val="20"/>
                <w:color w:val="auto"/>
              </w:rPr>
            </w:pPr>
            <w:r>
              <w:rPr>
                <w:rFonts w:ascii="Arial" w:cs="Arial" w:eastAsia="Arial" w:hAnsi="Arial"/>
                <w:sz w:val="13"/>
                <w:szCs w:val="13"/>
                <w:b w:val="1"/>
                <w:bCs w:val="1"/>
                <w:color w:val="auto"/>
              </w:rPr>
              <w:t>Total Contributions</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56"/>
              <w:spacing w:after="0"/>
              <w:rPr>
                <w:sz w:val="20"/>
                <w:szCs w:val="20"/>
                <w:color w:val="auto"/>
              </w:rPr>
            </w:pPr>
            <w:r>
              <w:rPr>
                <w:rFonts w:ascii="Arial" w:cs="Arial" w:eastAsia="Arial" w:hAnsi="Arial"/>
                <w:sz w:val="13"/>
                <w:szCs w:val="13"/>
                <w:b w:val="1"/>
                <w:bCs w:val="1"/>
                <w:color w:val="auto"/>
              </w:rPr>
              <w:t>59.3</w:t>
            </w:r>
          </w:p>
        </w:tc>
        <w:tc>
          <w:tcPr>
            <w:tcW w:w="120" w:type="dxa"/>
            <w:vAlign w:val="bottom"/>
          </w:tcPr>
          <w:p>
            <w:pPr>
              <w:spacing w:after="0"/>
              <w:rPr>
                <w:sz w:val="21"/>
                <w:szCs w:val="21"/>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b w:val="1"/>
                <w:bCs w:val="1"/>
                <w:color w:val="auto"/>
              </w:rPr>
              <w:t>$   58.5</w:t>
            </w:r>
          </w:p>
        </w:tc>
        <w:tc>
          <w:tcPr>
            <w:tcW w:w="120" w:type="dxa"/>
            <w:vAlign w:val="bottom"/>
          </w:tcPr>
          <w:p>
            <w:pPr>
              <w:spacing w:after="0"/>
              <w:rPr>
                <w:sz w:val="21"/>
                <w:szCs w:val="21"/>
                <w:color w:val="auto"/>
              </w:rPr>
            </w:pPr>
          </w:p>
        </w:tc>
        <w:tc>
          <w:tcPr>
            <w:tcW w:w="280" w:type="dxa"/>
            <w:vAlign w:val="bottom"/>
          </w:tcPr>
          <w:p>
            <w:pPr>
              <w:jc w:val="right"/>
              <w:ind w:right="135"/>
              <w:spacing w:after="0"/>
              <w:rPr>
                <w:sz w:val="20"/>
                <w:szCs w:val="20"/>
                <w:color w:val="auto"/>
              </w:rPr>
            </w:pPr>
            <w:r>
              <w:rPr>
                <w:rFonts w:ascii="Arial" w:cs="Arial" w:eastAsia="Arial" w:hAnsi="Arial"/>
                <w:sz w:val="13"/>
                <w:szCs w:val="13"/>
                <w:b w:val="1"/>
                <w:bCs w:val="1"/>
                <w:color w:val="auto"/>
                <w:w w:val="82"/>
              </w:rPr>
              <w:t>$</w:t>
            </w:r>
          </w:p>
        </w:tc>
        <w:tc>
          <w:tcPr>
            <w:tcW w:w="380" w:type="dxa"/>
            <w:vAlign w:val="bottom"/>
          </w:tcPr>
          <w:p>
            <w:pPr>
              <w:jc w:val="right"/>
              <w:ind w:right="57"/>
              <w:spacing w:after="0"/>
              <w:rPr>
                <w:sz w:val="20"/>
                <w:szCs w:val="20"/>
                <w:color w:val="auto"/>
              </w:rPr>
            </w:pPr>
            <w:r>
              <w:rPr>
                <w:rFonts w:ascii="Arial" w:cs="Arial" w:eastAsia="Arial" w:hAnsi="Arial"/>
                <w:sz w:val="13"/>
                <w:szCs w:val="13"/>
                <w:b w:val="1"/>
                <w:bCs w:val="1"/>
                <w:color w:val="auto"/>
                <w:w w:val="94"/>
              </w:rPr>
              <w:t>56.7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3"/>
          <w:szCs w:val="13"/>
          <w:color w:val="auto"/>
        </w:rPr>
        <w:t>*</w:t>
        <w:tab/>
        <w:t>Not applicable</w:t>
      </w:r>
    </w:p>
    <w:p>
      <w:pPr>
        <w:spacing w:after="0" w:line="179" w:lineRule="exact"/>
        <w:rPr>
          <w:sz w:val="20"/>
          <w:szCs w:val="20"/>
          <w:color w:val="auto"/>
        </w:rPr>
      </w:pPr>
    </w:p>
    <w:p>
      <w:pPr>
        <w:ind w:right="20" w:firstLine="8"/>
        <w:spacing w:after="0" w:line="299" w:lineRule="auto"/>
        <w:tabs>
          <w:tab w:leader="none" w:pos="162"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To determine individually significant plans, we evaluated several factors, including our total contributions to the plan, our significance to the plan in terms of participating employees and contributions, and the funded status of the plan.</w:t>
      </w:r>
    </w:p>
    <w:p>
      <w:pPr>
        <w:spacing w:after="0" w:line="81" w:lineRule="exact"/>
        <w:rPr>
          <w:rFonts w:ascii="Arial" w:cs="Arial" w:eastAsia="Arial" w:hAnsi="Arial"/>
          <w:sz w:val="18"/>
          <w:szCs w:val="18"/>
          <w:color w:val="auto"/>
          <w:vertAlign w:val="superscript"/>
        </w:rPr>
      </w:pPr>
    </w:p>
    <w:p>
      <w:pPr>
        <w:ind w:firstLine="8"/>
        <w:spacing w:after="0" w:line="223" w:lineRule="auto"/>
        <w:tabs>
          <w:tab w:leader="none" w:pos="191" w:val="left"/>
        </w:tabs>
        <w:numPr>
          <w:ilvl w:val="0"/>
          <w:numId w:val="34"/>
        </w:numPr>
        <w:rPr>
          <w:rFonts w:ascii="Arial" w:cs="Arial" w:eastAsia="Arial" w:hAnsi="Arial"/>
          <w:sz w:val="22"/>
          <w:szCs w:val="22"/>
          <w:color w:val="auto"/>
          <w:vertAlign w:val="superscript"/>
        </w:rPr>
      </w:pPr>
      <w:r>
        <w:rPr>
          <w:rFonts w:ascii="Arial" w:cs="Arial" w:eastAsia="Arial" w:hAnsi="Arial"/>
          <w:sz w:val="16"/>
          <w:szCs w:val="16"/>
          <w:color w:val="auto"/>
        </w:rPr>
        <w:t>The “EIN/PN” column provides the Employer Identification Number and the three-digit plan number assigned to the plan by the Internal Revenue Service (“IRS”).</w:t>
      </w:r>
    </w:p>
    <w:p>
      <w:pPr>
        <w:spacing w:after="0" w:line="134" w:lineRule="exact"/>
        <w:rPr>
          <w:rFonts w:ascii="Arial" w:cs="Arial" w:eastAsia="Arial" w:hAnsi="Arial"/>
          <w:sz w:val="22"/>
          <w:szCs w:val="22"/>
          <w:color w:val="auto"/>
          <w:vertAlign w:val="superscript"/>
        </w:rPr>
      </w:pPr>
    </w:p>
    <w:p>
      <w:pPr>
        <w:jc w:val="both"/>
        <w:ind w:firstLine="8"/>
        <w:spacing w:after="0" w:line="230" w:lineRule="auto"/>
        <w:tabs>
          <w:tab w:leader="none" w:pos="193" w:val="left"/>
        </w:tabs>
        <w:numPr>
          <w:ilvl w:val="0"/>
          <w:numId w:val="34"/>
        </w:numPr>
        <w:rPr>
          <w:rFonts w:ascii="Arial" w:cs="Arial" w:eastAsia="Arial" w:hAnsi="Arial"/>
          <w:sz w:val="22"/>
          <w:szCs w:val="22"/>
          <w:color w:val="auto"/>
          <w:vertAlign w:val="superscript"/>
        </w:rPr>
      </w:pPr>
      <w:r>
        <w:rPr>
          <w:rFonts w:ascii="Arial" w:cs="Arial" w:eastAsia="Arial" w:hAnsi="Arial"/>
          <w:sz w:val="16"/>
          <w:szCs w:val="16"/>
          <w:color w:val="auto"/>
        </w:rPr>
        <w:t>The Pension Protection Act Zone Status columns provide the two most recent Pension Protection Act zone statuses available from each plan. The zone status is based on information provided to us and other participating employers and is certified by each plan’s actuary. Among other factors, plans in the red zone are generally less than 65% funded, plans in the yellow zone are less than 80% funded, and plans in the green zone are at least 80% funded.</w:t>
      </w:r>
    </w:p>
    <w:p>
      <w:pPr>
        <w:spacing w:after="0" w:line="111" w:lineRule="exact"/>
        <w:rPr>
          <w:rFonts w:ascii="Arial" w:cs="Arial" w:eastAsia="Arial" w:hAnsi="Arial"/>
          <w:sz w:val="22"/>
          <w:szCs w:val="22"/>
          <w:color w:val="auto"/>
          <w:vertAlign w:val="superscript"/>
        </w:rPr>
      </w:pPr>
    </w:p>
    <w:p>
      <w:pPr>
        <w:ind w:left="180" w:hanging="172"/>
        <w:spacing w:after="0"/>
        <w:tabs>
          <w:tab w:leader="none" w:pos="180" w:val="left"/>
        </w:tabs>
        <w:numPr>
          <w:ilvl w:val="0"/>
          <w:numId w:val="34"/>
        </w:numPr>
        <w:rPr>
          <w:rFonts w:ascii="Arial" w:cs="Arial" w:eastAsia="Arial" w:hAnsi="Arial"/>
          <w:sz w:val="21"/>
          <w:szCs w:val="21"/>
          <w:color w:val="auto"/>
          <w:vertAlign w:val="superscript"/>
        </w:rPr>
      </w:pPr>
      <w:r>
        <w:rPr>
          <w:rFonts w:ascii="Arial" w:cs="Arial" w:eastAsia="Arial" w:hAnsi="Arial"/>
          <w:sz w:val="15"/>
          <w:szCs w:val="15"/>
          <w:color w:val="auto"/>
        </w:rPr>
        <w:t>Indicates whether a Financial Improvement Plan (“FIP”) for yellow zone plans or a Rehabilitation Plan (“RP”) for red zone plans is pending or implemented.</w:t>
      </w:r>
    </w:p>
    <w:p>
      <w:pPr>
        <w:spacing w:after="0" w:line="132" w:lineRule="exact"/>
        <w:rPr>
          <w:rFonts w:ascii="Arial" w:cs="Arial" w:eastAsia="Arial" w:hAnsi="Arial"/>
          <w:sz w:val="21"/>
          <w:szCs w:val="21"/>
          <w:color w:val="auto"/>
          <w:vertAlign w:val="superscript"/>
        </w:rPr>
      </w:pPr>
    </w:p>
    <w:p>
      <w:pPr>
        <w:ind w:firstLine="8"/>
        <w:spacing w:after="0" w:line="223" w:lineRule="auto"/>
        <w:tabs>
          <w:tab w:leader="none" w:pos="202" w:val="left"/>
        </w:tabs>
        <w:numPr>
          <w:ilvl w:val="0"/>
          <w:numId w:val="34"/>
        </w:numPr>
        <w:rPr>
          <w:rFonts w:ascii="Arial" w:cs="Arial" w:eastAsia="Arial" w:hAnsi="Arial"/>
          <w:sz w:val="22"/>
          <w:szCs w:val="22"/>
          <w:color w:val="auto"/>
          <w:vertAlign w:val="superscript"/>
        </w:rPr>
      </w:pPr>
      <w:r>
        <w:rPr>
          <w:rFonts w:ascii="Arial" w:cs="Arial" w:eastAsia="Arial" w:hAnsi="Arial"/>
          <w:sz w:val="16"/>
          <w:szCs w:val="16"/>
          <w:color w:val="auto"/>
        </w:rPr>
        <w:t>Indicates whether our contribution rate in 2016 included an amount in addition to the contribution rate specified in the applicable collective bargaining agreement as imposed by a plan in the red zone.</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522"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i w:val="1"/>
          <w:iCs w:val="1"/>
          <w:color w:val="auto"/>
        </w:rPr>
        <w:t>Multiemployer Pension Plans for which ABM is a Significant Contributor</w:t>
      </w: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rPr>
              <w:t>Contributions to the plan exceeded more than 5% of total contributions</w:t>
            </w:r>
          </w:p>
        </w:tc>
        <w:tc>
          <w:tcPr>
            <w:tcW w:w="0" w:type="dxa"/>
            <w:vAlign w:val="bottom"/>
          </w:tcPr>
          <w:p>
            <w:pPr>
              <w:spacing w:after="0"/>
              <w:rPr>
                <w:sz w:val="1"/>
                <w:szCs w:val="1"/>
                <w:color w:val="auto"/>
              </w:rPr>
            </w:pPr>
          </w:p>
        </w:tc>
      </w:tr>
      <w:tr>
        <w:trPr>
          <w:trHeight w:val="202"/>
        </w:trPr>
        <w:tc>
          <w:tcPr>
            <w:tcW w:w="6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rPr>
              <w:t>per most currently available Forms 5500</w:t>
            </w:r>
          </w:p>
        </w:tc>
        <w:tc>
          <w:tcPr>
            <w:tcW w:w="0" w:type="dxa"/>
            <w:vAlign w:val="bottom"/>
          </w:tcPr>
          <w:p>
            <w:pPr>
              <w:spacing w:after="0"/>
              <w:rPr>
                <w:sz w:val="1"/>
                <w:szCs w:val="1"/>
                <w:color w:val="auto"/>
              </w:rPr>
            </w:pPr>
          </w:p>
        </w:tc>
      </w:tr>
      <w:tr>
        <w:trPr>
          <w:trHeight w:val="271"/>
        </w:trPr>
        <w:tc>
          <w:tcPr>
            <w:tcW w:w="6160" w:type="dxa"/>
            <w:vAlign w:val="bottom"/>
            <w:tcBorders>
              <w:bottom w:val="single" w:sz="8" w:color="auto"/>
            </w:tcBorders>
          </w:tcPr>
          <w:p>
            <w:pPr>
              <w:ind w:left="2600"/>
              <w:spacing w:after="0"/>
              <w:rPr>
                <w:sz w:val="20"/>
                <w:szCs w:val="20"/>
                <w:color w:val="auto"/>
              </w:rPr>
            </w:pPr>
            <w:r>
              <w:rPr>
                <w:rFonts w:ascii="Arial" w:cs="Arial" w:eastAsia="Arial" w:hAnsi="Arial"/>
                <w:sz w:val="14"/>
                <w:szCs w:val="14"/>
                <w:b w:val="1"/>
                <w:bCs w:val="1"/>
                <w:color w:val="auto"/>
              </w:rPr>
              <w:t>Pension Fund</w:t>
            </w:r>
          </w:p>
        </w:tc>
        <w:tc>
          <w:tcPr>
            <w:tcW w:w="120" w:type="dxa"/>
            <w:vAlign w:val="bottom"/>
            <w:tcBorders>
              <w:bottom w:val="single" w:sz="8" w:color="CCEEFF"/>
            </w:tcBorders>
          </w:tcPr>
          <w:p>
            <w:pPr>
              <w:spacing w:after="0"/>
              <w:rPr>
                <w:sz w:val="23"/>
                <w:szCs w:val="23"/>
                <w:color w:val="auto"/>
              </w:rPr>
            </w:pPr>
          </w:p>
        </w:tc>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(as of the Plan’s year end)</w:t>
            </w:r>
          </w:p>
        </w:tc>
        <w:tc>
          <w:tcPr>
            <w:tcW w:w="0" w:type="dxa"/>
            <w:vAlign w:val="bottom"/>
          </w:tcPr>
          <w:p>
            <w:pPr>
              <w:spacing w:after="0"/>
              <w:rPr>
                <w:sz w:val="1"/>
                <w:szCs w:val="1"/>
                <w:color w:val="auto"/>
              </w:rPr>
            </w:pPr>
          </w:p>
        </w:tc>
      </w:tr>
      <w:tr>
        <w:trPr>
          <w:trHeight w:val="251"/>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AZ Sheet Metal Pension Trust Fund*</w:t>
            </w:r>
          </w:p>
        </w:tc>
        <w:tc>
          <w:tcPr>
            <w:tcW w:w="5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6/30/2015 and 6/30/2014</w:t>
            </w:r>
          </w:p>
        </w:tc>
        <w:tc>
          <w:tcPr>
            <w:tcW w:w="0" w:type="dxa"/>
            <w:vAlign w:val="bottom"/>
          </w:tcPr>
          <w:p>
            <w:pPr>
              <w:spacing w:after="0"/>
              <w:rPr>
                <w:sz w:val="1"/>
                <w:szCs w:val="1"/>
                <w:color w:val="auto"/>
              </w:rPr>
            </w:pPr>
          </w:p>
        </w:tc>
      </w:tr>
      <w:tr>
        <w:trPr>
          <w:trHeight w:val="266"/>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Building Service 32BJ Pension Fund</w:t>
            </w:r>
          </w:p>
        </w:tc>
        <w:tc>
          <w:tcPr>
            <w:tcW w:w="5120" w:type="dxa"/>
            <w:vAlign w:val="bottom"/>
          </w:tcPr>
          <w:p>
            <w:pPr>
              <w:jc w:val="center"/>
              <w:spacing w:after="0"/>
              <w:rPr>
                <w:sz w:val="20"/>
                <w:szCs w:val="20"/>
                <w:color w:val="auto"/>
              </w:rPr>
            </w:pPr>
            <w:r>
              <w:rPr>
                <w:rFonts w:ascii="Arial" w:cs="Arial" w:eastAsia="Arial" w:hAnsi="Arial"/>
                <w:sz w:val="14"/>
                <w:szCs w:val="14"/>
                <w:color w:val="auto"/>
              </w:rPr>
              <w:t>6/30/2015, 6/30/2014 and 6/30/2013</w:t>
            </w:r>
          </w:p>
        </w:tc>
        <w:tc>
          <w:tcPr>
            <w:tcW w:w="0" w:type="dxa"/>
            <w:vAlign w:val="bottom"/>
          </w:tcPr>
          <w:p>
            <w:pPr>
              <w:spacing w:after="0"/>
              <w:rPr>
                <w:sz w:val="1"/>
                <w:szCs w:val="1"/>
                <w:color w:val="auto"/>
              </w:rPr>
            </w:pPr>
          </w:p>
        </w:tc>
      </w:tr>
      <w:tr>
        <w:trPr>
          <w:trHeight w:val="274"/>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Building Service Pension Plan*</w:t>
            </w:r>
          </w:p>
        </w:tc>
        <w:tc>
          <w:tcPr>
            <w:tcW w:w="5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4/30/2015, 4/30/2014 and 4/30/2013</w:t>
            </w:r>
          </w:p>
        </w:tc>
        <w:tc>
          <w:tcPr>
            <w:tcW w:w="0" w:type="dxa"/>
            <w:vAlign w:val="bottom"/>
          </w:tcPr>
          <w:p>
            <w:pPr>
              <w:spacing w:after="0"/>
              <w:rPr>
                <w:sz w:val="1"/>
                <w:szCs w:val="1"/>
                <w:color w:val="auto"/>
              </w:rPr>
            </w:pPr>
          </w:p>
        </w:tc>
      </w:tr>
      <w:tr>
        <w:trPr>
          <w:trHeight w:val="266"/>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Contract Cleaners Service Employees’ Pension Plan*</w:t>
            </w:r>
          </w:p>
        </w:tc>
        <w:tc>
          <w:tcPr>
            <w:tcW w:w="5120" w:type="dxa"/>
            <w:vAlign w:val="bottom"/>
          </w:tcPr>
          <w:p>
            <w:pPr>
              <w:jc w:val="center"/>
              <w:spacing w:after="0"/>
              <w:rPr>
                <w:sz w:val="20"/>
                <w:szCs w:val="20"/>
                <w:color w:val="auto"/>
              </w:rPr>
            </w:pPr>
            <w:r>
              <w:rPr>
                <w:rFonts w:ascii="Arial" w:cs="Arial" w:eastAsia="Arial" w:hAnsi="Arial"/>
                <w:sz w:val="14"/>
                <w:szCs w:val="14"/>
                <w:color w:val="auto"/>
              </w:rPr>
              <w:t>12/31/2015, 12/31/2014 and 12/31/2013</w:t>
            </w:r>
          </w:p>
        </w:tc>
        <w:tc>
          <w:tcPr>
            <w:tcW w:w="0" w:type="dxa"/>
            <w:vAlign w:val="bottom"/>
          </w:tcPr>
          <w:p>
            <w:pPr>
              <w:spacing w:after="0"/>
              <w:rPr>
                <w:sz w:val="1"/>
                <w:szCs w:val="1"/>
                <w:color w:val="auto"/>
              </w:rPr>
            </w:pPr>
          </w:p>
        </w:tc>
      </w:tr>
      <w:tr>
        <w:trPr>
          <w:trHeight w:val="274"/>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IUOE Stationary Engineers Local 39 Pension Plan</w:t>
            </w:r>
          </w:p>
        </w:tc>
        <w:tc>
          <w:tcPr>
            <w:tcW w:w="5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12/31/2014 and 12/31/2013</w:t>
            </w:r>
          </w:p>
        </w:tc>
        <w:tc>
          <w:tcPr>
            <w:tcW w:w="0" w:type="dxa"/>
            <w:vAlign w:val="bottom"/>
          </w:tcPr>
          <w:p>
            <w:pPr>
              <w:spacing w:after="0"/>
              <w:rPr>
                <w:sz w:val="1"/>
                <w:szCs w:val="1"/>
                <w:color w:val="auto"/>
              </w:rPr>
            </w:pPr>
          </w:p>
        </w:tc>
      </w:tr>
      <w:tr>
        <w:trPr>
          <w:trHeight w:val="266"/>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Local 210’s Pension Plan*</w:t>
            </w:r>
          </w:p>
        </w:tc>
        <w:tc>
          <w:tcPr>
            <w:tcW w:w="5120" w:type="dxa"/>
            <w:vAlign w:val="bottom"/>
          </w:tcPr>
          <w:p>
            <w:pPr>
              <w:jc w:val="center"/>
              <w:spacing w:after="0"/>
              <w:rPr>
                <w:sz w:val="20"/>
                <w:szCs w:val="20"/>
                <w:color w:val="auto"/>
              </w:rPr>
            </w:pPr>
            <w:r>
              <w:rPr>
                <w:rFonts w:ascii="Arial" w:cs="Arial" w:eastAsia="Arial" w:hAnsi="Arial"/>
                <w:sz w:val="14"/>
                <w:szCs w:val="14"/>
                <w:color w:val="auto"/>
              </w:rPr>
              <w:t>12/31/2015, 12/31/2014 and 12/31/2013</w:t>
            </w:r>
          </w:p>
        </w:tc>
        <w:tc>
          <w:tcPr>
            <w:tcW w:w="0" w:type="dxa"/>
            <w:vAlign w:val="bottom"/>
          </w:tcPr>
          <w:p>
            <w:pPr>
              <w:spacing w:after="0"/>
              <w:rPr>
                <w:sz w:val="1"/>
                <w:szCs w:val="1"/>
                <w:color w:val="auto"/>
              </w:rPr>
            </w:pPr>
          </w:p>
        </w:tc>
      </w:tr>
      <w:tr>
        <w:trPr>
          <w:trHeight w:val="274"/>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Local 25 SEIU &amp; Participating Employers Pension Trust</w:t>
            </w:r>
          </w:p>
        </w:tc>
        <w:tc>
          <w:tcPr>
            <w:tcW w:w="5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9/30/2015, 9/30/2014 and 9/30/2013</w:t>
            </w:r>
          </w:p>
        </w:tc>
        <w:tc>
          <w:tcPr>
            <w:tcW w:w="0" w:type="dxa"/>
            <w:vAlign w:val="bottom"/>
          </w:tcPr>
          <w:p>
            <w:pPr>
              <w:spacing w:after="0"/>
              <w:rPr>
                <w:sz w:val="1"/>
                <w:szCs w:val="1"/>
                <w:color w:val="auto"/>
              </w:rPr>
            </w:pPr>
          </w:p>
        </w:tc>
      </w:tr>
      <w:tr>
        <w:trPr>
          <w:trHeight w:val="266"/>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Massachusetts Service Employees Pension Plan*</w:t>
            </w:r>
          </w:p>
        </w:tc>
        <w:tc>
          <w:tcPr>
            <w:tcW w:w="5120" w:type="dxa"/>
            <w:vAlign w:val="bottom"/>
          </w:tcPr>
          <w:p>
            <w:pPr>
              <w:jc w:val="center"/>
              <w:spacing w:after="0"/>
              <w:rPr>
                <w:sz w:val="20"/>
                <w:szCs w:val="20"/>
                <w:color w:val="auto"/>
              </w:rPr>
            </w:pPr>
            <w:r>
              <w:rPr>
                <w:rFonts w:ascii="Arial" w:cs="Arial" w:eastAsia="Arial" w:hAnsi="Arial"/>
                <w:sz w:val="14"/>
                <w:szCs w:val="14"/>
                <w:color w:val="auto"/>
              </w:rPr>
              <w:t>12/31/2015, 12/31/2014 and 12/31/2013</w:t>
            </w:r>
          </w:p>
        </w:tc>
        <w:tc>
          <w:tcPr>
            <w:tcW w:w="0" w:type="dxa"/>
            <w:vAlign w:val="bottom"/>
          </w:tcPr>
          <w:p>
            <w:pPr>
              <w:spacing w:after="0"/>
              <w:rPr>
                <w:sz w:val="1"/>
                <w:szCs w:val="1"/>
                <w:color w:val="auto"/>
              </w:rPr>
            </w:pPr>
          </w:p>
        </w:tc>
      </w:tr>
      <w:tr>
        <w:trPr>
          <w:trHeight w:val="274"/>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S.E.I.U. National Industry Pension Fund</w:t>
            </w:r>
          </w:p>
        </w:tc>
        <w:tc>
          <w:tcPr>
            <w:tcW w:w="5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12/31/2015, 12/31/2014 and 12/31/2013</w:t>
            </w:r>
          </w:p>
        </w:tc>
        <w:tc>
          <w:tcPr>
            <w:tcW w:w="0" w:type="dxa"/>
            <w:vAlign w:val="bottom"/>
          </w:tcPr>
          <w:p>
            <w:pPr>
              <w:spacing w:after="0"/>
              <w:rPr>
                <w:sz w:val="1"/>
                <w:szCs w:val="1"/>
                <w:color w:val="auto"/>
              </w:rPr>
            </w:pPr>
          </w:p>
        </w:tc>
      </w:tr>
      <w:tr>
        <w:trPr>
          <w:trHeight w:val="266"/>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Service Employees International Union Local 1 Cleveland Pension Plan*</w:t>
            </w:r>
          </w:p>
        </w:tc>
        <w:tc>
          <w:tcPr>
            <w:tcW w:w="5120" w:type="dxa"/>
            <w:vAlign w:val="bottom"/>
          </w:tcPr>
          <w:p>
            <w:pPr>
              <w:jc w:val="center"/>
              <w:spacing w:after="0"/>
              <w:rPr>
                <w:sz w:val="20"/>
                <w:szCs w:val="20"/>
                <w:color w:val="auto"/>
              </w:rPr>
            </w:pPr>
            <w:r>
              <w:rPr>
                <w:rFonts w:ascii="Arial" w:cs="Arial" w:eastAsia="Arial" w:hAnsi="Arial"/>
                <w:sz w:val="14"/>
                <w:szCs w:val="14"/>
                <w:color w:val="auto"/>
              </w:rPr>
              <w:t>12/31/2015, 12/31/2014 and 12/31/2013</w:t>
            </w:r>
          </w:p>
        </w:tc>
        <w:tc>
          <w:tcPr>
            <w:tcW w:w="0" w:type="dxa"/>
            <w:vAlign w:val="bottom"/>
          </w:tcPr>
          <w:p>
            <w:pPr>
              <w:spacing w:after="0"/>
              <w:rPr>
                <w:sz w:val="1"/>
                <w:szCs w:val="1"/>
                <w:color w:val="auto"/>
              </w:rPr>
            </w:pPr>
          </w:p>
        </w:tc>
      </w:tr>
      <w:tr>
        <w:trPr>
          <w:trHeight w:val="18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Service Employees International Union Local 32BJ, District 36 Building Operators Pension</w:t>
            </w:r>
          </w:p>
        </w:tc>
        <w:tc>
          <w:tcPr>
            <w:tcW w:w="51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12/31/2015, 12/31/2014 and 12/31/2013</w:t>
            </w:r>
          </w:p>
        </w:tc>
        <w:tc>
          <w:tcPr>
            <w:tcW w:w="0" w:type="dxa"/>
            <w:vAlign w:val="bottom"/>
          </w:tcPr>
          <w:p>
            <w:pPr>
              <w:spacing w:after="0"/>
              <w:rPr>
                <w:sz w:val="1"/>
                <w:szCs w:val="1"/>
                <w:color w:val="auto"/>
              </w:rPr>
            </w:pPr>
          </w:p>
        </w:tc>
      </w:tr>
      <w:tr>
        <w:trPr>
          <w:trHeight w:val="113"/>
        </w:trPr>
        <w:tc>
          <w:tcPr>
            <w:tcW w:w="62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Trust Fund</w:t>
            </w:r>
          </w:p>
        </w:tc>
        <w:tc>
          <w:tcPr>
            <w:tcW w:w="51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6280" w:type="dxa"/>
            <w:vAlign w:val="bottom"/>
            <w:gridSpan w:val="2"/>
            <w:vMerge w:val="continue"/>
            <w:shd w:val="clear" w:color="auto" w:fill="CCEEFF"/>
          </w:tcPr>
          <w:p>
            <w:pPr>
              <w:spacing w:after="0"/>
              <w:rPr>
                <w:sz w:val="7"/>
                <w:szCs w:val="7"/>
                <w:color w:val="auto"/>
              </w:rPr>
            </w:pPr>
          </w:p>
        </w:tc>
        <w:tc>
          <w:tcPr>
            <w:tcW w:w="5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Teamsters Local 617 Pension Fund*</w:t>
            </w:r>
          </w:p>
        </w:tc>
        <w:tc>
          <w:tcPr>
            <w:tcW w:w="5120" w:type="dxa"/>
            <w:vAlign w:val="bottom"/>
          </w:tcPr>
          <w:p>
            <w:pPr>
              <w:jc w:val="center"/>
              <w:spacing w:after="0"/>
              <w:rPr>
                <w:sz w:val="20"/>
                <w:szCs w:val="20"/>
                <w:color w:val="auto"/>
              </w:rPr>
            </w:pPr>
            <w:r>
              <w:rPr>
                <w:rFonts w:ascii="Arial" w:cs="Arial" w:eastAsia="Arial" w:hAnsi="Arial"/>
                <w:sz w:val="14"/>
                <w:szCs w:val="14"/>
                <w:color w:val="auto"/>
              </w:rPr>
              <w:t>2/29/2016, 2/28/2015, and 2/28/2014</w:t>
            </w:r>
          </w:p>
        </w:tc>
        <w:tc>
          <w:tcPr>
            <w:tcW w:w="0" w:type="dxa"/>
            <w:vAlign w:val="bottom"/>
          </w:tcPr>
          <w:p>
            <w:pPr>
              <w:spacing w:after="0"/>
              <w:rPr>
                <w:sz w:val="1"/>
                <w:szCs w:val="1"/>
                <w:color w:val="auto"/>
              </w:rPr>
            </w:pPr>
          </w:p>
        </w:tc>
      </w:tr>
      <w:tr>
        <w:trPr>
          <w:trHeight w:val="274"/>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Teamsters Local Union No. 727 Pension Plan*</w:t>
            </w:r>
          </w:p>
        </w:tc>
        <w:tc>
          <w:tcPr>
            <w:tcW w:w="5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2/29/2016</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20" w:firstLine="8"/>
        <w:spacing w:after="0" w:line="265" w:lineRule="auto"/>
        <w:tabs>
          <w:tab w:leader="none" w:pos="152"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These plans are not separately listed in our multiemployer table as they represent an insignificant portion of our total multiemployer pension plan contributions.</w:t>
      </w:r>
    </w:p>
    <w:p>
      <w:pPr>
        <w:spacing w:after="0" w:line="332" w:lineRule="exact"/>
        <w:rPr>
          <w:sz w:val="20"/>
          <w:szCs w:val="20"/>
          <w:color w:val="auto"/>
        </w:rPr>
      </w:pPr>
    </w:p>
    <w:p>
      <w:pPr>
        <w:ind w:right="1660"/>
        <w:spacing w:after="0" w:line="438" w:lineRule="auto"/>
        <w:rPr>
          <w:sz w:val="20"/>
          <w:szCs w:val="20"/>
          <w:color w:val="auto"/>
        </w:rPr>
      </w:pPr>
      <w:r>
        <w:rPr>
          <w:rFonts w:ascii="Arial" w:cs="Arial" w:eastAsia="Arial" w:hAnsi="Arial"/>
          <w:sz w:val="18"/>
          <w:szCs w:val="18"/>
          <w:color w:val="auto"/>
        </w:rPr>
        <w:t xml:space="preserve">There have been no significant changes that affect the comparability of total contributions for any of the periods presented. </w:t>
      </w:r>
      <w:r>
        <w:rPr>
          <w:rFonts w:ascii="Arial" w:cs="Arial" w:eastAsia="Arial" w:hAnsi="Arial"/>
          <w:sz w:val="18"/>
          <w:szCs w:val="18"/>
          <w:b w:val="1"/>
          <w:bCs w:val="1"/>
          <w:i w:val="1"/>
          <w:iCs w:val="1"/>
          <w:color w:val="auto"/>
        </w:rPr>
        <w:t>Multiemployer Defined Contribution Plans</w:t>
      </w:r>
    </w:p>
    <w:p>
      <w:pPr>
        <w:spacing w:after="0" w:line="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In addition to contributions noted above, we also make contributions to multiemployer defined contribution plans. During 2016, 2015, and 2014, our contributions to the defined contribution plans were $6.6 million, $6.8 million, and $5.1 million, respectively.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Other Postretirement Benefit Plans</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We also contribute to several multiemployer plans that provide other postretirement benefits based on obligations arising under collective bargaining agreements covering union-represented employees. These plans may provide medical, pharmacy, dental, vision, mental health, and other benefits to active employees as determined by the trustees of each plan. During 2016, 2015, and 2014, our contributions to such plans were $224.5 million</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$216.8 million, and $ 213.1 million, respectively. There have been no significant changes that affect the comparability of total contributions for any of the periods presented.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524" w:right="239" w:bottom="1440" w:gutter="0" w:footer="0" w:header="0"/>
        </w:sectPr>
      </w:pPr>
    </w:p>
    <w:bookmarkStart w:id="82" w:name="page83"/>
    <w:bookmarkEnd w:id="82"/>
    <w:p>
      <w:pPr>
        <w:ind w:right="7760" w:firstLine="8"/>
        <w:spacing w:after="0" w:line="439" w:lineRule="auto"/>
        <w:tabs>
          <w:tab w:leader="none" w:pos="3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 and Other Similar Commitments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Minimum Payments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ind w:right="135"/>
              <w:spacing w:after="0"/>
              <w:rPr>
                <w:sz w:val="20"/>
                <w:szCs w:val="20"/>
                <w:color w:val="auto"/>
              </w:rPr>
            </w:pPr>
            <w:r>
              <w:rPr>
                <w:rFonts w:ascii="Arial" w:cs="Arial" w:eastAsia="Arial" w:hAnsi="Arial"/>
                <w:sz w:val="18"/>
                <w:szCs w:val="18"/>
                <w:b w:val="1"/>
                <w:bCs w:val="1"/>
                <w:color w:val="auto"/>
              </w:rPr>
              <w:t>Operating and</w:t>
            </w:r>
          </w:p>
        </w:tc>
      </w:tr>
      <w:tr>
        <w:trPr>
          <w:trHeight w:val="214"/>
        </w:trPr>
        <w:tc>
          <w:tcPr>
            <w:tcW w:w="788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8"/>
                <w:szCs w:val="18"/>
                <w:color w:val="auto"/>
              </w:rPr>
            </w:pPr>
          </w:p>
        </w:tc>
        <w:tc>
          <w:tcPr>
            <w:tcW w:w="1480" w:type="dxa"/>
            <w:vAlign w:val="bottom"/>
            <w:gridSpan w:val="2"/>
          </w:tcPr>
          <w:p>
            <w:pPr>
              <w:ind w:left="22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18"/>
                <w:szCs w:val="18"/>
                <w:color w:val="auto"/>
              </w:rPr>
            </w:pPr>
          </w:p>
        </w:tc>
        <w:tc>
          <w:tcPr>
            <w:tcW w:w="1520" w:type="dxa"/>
            <w:vAlign w:val="bottom"/>
          </w:tcPr>
          <w:p>
            <w:pPr>
              <w:jc w:val="right"/>
              <w:ind w:right="395"/>
              <w:spacing w:after="0" w:line="214" w:lineRule="exact"/>
              <w:rPr>
                <w:sz w:val="20"/>
                <w:szCs w:val="20"/>
                <w:color w:val="auto"/>
              </w:rPr>
            </w:pPr>
            <w:r>
              <w:rPr>
                <w:rFonts w:ascii="Arial" w:cs="Arial" w:eastAsia="Arial" w:hAnsi="Arial"/>
                <w:sz w:val="24"/>
                <w:szCs w:val="24"/>
                <w:b w:val="1"/>
                <w:bCs w:val="1"/>
                <w:color w:val="auto"/>
                <w:vertAlign w:val="subscript"/>
              </w:rPr>
              <w:t>Other</w:t>
            </w:r>
            <w:r>
              <w:rPr>
                <w:rFonts w:ascii="Arial" w:cs="Arial" w:eastAsia="Arial" w:hAnsi="Arial"/>
                <w:sz w:val="9"/>
                <w:szCs w:val="9"/>
                <w:b w:val="1"/>
                <w:bCs w:val="1"/>
                <w:color w:val="auto"/>
              </w:rPr>
              <w:t>(1)(2)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7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50"/>
        </w:trPr>
        <w:tc>
          <w:tcPr>
            <w:tcW w:w="7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October 31, 2017</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78.2</w:t>
            </w:r>
          </w:p>
        </w:tc>
      </w:tr>
      <w:tr>
        <w:trPr>
          <w:trHeight w:val="265"/>
        </w:trPr>
        <w:tc>
          <w:tcPr>
            <w:tcW w:w="7880" w:type="dxa"/>
            <w:vAlign w:val="bottom"/>
            <w:gridSpan w:val="3"/>
          </w:tcPr>
          <w:p>
            <w:pPr>
              <w:ind w:left="40"/>
              <w:spacing w:after="0"/>
              <w:rPr>
                <w:sz w:val="20"/>
                <w:szCs w:val="20"/>
                <w:color w:val="auto"/>
              </w:rPr>
            </w:pPr>
            <w:r>
              <w:rPr>
                <w:rFonts w:ascii="Arial" w:cs="Arial" w:eastAsia="Arial" w:hAnsi="Arial"/>
                <w:sz w:val="18"/>
                <w:szCs w:val="18"/>
                <w:color w:val="auto"/>
              </w:rPr>
              <w:t>October 31, 2018</w:t>
            </w:r>
          </w:p>
        </w:tc>
        <w:tc>
          <w:tcPr>
            <w:tcW w:w="34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53.5</w:t>
            </w:r>
          </w:p>
        </w:tc>
      </w:tr>
      <w:tr>
        <w:trPr>
          <w:trHeight w:val="275"/>
        </w:trPr>
        <w:tc>
          <w:tcPr>
            <w:tcW w:w="7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October 31, 2019</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36.4</w:t>
            </w:r>
          </w:p>
        </w:tc>
      </w:tr>
      <w:tr>
        <w:trPr>
          <w:trHeight w:val="265"/>
        </w:trPr>
        <w:tc>
          <w:tcPr>
            <w:tcW w:w="7880" w:type="dxa"/>
            <w:vAlign w:val="bottom"/>
            <w:gridSpan w:val="3"/>
          </w:tcPr>
          <w:p>
            <w:pPr>
              <w:ind w:left="40"/>
              <w:spacing w:after="0"/>
              <w:rPr>
                <w:sz w:val="20"/>
                <w:szCs w:val="20"/>
                <w:color w:val="auto"/>
              </w:rPr>
            </w:pPr>
            <w:r>
              <w:rPr>
                <w:rFonts w:ascii="Arial" w:cs="Arial" w:eastAsia="Arial" w:hAnsi="Arial"/>
                <w:sz w:val="18"/>
                <w:szCs w:val="18"/>
                <w:color w:val="auto"/>
              </w:rPr>
              <w:t>October 31, 2020</w:t>
            </w:r>
          </w:p>
        </w:tc>
        <w:tc>
          <w:tcPr>
            <w:tcW w:w="34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25.2</w:t>
            </w:r>
          </w:p>
        </w:tc>
      </w:tr>
      <w:tr>
        <w:trPr>
          <w:trHeight w:val="275"/>
        </w:trPr>
        <w:tc>
          <w:tcPr>
            <w:tcW w:w="7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October 31, 2021</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20.0</w:t>
            </w:r>
          </w:p>
        </w:tc>
      </w:tr>
      <w:tr>
        <w:trPr>
          <w:trHeight w:val="265"/>
        </w:trPr>
        <w:tc>
          <w:tcPr>
            <w:tcW w:w="788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76.5</w:t>
            </w:r>
          </w:p>
        </w:tc>
      </w:tr>
      <w:tr>
        <w:trPr>
          <w:trHeight w:val="255"/>
        </w:trPr>
        <w:tc>
          <w:tcPr>
            <w:tcW w:w="788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289.8</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21"/>
          <w:szCs w:val="21"/>
          <w:color w:val="auto"/>
          <w:vertAlign w:val="superscript"/>
        </w:rPr>
      </w:pPr>
      <w:r>
        <w:rPr>
          <w:rFonts w:ascii="Arial" w:cs="Arial" w:eastAsia="Arial" w:hAnsi="Arial"/>
          <w:sz w:val="15"/>
          <w:szCs w:val="15"/>
          <w:color w:val="auto"/>
        </w:rPr>
        <w:t>Sublease rental income is expected to be immaterial for all periods presented.</w:t>
      </w:r>
    </w:p>
    <w:p>
      <w:pPr>
        <w:spacing w:after="0" w:line="109"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37"/>
        </w:numPr>
        <w:rPr>
          <w:rFonts w:ascii="Arial" w:cs="Arial" w:eastAsia="Arial" w:hAnsi="Arial"/>
          <w:sz w:val="21"/>
          <w:szCs w:val="21"/>
          <w:color w:val="auto"/>
          <w:vertAlign w:val="superscript"/>
        </w:rPr>
      </w:pPr>
      <w:r>
        <w:rPr>
          <w:rFonts w:ascii="Arial" w:cs="Arial" w:eastAsia="Arial" w:hAnsi="Arial"/>
          <w:sz w:val="15"/>
          <w:szCs w:val="15"/>
          <w:color w:val="auto"/>
        </w:rPr>
        <w:t>Of the total future minimum commitments, $140.5 million relates to the leased location arrangements within the Parking segment.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and Other Expense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2"/>
                <w:szCs w:val="22"/>
                <w:color w:val="auto"/>
              </w:rPr>
            </w:pPr>
          </w:p>
        </w:tc>
      </w:tr>
      <w:tr>
        <w:trPr>
          <w:trHeight w:val="224"/>
        </w:trPr>
        <w:tc>
          <w:tcPr>
            <w:tcW w:w="638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Minimum rental and other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110.6</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105.8</w:t>
            </w:r>
          </w:p>
        </w:tc>
      </w:tr>
      <w:tr>
        <w:trPr>
          <w:trHeight w:val="265"/>
        </w:trPr>
        <w:tc>
          <w:tcPr>
            <w:tcW w:w="63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Contingent rental and other</w:t>
            </w: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28.5</w:t>
            </w:r>
          </w:p>
        </w:tc>
      </w:tr>
      <w:tr>
        <w:trPr>
          <w:trHeight w:val="255"/>
        </w:trPr>
        <w:tc>
          <w:tcPr>
            <w:tcW w:w="6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134.3</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 and Surety Bonds</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use letters of credit and surety bonds to secure certain commitments related to insurance programs and for other purposes. As of October 31, 2016, these letters of credit and surety bonds totaled $130.9 million and $420.4 million, respectively. Included in the total amount of surety bonds is $14.4 million of bonds with an effective date starting after October 31, 2016.</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some instances, we offer certain clients guaranteed energy savings under certain energy savings contracts. At October 31, 2016 and 2015, total guarantees were $60.9 million and $83.9 million, respectively, and these guarantees extend through 2031 and 2030, respectively. We accrue for the estimated cost of guarantees when it is probable that a liability has been incurred and the amount can be reasonably estimated. Historically, we have not incurred any material losses in connection with these guarantees.</w:t>
      </w:r>
    </w:p>
    <w:p>
      <w:pPr>
        <w:spacing w:after="0" w:line="1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In connection with an unconsolidated joint venture in which one of our subsidiaries has a 33% ownership interest, that subsidiary and the other joint venture partners have each jointly and severally guaranteed the obligations of the joint venture to perform under certain contracts extending through 2019. Annual revenues relating to the underlying contracts are approximately $35 million. Should the joint venture be unable to perform under these contracts, the joint venture partners would be jointly and severally liable for any losses incurred by the client due to the failure to perform.</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1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We are party to a variety of agreements under which we may be obligated to indemnify the other party for certain matters. Primarily, these agreements are standard indemnification arrangements entered into in our ordinary course of business. Pursuant to these arrangements, we may agree to indemnify, hold harmless, and reimburse the indemnified parties for losses suffered or incurred by the indemnified party, generally our clients, in connection with any claims arising out of the services that we provide. We also incur costs to defend lawsuits or settle claims related to these indemnification arrangements, and in most cases these costs are paid from our insurance program. Although we attempt to place limits on such indemnification arrangements related to the size of the contract, the maximum</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520" w:right="239" w:bottom="1440" w:gutter="0" w:footer="0" w:header="0"/>
        </w:sectPr>
      </w:pPr>
    </w:p>
    <w:bookmarkStart w:id="83" w:name="page84"/>
    <w:bookmarkEnd w:id="83"/>
    <w:p>
      <w:pPr>
        <w:jc w:val="both"/>
        <w:spacing w:after="0" w:line="292" w:lineRule="auto"/>
        <w:rPr>
          <w:sz w:val="20"/>
          <w:szCs w:val="20"/>
          <w:color w:val="auto"/>
        </w:rPr>
      </w:pPr>
      <w:r>
        <w:rPr>
          <w:rFonts w:ascii="Arial" w:cs="Arial" w:eastAsia="Arial" w:hAnsi="Arial"/>
          <w:sz w:val="18"/>
          <w:szCs w:val="18"/>
          <w:color w:val="auto"/>
        </w:rPr>
        <w:t>obligation may not be explicitly stated and, as a result, the maximum potential amount of future payments we could be required to make under these arrangements is not determinable.</w:t>
      </w:r>
    </w:p>
    <w:p>
      <w:pPr>
        <w:spacing w:after="0" w:line="9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Our certificate of incorporation and bylaws may require us to indemnify our directors and officers for certain liabilities that were incurred as a result of their status or service to ABM as a director or officer. The amount of these obligations cannot be reasonably estimated.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Tax Audits</w:t>
      </w:r>
    </w:p>
    <w:p>
      <w:pPr>
        <w:spacing w:after="0" w:line="1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We collect sales tax from clients and remit those collections to the applicable states. When clients fail to pay their invoices, including the amount of any sales tax that we advanced on their behalf, we are entitled, in some cases, to seek a refund of that amount of sales tax from the applicable state. Sales tax laws and regulations enacted by the various states are subject to interpretation, and our compliance with such laws is routinely subject to audit and review by the states. Audit risk is concentrated in several states, and these states are conducting ongoing audits. The outcomes of ongoing and any future audits and changes in the states’ interpretation of the sales tax laws and regulations could materially adversely impact our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w:t>
      </w:r>
    </w:p>
    <w:p>
      <w:pPr>
        <w:spacing w:after="0" w:line="10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At October 31, 2016, the total amount accrued for all probable litigation losses where a reasonable estimate of the loss could be made was $6.2 million. This $6.2 million includes the accrual of $ 4.8 million in connection with a settlement of certain wage and hour violations. Litigation outcomes are difficult to predict and the estimation of probable losses requires the analysis of multiple possible outcomes that often depend on judgments about potential actions by third parties. There is the potential for a material adverse effect on our financial statements if one or more matters are resolved in a particular period in an amount materially in excess of what we anticipated.</w:t>
      </w:r>
    </w:p>
    <w:p>
      <w:pPr>
        <w:spacing w:after="0" w:line="12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We do not accrue for contingent losses that, in our judgment, are considered to be reasonably possible but not probable. The estimation of reasonably possible losses also requires the analysis of multiple possible outcomes that often depend on judgments about potential actions by third parties. Our management currently estimates the range of loss for all reasonably possible losses for which a reasonable estimate of the loss can be made is between zero and $7 million, which excludes the Augustus and Bucio cases discussed below. Factors underlying this estimated range of loss may change from time to time, and actual results may vary significantly from this estimate.</w:t>
      </w:r>
    </w:p>
    <w:p>
      <w:pPr>
        <w:spacing w:after="0" w:line="1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10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While the results of these lawsuits, claims, and proceedings cannot be predicted with any certainty, our management believes that the final outcome of these matters will not have a material adverse effect on our financial position, results of operations, or cash flows.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Legal Proceedings</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Certain pending lawsuits to which we are a party are discussed below. In determining whether to include any particular lawsuit or other proceeding, we consider both quantitative and qualitative factors. These factors include, but are not limited to: the amount of damages and the nature of any other relief sought in the proceeding; if such damages and other relief are specified, our view of the merits of the claims; whether the action is or purports to be a class action, and our view of the likelihood that a class will be certified by the court; the jurisdiction in which the proceeding is pending; and the potential impact of the proceeding on our reputation.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522" w:right="239" w:bottom="1440" w:gutter="0" w:footer="0" w:header="0"/>
        </w:sectPr>
      </w:pPr>
    </w:p>
    <w:bookmarkStart w:id="84" w:name="page85"/>
    <w:bookmarkEnd w:id="84"/>
    <w:p>
      <w:pPr>
        <w:ind w:left="660"/>
        <w:spacing w:after="0" w:line="289" w:lineRule="auto"/>
        <w:rPr>
          <w:sz w:val="20"/>
          <w:szCs w:val="20"/>
          <w:color w:val="auto"/>
        </w:rPr>
      </w:pPr>
      <w:r>
        <w:rPr>
          <w:rFonts w:ascii="Arial" w:cs="Arial" w:eastAsia="Arial" w:hAnsi="Arial"/>
          <w:sz w:val="18"/>
          <w:szCs w:val="18"/>
          <w:i w:val="1"/>
          <w:iCs w:val="1"/>
          <w:color w:val="auto"/>
        </w:rPr>
        <w:t>The Consolidated Cases of Augustus, Hall, and Davis v. American Commercial Security Services, filed July 12, 2005, in the Superior Court of California, Los Angeles County (the “Augustus case”)</w:t>
      </w:r>
    </w:p>
    <w:p>
      <w:pPr>
        <w:spacing w:after="0" w:line="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Augustus case is a certified class action involving alleged violations of certain California state laws relating to rest breaks. The case centers on whether requiring security guards to remain on call during rest breaks violated Section 226.7 of the California Labor Code. On February 8, 2012, the plaintiffs filed a motion for summary judgment on the rest break claim, and on July 31, 2012, the Superior Court of California, Los Angeles County (the “Superior Court”), entered judgment in favor of plaintiffs in the amount of approximately $89.7 million (the “common fund”). Subsequently, the Superior Court also awarded plaintiffs’ attorneys’ fees of approximately $4.5 million in addition to approximately 30% of the common fund. We appealed the Superior Court’s rulings to the Court of Appeals of the State of California, Second Appellate District (the “Appeals Court”). On December 31, 2014, the Appeals Court issued its opinion, reversing the judgment in favor of the plaintiffs and vacating the award of $89.7 million in damages and the attorneys’ fees award. Plaintiffs requested rehearing of the Appeals Court’s decision to reverse the judgment in favor of plaintiffs and vacate the damages award. On January 29, 2015, the Appeals Court denied the plaintiffs’ request for rehearing, modified its December 31, 2014 opinion, and certified the opinion for publication. The Appeals Court opinion held that “on-call rest breaks are permissible” and remaining on call during rest breaks does not render the rest breaks invalid under California law. The Appeals Court explained that “although on-call hours constitute ‘hours worked,’ remaining available to work is not the same as performing work.... Section 226.7 proscribes only work on a rest break.” The plaintiffs filed a petition for review with the California Supreme</w:t>
      </w:r>
    </w:p>
    <w:p>
      <w:pPr>
        <w:spacing w:after="0" w:line="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Court on March 4, 2015, and on April 29, 2015, the California Supreme Court granted the plaintiffs’ petition. We believe that the Appeals Court correctly ruled in our favor and we presented our arguments to the California Supreme Court on September 29, 2016. We expect to receive the decision of the California Supreme Court on or before December 28, 2016.</w:t>
      </w:r>
    </w:p>
    <w:p>
      <w:pPr>
        <w:spacing w:after="0" w:line="123" w:lineRule="exact"/>
        <w:rPr>
          <w:sz w:val="20"/>
          <w:szCs w:val="20"/>
          <w:color w:val="auto"/>
        </w:rPr>
      </w:pPr>
    </w:p>
    <w:p>
      <w:pPr>
        <w:ind w:left="660" w:right="20"/>
        <w:spacing w:after="0" w:line="289" w:lineRule="auto"/>
        <w:rPr>
          <w:sz w:val="20"/>
          <w:szCs w:val="20"/>
          <w:color w:val="auto"/>
        </w:rPr>
      </w:pPr>
      <w:r>
        <w:rPr>
          <w:rFonts w:ascii="Arial" w:cs="Arial" w:eastAsia="Arial" w:hAnsi="Arial"/>
          <w:sz w:val="18"/>
          <w:szCs w:val="18"/>
          <w:i w:val="1"/>
          <w:iCs w:val="1"/>
          <w:color w:val="auto"/>
        </w:rPr>
        <w:t>The Consolidated Cases of Bucio and Martinez v. ABM Janitorial Services filed on April 7, 2006, in the Superior Court of California, County of San Francisco (the “Bucio case”)</w:t>
      </w:r>
    </w:p>
    <w:p>
      <w:pPr>
        <w:spacing w:after="0" w:line="9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Bucio case is a purported class action involving allegations that we failed to track work time and provide breaks. On April 19, 2011, the trial court held a hearing on plaintiffs’ motion to certify the class. At the conclusion of that hearing, the trial court denied plaintiffs’ motion to certify the class. On May 11, 2011, the plaintiffs filed a motion to reconsider, which was denied. The plaintiffs have appealed the class certification issues. The trial court stayed the underlying lawsuit pending the decision in the appeal. On August 30, 2012, the plaintiffs filed their appellate brief on the class certification issues. We filed our responsive brief on November 15, 2012. Oral argument relating to the appeal has not been scheduled.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7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During October 2011, we began an internal investigation into matters relating to compliance with the U.S. Foreign Corrupt Practices Act and our internal policies in connection with services provided by a foreign entity affiliated with a former joint venture partner of The Linc Group, LLC (“Linc”). Such services commenced prior to the acquisition of Linc. As a result of the investigation, we caused Linc to terminate its association with the arrangement. In December 2011, we contacted the U.S. Department of Justice and the SEC to voluntarily disclose the results of our internal investigation to date, and we have cooperated with the government’s investigation. On November 14, 2016, the Department of Justice advised us that its investigation was being closed without any action against us.</w:t>
      </w:r>
    </w:p>
    <w:p>
      <w:pPr>
        <w:spacing w:after="0" w:line="122" w:lineRule="exact"/>
        <w:rPr>
          <w:sz w:val="20"/>
          <w:szCs w:val="20"/>
          <w:color w:val="auto"/>
        </w:rPr>
      </w:pPr>
    </w:p>
    <w:p>
      <w:pPr>
        <w:ind w:right="8000" w:firstLine="8"/>
        <w:spacing w:after="0" w:line="439" w:lineRule="auto"/>
        <w:tabs>
          <w:tab w:leader="none" w:pos="3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AND COMMON STOCK Preferred Stock</w:t>
      </w:r>
    </w:p>
    <w:p>
      <w:pPr>
        <w:spacing w:after="0" w:line="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We are authorized to issue 500,000 shares of preferred stock. None of these preferred shares are issued.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On September 2, 2015, our Board of Directors authorized a program to repurchase up to $ 200.0 million shares of our common stock. 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share price, and share availability. Repurchased shares are retired and returned to an authorized but unissued status. The repurchase program may be suspended or discontinued at any time without prior notice. At October 31, 2016, authorization for $141.9 million of repurchases remained under our share repurchase program.</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524"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Repurchase Activity</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9"/>
              </w:rPr>
              <w:t>Years Ended October 31,</w:t>
            </w:r>
          </w:p>
        </w:tc>
        <w:tc>
          <w:tcPr>
            <w:tcW w:w="4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r>
      <w:tr>
        <w:trPr>
          <w:trHeight w:val="224"/>
        </w:trPr>
        <w:tc>
          <w:tcPr>
            <w:tcW w:w="53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460" w:type="dxa"/>
            <w:vAlign w:val="bottom"/>
          </w:tcPr>
          <w:p>
            <w:pPr>
              <w:spacing w:after="0"/>
              <w:rPr>
                <w:sz w:val="19"/>
                <w:szCs w:val="19"/>
                <w:color w:val="auto"/>
              </w:rPr>
            </w:pPr>
          </w:p>
        </w:tc>
        <w:tc>
          <w:tcPr>
            <w:tcW w:w="1500" w:type="dxa"/>
            <w:vAlign w:val="bottom"/>
          </w:tcPr>
          <w:p>
            <w:pPr>
              <w:jc w:val="right"/>
              <w:ind w:right="6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ind w:right="690"/>
              <w:spacing w:after="0"/>
              <w:rPr>
                <w:sz w:val="20"/>
                <w:szCs w:val="20"/>
                <w:color w:val="auto"/>
              </w:rPr>
            </w:pPr>
            <w:r>
              <w:rPr>
                <w:rFonts w:ascii="Arial" w:cs="Arial" w:eastAsia="Arial" w:hAnsi="Arial"/>
                <w:sz w:val="18"/>
                <w:szCs w:val="18"/>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40" w:type="dxa"/>
            <w:vAlign w:val="bottom"/>
            <w:tcBorders>
              <w:top w:val="single" w:sz="8" w:color="auto"/>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50"/>
        </w:trPr>
        <w:tc>
          <w:tcPr>
            <w:tcW w:w="5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number of shares repurchased</w:t>
            </w:r>
          </w:p>
        </w:tc>
        <w:tc>
          <w:tcPr>
            <w:tcW w:w="4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65"/>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Average price paid per share</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33.48</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30.72</w:t>
            </w:r>
          </w:p>
        </w:tc>
        <w:tc>
          <w:tcPr>
            <w:tcW w:w="12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26.20</w:t>
            </w:r>
          </w:p>
        </w:tc>
      </w:tr>
      <w:tr>
        <w:trPr>
          <w:trHeight w:val="275"/>
        </w:trPr>
        <w:tc>
          <w:tcPr>
            <w:tcW w:w="5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cash paid for share repurchases</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46.6</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SHARE-BASED COMPENSATION PLANS</w:t>
      </w:r>
    </w:p>
    <w:p>
      <w:pPr>
        <w:spacing w:after="0" w:line="17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We use various share-based compensation plans to provide incentives for our key employees and directors. Currently, these incentives primarily consist of RSUs, performance shares, and stock options.</w:t>
      </w:r>
    </w:p>
    <w:p>
      <w:pPr>
        <w:spacing w:after="0" w:line="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On May 2, 2006, our stockholders approved the 2006 Equity Incentive Plan (the “2006 Equity Plan”). The 2006 Equity Plan is an omnibus plan that provides for a variety of equity and equity-based award vehicles, including stock options, stock appreciation rights, RSUs, performance shares, and other share-based awards. Shares subject to awards that terminate without vesting or exercise are available for future awards under the 2006 Equity Plan. Certain of the awards under the 2006 Equity Plan may qualify as “performance-based” compensation under the IRC.</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2006 Equity Plan was amended in March 2015 to increase the total shares of common stock authorized for issuance to 11,679,265. At October 31, 2016, there were 2,221,125 shares of common stock available for grant for future equity-based compensation awards under the plan. In addition, there are certain plans under which we can no longer issue awards, although awards outstanding under these plans may still vest and be exercised.</w:t>
      </w:r>
    </w:p>
    <w:p>
      <w:pPr>
        <w:spacing w:after="0" w:line="1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also maintain an employee stock purchase plan, which our stockholders approved on March 9, 2004 (the “2004 Employee Stock Purchase Plan”). The 2004 Employee Stock Purchase Plan was amended in March 2016 to increase the total shares of common stock authorized for issuance to 4,000,000. Effective May 1, 2006, the plan is no longer considered compensatory and the values of the awards are no longer treated as share-based compensation expense. Additionally, as of that date, the purchase price became 95% of the fair value of our common stock price on the last trading day of the month. Employees may designate up to 10% of their compensation for the purchase of stock, subject to a $25,000 annual limit. Employees are required to hold their shares for a minimum of six months from the date of purchase. At October 31, 2016, there were 1,089,171 remaining unissued shares under the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Expense by Type of Award and Related Income Tax Benefit</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2"/>
                <w:szCs w:val="22"/>
                <w:color w:val="auto"/>
              </w:rPr>
            </w:pPr>
          </w:p>
        </w:tc>
      </w:tr>
      <w:tr>
        <w:trPr>
          <w:trHeight w:val="224"/>
        </w:trPr>
        <w:tc>
          <w:tcPr>
            <w:tcW w:w="638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RSUs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r>
      <w:tr>
        <w:trPr>
          <w:trHeight w:val="265"/>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Performance shares</w:t>
            </w: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75"/>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5"/>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Share-based compensation expense before income taxes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15.8</w:t>
            </w:r>
          </w:p>
        </w:tc>
      </w:tr>
      <w:tr>
        <w:trPr>
          <w:trHeight w:val="27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55"/>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Share-based compensation expense, net of taxes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RSUs and Dividend Equivalent Rights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award RSUs to eligible employees and our directors (each, a “Grantee”) that entitle the Grantee to receive shares of our common stock as the units vest. RSUs granted to eligible employees generally vest with respect to 50% of the underlying award on the second and fourth anniversary of the award. RSUs granted to directors vest over three years. In general, the receipt of RSUs is subject to the Grantee’s continuing employment or service as a director.</w:t>
      </w:r>
    </w:p>
    <w:p>
      <w:pPr>
        <w:spacing w:after="0" w:line="11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RSUs are credited with dividend equivalent rights that are converted to RSUs at the fair market value of our common stock on the dates the dividend payments are made and are subject to the same terms and conditions as the underlying award.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522"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51"/>
        </w:trPr>
        <w:tc>
          <w:tcPr>
            <w:tcW w:w="7200" w:type="dxa"/>
            <w:vAlign w:val="bottom"/>
          </w:tcPr>
          <w:p>
            <w:pPr>
              <w:spacing w:after="0"/>
              <w:rPr>
                <w:sz w:val="20"/>
                <w:szCs w:val="20"/>
                <w:color w:val="auto"/>
              </w:rPr>
            </w:pPr>
            <w:r>
              <w:rPr>
                <w:rFonts w:ascii="Arial" w:cs="Arial" w:eastAsia="Arial" w:hAnsi="Arial"/>
                <w:sz w:val="18"/>
                <w:szCs w:val="18"/>
                <w:b w:val="1"/>
                <w:bCs w:val="1"/>
                <w:i w:val="1"/>
                <w:iCs w:val="1"/>
                <w:color w:val="auto"/>
              </w:rPr>
              <w:t>RSU Activity</w:t>
            </w: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328"/>
        </w:trPr>
        <w:tc>
          <w:tcPr>
            <w:tcW w:w="72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Weighted-Average</w:t>
            </w:r>
          </w:p>
        </w:tc>
      </w:tr>
      <w:tr>
        <w:trPr>
          <w:trHeight w:val="203"/>
        </w:trPr>
        <w:tc>
          <w:tcPr>
            <w:tcW w:w="7200" w:type="dxa"/>
            <w:vAlign w:val="bottom"/>
          </w:tcPr>
          <w:p>
            <w:pPr>
              <w:spacing w:after="0"/>
              <w:rPr>
                <w:sz w:val="17"/>
                <w:szCs w:val="17"/>
                <w:color w:val="auto"/>
              </w:rPr>
            </w:pPr>
          </w:p>
        </w:tc>
        <w:tc>
          <w:tcPr>
            <w:tcW w:w="216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Number of Shares (in</w:t>
            </w:r>
          </w:p>
        </w:tc>
        <w:tc>
          <w:tcPr>
            <w:tcW w:w="20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Grant Date Fair Value</w:t>
            </w:r>
          </w:p>
        </w:tc>
      </w:tr>
      <w:tr>
        <w:trPr>
          <w:trHeight w:val="254"/>
        </w:trPr>
        <w:tc>
          <w:tcPr>
            <w:tcW w:w="7200" w:type="dxa"/>
            <w:vAlign w:val="bottom"/>
          </w:tcPr>
          <w:p>
            <w:pPr>
              <w:spacing w:after="0"/>
              <w:rPr>
                <w:sz w:val="22"/>
                <w:szCs w:val="22"/>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millions)</w:t>
            </w:r>
          </w:p>
        </w:tc>
        <w:tc>
          <w:tcPr>
            <w:tcW w:w="180" w:type="dxa"/>
            <w:vAlign w:val="bottom"/>
          </w:tcPr>
          <w:p>
            <w:pPr>
              <w:spacing w:after="0"/>
              <w:rPr>
                <w:sz w:val="22"/>
                <w:szCs w:val="22"/>
                <w:color w:val="auto"/>
              </w:rPr>
            </w:pPr>
          </w:p>
        </w:tc>
        <w:tc>
          <w:tcPr>
            <w:tcW w:w="188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per Share</w:t>
            </w:r>
          </w:p>
        </w:tc>
      </w:tr>
      <w:tr>
        <w:trPr>
          <w:trHeight w:val="251"/>
        </w:trPr>
        <w:tc>
          <w:tcPr>
            <w:tcW w:w="7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November 1, 2015</w:t>
            </w:r>
          </w:p>
        </w:tc>
        <w:tc>
          <w:tcPr>
            <w:tcW w:w="2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25.79</w:t>
            </w:r>
          </w:p>
        </w:tc>
      </w:tr>
      <w:tr>
        <w:trPr>
          <w:trHeight w:val="265"/>
        </w:trPr>
        <w:tc>
          <w:tcPr>
            <w:tcW w:w="7200" w:type="dxa"/>
            <w:vAlign w:val="bottom"/>
          </w:tcPr>
          <w:p>
            <w:pPr>
              <w:ind w:left="4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35.62</w:t>
            </w:r>
          </w:p>
        </w:tc>
      </w:tr>
      <w:tr>
        <w:trPr>
          <w:trHeight w:val="275"/>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 (including 0.1 shares withheld for income taxes)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23.70</w:t>
            </w:r>
          </w:p>
        </w:tc>
      </w:tr>
      <w:tr>
        <w:trPr>
          <w:trHeight w:val="265"/>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26.39</w:t>
            </w:r>
          </w:p>
        </w:tc>
      </w:tr>
      <w:tr>
        <w:trPr>
          <w:trHeight w:val="255"/>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October 31, 2016</w:t>
            </w:r>
          </w:p>
        </w:tc>
        <w:tc>
          <w:tcPr>
            <w:tcW w:w="2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28.83</w:t>
            </w:r>
          </w:p>
        </w:tc>
      </w:tr>
      <w:tr>
        <w:trPr>
          <w:trHeight w:val="20"/>
        </w:trPr>
        <w:tc>
          <w:tcPr>
            <w:tcW w:w="72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October 31, 2016, total unrecognized compensation cost, net of estimated forfeitures, related to RSUs was $16.7 million, which is expected to be recognized ratably over a weighted-average vesting period of 2.8 years. In 2016, 2015, and 2014, the weighted-average grant date fair value per share of awards granted was $35.62, $29.31, and $27.82, respectively. In 2016, 2015, and 2014, the total grant date fair value of RSUs vested and converted to shares of ABM common stock was $7.2 million, $9.4 million, and $5.4 million,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Shares, Including TSR Performance Shares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Performance shares consist of a contingent right to receive shares of our common stock based on performance targets adopted by our Compensation Committee. Performance shares are credited with dividend equivalent rights that will be converted to performance shares at the fair market value of our common stock beginning after the performance targets have been satisfied and are subject to the same terms and conditions as the underlying award.</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certain performance share awards, the number of performance shares that will vest is based on pre-established internal financial performance targets and typically a three-year service and performance period. The number of TSR awards that will vest is based on our total shareholder return relative to the S&amp;P 600 at the time of grant over the respective three-year performance period. Vesting of 0% to 150% of the awards originally granted may occur depending on the respective performance metrics under both award types.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Activity</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rPr>
              <w:t>Weighted-</w:t>
            </w:r>
          </w:p>
        </w:tc>
      </w:tr>
      <w:tr>
        <w:trPr>
          <w:trHeight w:val="203"/>
        </w:trPr>
        <w:tc>
          <w:tcPr>
            <w:tcW w:w="8340" w:type="dxa"/>
            <w:vAlign w:val="bottom"/>
          </w:tcPr>
          <w:p>
            <w:pPr>
              <w:spacing w:after="0"/>
              <w:rPr>
                <w:sz w:val="17"/>
                <w:szCs w:val="17"/>
                <w:color w:val="auto"/>
              </w:rPr>
            </w:pPr>
          </w:p>
        </w:tc>
        <w:tc>
          <w:tcPr>
            <w:tcW w:w="160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Number of</w:t>
            </w:r>
          </w:p>
        </w:tc>
        <w:tc>
          <w:tcPr>
            <w:tcW w:w="120" w:type="dxa"/>
            <w:vAlign w:val="bottom"/>
          </w:tcPr>
          <w:p>
            <w:pPr>
              <w:spacing w:after="0"/>
              <w:rPr>
                <w:sz w:val="17"/>
                <w:szCs w:val="17"/>
                <w:color w:val="auto"/>
              </w:rPr>
            </w:pPr>
          </w:p>
        </w:tc>
        <w:tc>
          <w:tcPr>
            <w:tcW w:w="136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Average Grant</w:t>
            </w:r>
          </w:p>
        </w:tc>
      </w:tr>
      <w:tr>
        <w:trPr>
          <w:trHeight w:val="203"/>
        </w:trPr>
        <w:tc>
          <w:tcPr>
            <w:tcW w:w="8340" w:type="dxa"/>
            <w:vAlign w:val="bottom"/>
          </w:tcPr>
          <w:p>
            <w:pPr>
              <w:spacing w:after="0"/>
              <w:rPr>
                <w:sz w:val="17"/>
                <w:szCs w:val="17"/>
                <w:color w:val="auto"/>
              </w:rPr>
            </w:pPr>
          </w:p>
        </w:tc>
        <w:tc>
          <w:tcPr>
            <w:tcW w:w="160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rPr>
              <w:t>Shares (in</w:t>
            </w:r>
          </w:p>
        </w:tc>
        <w:tc>
          <w:tcPr>
            <w:tcW w:w="14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8"/>
              </w:rPr>
              <w:t>Date Fair Value</w:t>
            </w:r>
          </w:p>
        </w:tc>
      </w:tr>
      <w:tr>
        <w:trPr>
          <w:trHeight w:val="254"/>
        </w:trPr>
        <w:tc>
          <w:tcPr>
            <w:tcW w:w="8340" w:type="dxa"/>
            <w:vAlign w:val="bottom"/>
          </w:tcPr>
          <w:p>
            <w:pPr>
              <w:spacing w:after="0"/>
              <w:rPr>
                <w:sz w:val="22"/>
                <w:szCs w:val="22"/>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millions)</w:t>
            </w:r>
          </w:p>
        </w:tc>
        <w:tc>
          <w:tcPr>
            <w:tcW w:w="120" w:type="dxa"/>
            <w:vAlign w:val="bottom"/>
          </w:tcPr>
          <w:p>
            <w:pPr>
              <w:spacing w:after="0"/>
              <w:rPr>
                <w:sz w:val="22"/>
                <w:szCs w:val="22"/>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rPr>
              <w:t>per Share</w:t>
            </w:r>
          </w:p>
        </w:tc>
      </w:tr>
      <w:tr>
        <w:trPr>
          <w:trHeight w:val="251"/>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November 1, 2015</w:t>
            </w:r>
          </w:p>
        </w:tc>
        <w:tc>
          <w:tcPr>
            <w:tcW w:w="14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26.40</w:t>
            </w:r>
          </w:p>
        </w:tc>
      </w:tr>
      <w:tr>
        <w:trPr>
          <w:trHeight w:val="265"/>
        </w:trPr>
        <w:tc>
          <w:tcPr>
            <w:tcW w:w="834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28.99</w:t>
            </w:r>
          </w:p>
        </w:tc>
      </w:tr>
      <w:tr>
        <w:trPr>
          <w:trHeight w:val="275"/>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 (including 0.1 shares withheld for income taxes)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20.38</w:t>
            </w:r>
          </w:p>
        </w:tc>
      </w:tr>
      <w:tr>
        <w:trPr>
          <w:trHeight w:val="265"/>
        </w:trPr>
        <w:tc>
          <w:tcPr>
            <w:tcW w:w="8340" w:type="dxa"/>
            <w:vAlign w:val="bottom"/>
          </w:tcPr>
          <w:p>
            <w:pPr>
              <w:ind w:left="40"/>
              <w:spacing w:after="0"/>
              <w:rPr>
                <w:sz w:val="20"/>
                <w:szCs w:val="20"/>
                <w:color w:val="auto"/>
              </w:rPr>
            </w:pPr>
            <w:r>
              <w:rPr>
                <w:rFonts w:ascii="Arial" w:cs="Arial" w:eastAsia="Arial" w:hAnsi="Arial"/>
                <w:sz w:val="18"/>
                <w:szCs w:val="18"/>
                <w:color w:val="auto"/>
              </w:rPr>
              <w:t>Performance adjustments</w:t>
            </w:r>
          </w:p>
        </w:tc>
        <w:tc>
          <w:tcPr>
            <w:tcW w:w="14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28.97</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27.87</w:t>
            </w:r>
          </w:p>
        </w:tc>
      </w:tr>
      <w:tr>
        <w:trPr>
          <w:trHeight w:val="255"/>
        </w:trPr>
        <w:tc>
          <w:tcPr>
            <w:tcW w:w="8340" w:type="dxa"/>
            <w:vAlign w:val="bottom"/>
          </w:tcPr>
          <w:p>
            <w:pPr>
              <w:ind w:left="40"/>
              <w:spacing w:after="0"/>
              <w:rPr>
                <w:sz w:val="20"/>
                <w:szCs w:val="20"/>
                <w:color w:val="auto"/>
              </w:rPr>
            </w:pPr>
            <w:r>
              <w:rPr>
                <w:rFonts w:ascii="Arial" w:cs="Arial" w:eastAsia="Arial" w:hAnsi="Arial"/>
                <w:sz w:val="18"/>
                <w:szCs w:val="18"/>
                <w:color w:val="auto"/>
              </w:rPr>
              <w:t>Outstanding at October 31, 2016</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29.28</w:t>
            </w:r>
          </w:p>
        </w:tc>
      </w:tr>
      <w:tr>
        <w:trPr>
          <w:trHeight w:val="20"/>
        </w:trPr>
        <w:tc>
          <w:tcPr>
            <w:tcW w:w="8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October 31, 2016, total unrecognized compensation cost related to performance stock awards was $12.5 million, which is expected to be recognized ratably over a weighted-average vesting period of 1.9 years. Except for TSR performance shares, these costs are based on estimated achievement of performance targets and estimated costs will be reevaluated periodically. For our TSR performance shares, these costs are based on the fair value of awards at the grant date and are recognized on a straight-line basis over the service period of 3 years.</w:t>
      </w:r>
    </w:p>
    <w:p>
      <w:pPr>
        <w:spacing w:after="0" w:line="1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2016, 2015, and 2014, the weighted-average grant date fair value per share of awards granted was $28.99, $29.82, and $27.68, respectively. The total grant date fair value of performance shares vested and converted was $6.6 million in 2016 and $5.0 million in both 2015 and 2014.</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522" w:right="239" w:bottom="1440" w:gutter="0" w:footer="0" w:header="0"/>
        </w:sectPr>
      </w:pPr>
    </w:p>
    <w:bookmarkStart w:id="87" w:name="page88"/>
    <w:bookmarkEnd w:id="87"/>
    <w:p>
      <w:pPr>
        <w:ind w:firstLine="648"/>
        <w:spacing w:after="0" w:line="292" w:lineRule="auto"/>
        <w:rPr>
          <w:sz w:val="20"/>
          <w:szCs w:val="20"/>
          <w:color w:val="auto"/>
        </w:rPr>
      </w:pPr>
      <w:r>
        <w:rPr>
          <w:rFonts w:ascii="Arial" w:cs="Arial" w:eastAsia="Arial" w:hAnsi="Arial"/>
          <w:sz w:val="18"/>
          <w:szCs w:val="18"/>
          <w:color w:val="auto"/>
        </w:rPr>
        <w:t>In 2016, 2015 and 2014, we used the Monte Carlo simulation valuation technique to estimate the fair value of TSR performance share grants, which used the assumptions in the below table.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Monte Carlo Assumptions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5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2014</w:t>
            </w:r>
          </w:p>
        </w:tc>
      </w:tr>
      <w:tr>
        <w:trPr>
          <w:trHeight w:val="251"/>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life</w:t>
            </w:r>
            <w:r>
              <w:rPr>
                <w:rFonts w:ascii="Arial" w:cs="Arial" w:eastAsia="Arial" w:hAnsi="Arial"/>
                <w:sz w:val="21"/>
                <w:szCs w:val="21"/>
                <w:color w:val="auto"/>
                <w:vertAlign w:val="superscript"/>
              </w:rPr>
              <w:t>(1)</w:t>
            </w:r>
          </w:p>
        </w:tc>
        <w:tc>
          <w:tcPr>
            <w:tcW w:w="4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2.13 years</w:t>
            </w:r>
          </w:p>
        </w:tc>
        <w:tc>
          <w:tcPr>
            <w:tcW w:w="4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2.15 years</w:t>
            </w: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2.15 years</w:t>
            </w: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Expected stock price volatility</w:t>
            </w:r>
            <w:r>
              <w:rPr>
                <w:rFonts w:ascii="Arial" w:cs="Arial" w:eastAsia="Arial" w:hAnsi="Arial"/>
                <w:sz w:val="21"/>
                <w:szCs w:val="21"/>
                <w:color w:val="auto"/>
                <w:vertAlign w:val="superscript"/>
              </w:rPr>
              <w:t>(2)</w:t>
            </w:r>
          </w:p>
        </w:tc>
        <w:tc>
          <w:tcPr>
            <w:tcW w:w="4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7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r>
              <w:rPr>
                <w:rFonts w:ascii="Arial" w:cs="Arial" w:eastAsia="Arial" w:hAnsi="Arial"/>
                <w:sz w:val="21"/>
                <w:szCs w:val="21"/>
                <w:color w:val="auto"/>
                <w:vertAlign w:val="superscript"/>
              </w:rPr>
              <w:t>(3)</w:t>
            </w:r>
          </w:p>
        </w:tc>
        <w:tc>
          <w:tcPr>
            <w:tcW w:w="4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316"/>
        </w:trPr>
        <w:tc>
          <w:tcPr>
            <w:tcW w:w="5540" w:type="dxa"/>
            <w:vAlign w:val="bottom"/>
          </w:tcPr>
          <w:p>
            <w:pPr>
              <w:ind w:left="40"/>
              <w:spacing w:after="0"/>
              <w:rPr>
                <w:sz w:val="20"/>
                <w:szCs w:val="20"/>
                <w:color w:val="auto"/>
              </w:rPr>
            </w:pPr>
            <w:r>
              <w:rPr>
                <w:rFonts w:ascii="Arial" w:cs="Arial" w:eastAsia="Arial" w:hAnsi="Arial"/>
                <w:sz w:val="18"/>
                <w:szCs w:val="18"/>
                <w:color w:val="auto"/>
              </w:rPr>
              <w:t>Stock price</w:t>
            </w:r>
            <w:r>
              <w:rPr>
                <w:rFonts w:ascii="Arial" w:cs="Arial" w:eastAsia="Arial" w:hAnsi="Arial"/>
                <w:sz w:val="21"/>
                <w:szCs w:val="21"/>
                <w:color w:val="auto"/>
                <w:vertAlign w:val="superscript"/>
              </w:rPr>
              <w:t>(4)</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38.65</w:t>
            </w:r>
          </w:p>
        </w:tc>
        <w:tc>
          <w:tcPr>
            <w:tcW w:w="12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30.25</w:t>
            </w:r>
          </w:p>
        </w:tc>
        <w:tc>
          <w:tcPr>
            <w:tcW w:w="100" w:type="dxa"/>
            <w:vAlign w:val="bottom"/>
          </w:tcPr>
          <w:p>
            <w:pPr>
              <w:spacing w:after="0"/>
              <w:rPr>
                <w:sz w:val="24"/>
                <w:szCs w:val="24"/>
                <w:color w:val="auto"/>
              </w:rPr>
            </w:pP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26.57</w:t>
            </w:r>
          </w:p>
        </w:tc>
      </w:tr>
    </w:tbl>
    <w:p>
      <w:pPr>
        <w:spacing w:after="0" w:line="76" w:lineRule="exact"/>
        <w:rPr>
          <w:sz w:val="20"/>
          <w:szCs w:val="20"/>
          <w:color w:val="auto"/>
        </w:rPr>
      </w:pPr>
    </w:p>
    <w:p>
      <w:pPr>
        <w:ind w:left="240" w:hanging="178"/>
        <w:spacing w:after="0"/>
        <w:tabs>
          <w:tab w:leader="none" w:pos="240" w:val="left"/>
        </w:tabs>
        <w:numPr>
          <w:ilvl w:val="0"/>
          <w:numId w:val="39"/>
        </w:numPr>
        <w:rPr>
          <w:rFonts w:ascii="Arial" w:cs="Arial" w:eastAsia="Arial" w:hAnsi="Arial"/>
          <w:sz w:val="21"/>
          <w:szCs w:val="21"/>
          <w:color w:val="auto"/>
          <w:vertAlign w:val="superscript"/>
        </w:rPr>
      </w:pPr>
      <w:r>
        <w:rPr>
          <w:rFonts w:ascii="Arial" w:cs="Arial" w:eastAsia="Arial" w:hAnsi="Arial"/>
          <w:sz w:val="15"/>
          <w:szCs w:val="15"/>
          <w:color w:val="auto"/>
        </w:rPr>
        <w:t>The expected life represents the remaining performance period of the awards.</w:t>
      </w:r>
    </w:p>
    <w:p>
      <w:pPr>
        <w:spacing w:after="0" w:line="132" w:lineRule="exact"/>
        <w:rPr>
          <w:rFonts w:ascii="Arial" w:cs="Arial" w:eastAsia="Arial" w:hAnsi="Arial"/>
          <w:sz w:val="21"/>
          <w:szCs w:val="21"/>
          <w:color w:val="auto"/>
          <w:vertAlign w:val="superscript"/>
        </w:rPr>
      </w:pPr>
    </w:p>
    <w:p>
      <w:pPr>
        <w:ind w:left="60" w:firstLine="2"/>
        <w:spacing w:after="0" w:line="263" w:lineRule="auto"/>
        <w:tabs>
          <w:tab w:leader="none" w:pos="222" w:val="left"/>
        </w:tabs>
        <w:numPr>
          <w:ilvl w:val="0"/>
          <w:numId w:val="39"/>
        </w:numPr>
        <w:rPr>
          <w:rFonts w:ascii="Arial" w:cs="Arial" w:eastAsia="Arial" w:hAnsi="Arial"/>
          <w:sz w:val="19"/>
          <w:szCs w:val="19"/>
          <w:color w:val="auto"/>
          <w:vertAlign w:val="superscript"/>
        </w:rPr>
      </w:pPr>
      <w:r>
        <w:rPr>
          <w:rFonts w:ascii="Arial" w:cs="Arial" w:eastAsia="Arial" w:hAnsi="Arial"/>
          <w:sz w:val="15"/>
          <w:szCs w:val="15"/>
          <w:color w:val="auto"/>
        </w:rPr>
        <w:t>The expected volatility for each grant is determined based on the historical volatility of our common stock over a period equal to the remaining term of the performance period from the date of grant for all awards.</w:t>
      </w:r>
    </w:p>
    <w:p>
      <w:pPr>
        <w:spacing w:after="0" w:line="111" w:lineRule="exact"/>
        <w:rPr>
          <w:rFonts w:ascii="Arial" w:cs="Arial" w:eastAsia="Arial" w:hAnsi="Arial"/>
          <w:sz w:val="19"/>
          <w:szCs w:val="19"/>
          <w:color w:val="auto"/>
          <w:vertAlign w:val="superscript"/>
        </w:rPr>
      </w:pPr>
    </w:p>
    <w:p>
      <w:pPr>
        <w:ind w:left="60" w:right="20" w:firstLine="2"/>
        <w:spacing w:after="0" w:line="236" w:lineRule="auto"/>
        <w:tabs>
          <w:tab w:leader="none" w:pos="238" w:val="left"/>
        </w:tabs>
        <w:numPr>
          <w:ilvl w:val="0"/>
          <w:numId w:val="39"/>
        </w:numPr>
        <w:rPr>
          <w:rFonts w:ascii="Arial" w:cs="Arial" w:eastAsia="Arial" w:hAnsi="Arial"/>
          <w:sz w:val="21"/>
          <w:szCs w:val="21"/>
          <w:color w:val="auto"/>
          <w:vertAlign w:val="superscript"/>
        </w:rPr>
      </w:pPr>
      <w:r>
        <w:rPr>
          <w:rFonts w:ascii="Arial" w:cs="Arial" w:eastAsia="Arial" w:hAnsi="Arial"/>
          <w:sz w:val="15"/>
          <w:szCs w:val="15"/>
          <w:color w:val="auto"/>
        </w:rPr>
        <w:t>The risk-free interest rate is based on the continuous compounded yield on U.S. Treasury Constant Maturity Rates with varying remaining terms; the yield is determined over a time period commensurate with the performance period from the grant date.</w:t>
      </w:r>
    </w:p>
    <w:p>
      <w:pPr>
        <w:spacing w:after="0" w:line="133" w:lineRule="exact"/>
        <w:rPr>
          <w:rFonts w:ascii="Arial" w:cs="Arial" w:eastAsia="Arial" w:hAnsi="Arial"/>
          <w:sz w:val="21"/>
          <w:szCs w:val="21"/>
          <w:color w:val="auto"/>
          <w:vertAlign w:val="superscript"/>
        </w:rPr>
      </w:pPr>
    </w:p>
    <w:p>
      <w:pPr>
        <w:ind w:left="220" w:hanging="158"/>
        <w:spacing w:after="0"/>
        <w:tabs>
          <w:tab w:leader="none" w:pos="220" w:val="left"/>
        </w:tabs>
        <w:numPr>
          <w:ilvl w:val="0"/>
          <w:numId w:val="39"/>
        </w:numPr>
        <w:rPr>
          <w:rFonts w:ascii="Arial" w:cs="Arial" w:eastAsia="Arial" w:hAnsi="Arial"/>
          <w:sz w:val="19"/>
          <w:szCs w:val="19"/>
          <w:color w:val="auto"/>
          <w:vertAlign w:val="superscript"/>
        </w:rPr>
      </w:pPr>
      <w:r>
        <w:rPr>
          <w:rFonts w:ascii="Arial" w:cs="Arial" w:eastAsia="Arial" w:hAnsi="Arial"/>
          <w:sz w:val="15"/>
          <w:szCs w:val="15"/>
          <w:color w:val="auto"/>
        </w:rPr>
        <w:t>The stock price is the closing price of our common stock on the valuation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Typically, stock options vest and become exercisable at a rate of 25% per year beginning one year after the date of grant. However, terms of stock options can vary, and certain stock options granted on January 10, 2011 will vest on the fifth anniversary of the award. During 2016, 2015, and 2014, no stock options were granted. All option grants provide for an option exercise price equal to the closing market value of the common stock on the date of grant. Options typically expire 7 years after the date of grant.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Weighted-Average</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03"/>
        </w:trPr>
        <w:tc>
          <w:tcPr>
            <w:tcW w:w="3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Weighted-Average</w:t>
            </w:r>
          </w:p>
        </w:tc>
        <w:tc>
          <w:tcPr>
            <w:tcW w:w="204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Remaining</w:t>
            </w: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96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rPr>
              <w:t>Number of Shares</w:t>
            </w:r>
          </w:p>
        </w:tc>
        <w:tc>
          <w:tcPr>
            <w:tcW w:w="120" w:type="dxa"/>
            <w:vAlign w:val="bottom"/>
          </w:tcPr>
          <w:p>
            <w:pPr>
              <w:spacing w:after="0"/>
              <w:rPr>
                <w:sz w:val="17"/>
                <w:szCs w:val="17"/>
                <w:color w:val="auto"/>
              </w:rPr>
            </w:pPr>
          </w:p>
        </w:tc>
        <w:tc>
          <w:tcPr>
            <w:tcW w:w="18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rPr>
              <w:t>Exercise Price per</w:t>
            </w:r>
          </w:p>
        </w:tc>
        <w:tc>
          <w:tcPr>
            <w:tcW w:w="204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Contractual Term (in</w:t>
            </w:r>
          </w:p>
        </w:tc>
        <w:tc>
          <w:tcPr>
            <w:tcW w:w="120" w:type="dxa"/>
            <w:vAlign w:val="bottom"/>
          </w:tcPr>
          <w:p>
            <w:pPr>
              <w:spacing w:after="0"/>
              <w:rPr>
                <w:sz w:val="17"/>
                <w:szCs w:val="17"/>
                <w:color w:val="auto"/>
              </w:rPr>
            </w:pPr>
          </w:p>
        </w:tc>
        <w:tc>
          <w:tcPr>
            <w:tcW w:w="182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w w:val="99"/>
              </w:rPr>
              <w:t>Aggregate Intrinsic</w:t>
            </w:r>
          </w:p>
        </w:tc>
      </w:tr>
      <w:tr>
        <w:trPr>
          <w:trHeight w:val="254"/>
        </w:trPr>
        <w:tc>
          <w:tcPr>
            <w:tcW w:w="3540" w:type="dxa"/>
            <w:vAlign w:val="bottom"/>
          </w:tcPr>
          <w:p>
            <w:pPr>
              <w:spacing w:after="0"/>
              <w:rPr>
                <w:sz w:val="22"/>
                <w:szCs w:val="22"/>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(in millions)</w:t>
            </w:r>
          </w:p>
        </w:tc>
        <w:tc>
          <w:tcPr>
            <w:tcW w:w="120" w:type="dxa"/>
            <w:vAlign w:val="bottom"/>
          </w:tcPr>
          <w:p>
            <w:pPr>
              <w:spacing w:after="0"/>
              <w:rPr>
                <w:sz w:val="22"/>
                <w:szCs w:val="22"/>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Share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years)</w:t>
            </w:r>
            <w:r>
              <w:rPr>
                <w:rFonts w:ascii="Arial" w:cs="Arial" w:eastAsia="Arial" w:hAnsi="Arial"/>
                <w:sz w:val="21"/>
                <w:szCs w:val="21"/>
                <w:b w:val="1"/>
                <w:bCs w:val="1"/>
                <w:color w:val="auto"/>
                <w:w w:val="94"/>
                <w:vertAlign w:val="superscript"/>
              </w:rPr>
              <w:t>(1)</w:t>
            </w:r>
          </w:p>
        </w:tc>
        <w:tc>
          <w:tcPr>
            <w:tcW w:w="120" w:type="dxa"/>
            <w:vAlign w:val="bottom"/>
          </w:tcPr>
          <w:p>
            <w:pPr>
              <w:spacing w:after="0"/>
              <w:rPr>
                <w:sz w:val="22"/>
                <w:szCs w:val="22"/>
                <w:color w:val="auto"/>
              </w:rPr>
            </w:pPr>
          </w:p>
        </w:tc>
        <w:tc>
          <w:tcPr>
            <w:tcW w:w="182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Value (in millions)</w:t>
            </w:r>
            <w:r>
              <w:rPr>
                <w:rFonts w:ascii="Arial" w:cs="Arial" w:eastAsia="Arial" w:hAnsi="Arial"/>
                <w:sz w:val="21"/>
                <w:szCs w:val="21"/>
                <w:b w:val="1"/>
                <w:bCs w:val="1"/>
                <w:color w:val="auto"/>
                <w:w w:val="94"/>
                <w:vertAlign w:val="superscript"/>
              </w:rPr>
              <w:t>(2)</w:t>
            </w:r>
          </w:p>
        </w:tc>
      </w:tr>
      <w:tr>
        <w:trPr>
          <w:trHeight w:val="264"/>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November 1, 2015</w:t>
            </w:r>
          </w:p>
        </w:tc>
        <w:tc>
          <w:tcPr>
            <w:tcW w:w="18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19.69</w:t>
            </w:r>
          </w:p>
        </w:tc>
        <w:tc>
          <w:tcPr>
            <w:tcW w:w="120" w:type="dxa"/>
            <w:vAlign w:val="bottom"/>
            <w:tcBorders>
              <w:top w:val="single" w:sz="8" w:color="CCEEFF"/>
            </w:tcBorders>
            <w:shd w:val="clear" w:color="auto" w:fill="CCEEFF"/>
          </w:tcPr>
          <w:p>
            <w:pPr>
              <w:spacing w:after="0"/>
              <w:rPr>
                <w:sz w:val="22"/>
                <w:szCs w:val="22"/>
                <w:color w:val="auto"/>
              </w:rPr>
            </w:pPr>
          </w:p>
        </w:tc>
        <w:tc>
          <w:tcPr>
            <w:tcW w:w="19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820" w:type="dxa"/>
            <w:vAlign w:val="bottom"/>
            <w:tcBorders>
              <w:top w:val="single" w:sz="8" w:color="auto"/>
            </w:tcBorders>
            <w:shd w:val="clear" w:color="auto" w:fill="CCEEFF"/>
          </w:tcPr>
          <w:p>
            <w:pPr>
              <w:spacing w:after="0"/>
              <w:rPr>
                <w:sz w:val="22"/>
                <w:szCs w:val="22"/>
                <w:color w:val="auto"/>
              </w:rPr>
            </w:pPr>
          </w:p>
        </w:tc>
      </w:tr>
      <w:tr>
        <w:trPr>
          <w:trHeight w:val="265"/>
        </w:trPr>
        <w:tc>
          <w:tcPr>
            <w:tcW w:w="354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18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19.58</w:t>
            </w:r>
          </w:p>
        </w:tc>
        <w:tc>
          <w:tcPr>
            <w:tcW w:w="12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5"/>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22.12</w:t>
            </w:r>
          </w:p>
        </w:tc>
        <w:tc>
          <w:tcPr>
            <w:tcW w:w="120" w:type="dxa"/>
            <w:vAlign w:val="bottom"/>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spacing w:after="0"/>
              <w:rPr>
                <w:sz w:val="23"/>
                <w:szCs w:val="23"/>
                <w:color w:val="auto"/>
              </w:rPr>
            </w:pPr>
          </w:p>
        </w:tc>
      </w:tr>
      <w:tr>
        <w:trPr>
          <w:trHeight w:val="245"/>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October 31, 2016</w:t>
            </w:r>
          </w:p>
        </w:tc>
        <w:tc>
          <w:tcPr>
            <w:tcW w:w="1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17.74</w:t>
            </w:r>
          </w:p>
        </w:tc>
        <w:tc>
          <w:tcPr>
            <w:tcW w:w="120" w:type="dxa"/>
            <w:vAlign w:val="bottom"/>
            <w:tcBorders>
              <w:bottom w:val="single" w:sz="8" w:color="CCEEFF"/>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w:t>
            </w:r>
          </w:p>
        </w:tc>
      </w:tr>
      <w:tr>
        <w:trPr>
          <w:trHeight w:val="250"/>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Exercisable at October 31, 2016</w:t>
            </w:r>
          </w:p>
        </w:tc>
        <w:tc>
          <w:tcPr>
            <w:tcW w:w="1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19.02</w:t>
            </w:r>
          </w:p>
        </w:tc>
        <w:tc>
          <w:tcPr>
            <w:tcW w:w="120" w:type="dxa"/>
            <w:vAlign w:val="bottom"/>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bl>
    <w:p>
      <w:pPr>
        <w:spacing w:after="0" w:line="139"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21"/>
          <w:szCs w:val="21"/>
          <w:color w:val="auto"/>
          <w:vertAlign w:val="superscript"/>
        </w:rPr>
      </w:pPr>
      <w:r>
        <w:rPr>
          <w:rFonts w:ascii="Arial" w:cs="Arial" w:eastAsia="Arial" w:hAnsi="Arial"/>
          <w:sz w:val="17"/>
          <w:szCs w:val="17"/>
          <w:color w:val="auto"/>
        </w:rPr>
        <w:t>Excludes contractual terms associated with plans prior to the 2006 Equity Plan due to the uncertainty of expiration.</w:t>
      </w:r>
    </w:p>
    <w:p>
      <w:pPr>
        <w:spacing w:after="0" w:line="126" w:lineRule="exact"/>
        <w:rPr>
          <w:rFonts w:ascii="Arial" w:cs="Arial" w:eastAsia="Arial" w:hAnsi="Arial"/>
          <w:sz w:val="21"/>
          <w:szCs w:val="21"/>
          <w:color w:val="auto"/>
          <w:vertAlign w:val="superscript"/>
        </w:rPr>
      </w:pPr>
    </w:p>
    <w:p>
      <w:pPr>
        <w:ind w:left="200" w:hanging="192"/>
        <w:spacing w:after="0"/>
        <w:tabs>
          <w:tab w:leader="none" w:pos="200"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Amount by which the current market price of our common stock on October 31, 2016 exceeds the exercise price.</w:t>
      </w:r>
    </w:p>
    <w:p>
      <w:pPr>
        <w:spacing w:after="0" w:line="1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October 31, 2016, total unrecognized compensation cost, net of estimated forfeitures, related to stock option grants was $0.1 million, which is expected to be recognized ratably over a weighted-average vesting period of 0.8 years. For 2016, 2015, and 2014, the total intrinsic value of stock options exercised was $ 3.4 million, $ 8.8 million, and $ 3.8 million, respectively. In 2016, 2015, and 2014, the total grant date fair value of stock options vested was $1.7 million, $2.1 million, and $1.5 million, respectively.</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522" w:right="239" w:bottom="1440" w:gutter="0" w:footer="0" w:header="0"/>
        </w:sectPr>
      </w:pPr>
    </w:p>
    <w:bookmarkStart w:id="88" w:name="page89"/>
    <w:bookmarkEnd w:id="88"/>
    <w:p>
      <w:pPr>
        <w:ind w:left="60"/>
        <w:spacing w:after="0"/>
        <w:rPr>
          <w:sz w:val="20"/>
          <w:szCs w:val="20"/>
          <w:color w:val="auto"/>
        </w:rPr>
      </w:pPr>
      <w:r>
        <w:rPr>
          <w:rFonts w:ascii="Arial" w:cs="Arial" w:eastAsia="Arial" w:hAnsi="Arial"/>
          <w:sz w:val="18"/>
          <w:szCs w:val="18"/>
          <w:b w:val="1"/>
          <w:bCs w:val="1"/>
          <w:color w:val="auto"/>
        </w:rPr>
        <w:t>Employee Stock Purchase Plan</w:t>
      </w:r>
    </w:p>
    <w:p>
      <w:pPr>
        <w:spacing w:after="0" w:line="333"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Years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29845</wp:posOffset>
            </wp:positionV>
            <wp:extent cx="276161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08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30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40" w:type="dxa"/>
            <w:vAlign w:val="bottom"/>
            <w:tcBorders>
              <w:top w:val="single" w:sz="8" w:color="auto"/>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0"/>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Weighted average fair value of granted purchase rights per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r>
      <w:tr>
        <w:trPr>
          <w:trHeight w:val="265"/>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Common stock issued</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5"/>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Fair value of common stock issued per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28.77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25.78</w:t>
            </w:r>
          </w:p>
        </w:tc>
      </w:tr>
      <w:tr>
        <w:trPr>
          <w:trHeight w:val="261"/>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Aggregate purchases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400"/>
        </w:trPr>
        <w:tc>
          <w:tcPr>
            <w:tcW w:w="7080" w:type="dxa"/>
            <w:vAlign w:val="bottom"/>
            <w:gridSpan w:val="3"/>
          </w:tcPr>
          <w:p>
            <w:pPr>
              <w:spacing w:after="0"/>
              <w:rPr>
                <w:sz w:val="20"/>
                <w:szCs w:val="20"/>
                <w:color w:val="auto"/>
              </w:rPr>
            </w:pPr>
            <w:r>
              <w:rPr>
                <w:rFonts w:ascii="Arial" w:cs="Arial" w:eastAsia="Arial" w:hAnsi="Arial"/>
                <w:sz w:val="18"/>
                <w:szCs w:val="18"/>
                <w:b w:val="1"/>
                <w:bCs w:val="1"/>
                <w:color w:val="auto"/>
              </w:rPr>
              <w:t>19. INCOME TAXES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8"/>
        </w:trPr>
        <w:tc>
          <w:tcPr>
            <w:tcW w:w="7080" w:type="dxa"/>
            <w:vAlign w:val="bottom"/>
            <w:gridSpan w:val="3"/>
          </w:tcPr>
          <w:p>
            <w:pPr>
              <w:spacing w:after="0"/>
              <w:rPr>
                <w:sz w:val="20"/>
                <w:szCs w:val="20"/>
                <w:color w:val="auto"/>
              </w:rPr>
            </w:pPr>
            <w:r>
              <w:rPr>
                <w:rFonts w:ascii="Arial" w:cs="Arial" w:eastAsia="Arial" w:hAnsi="Arial"/>
                <w:sz w:val="18"/>
                <w:szCs w:val="18"/>
                <w:b w:val="1"/>
                <w:bCs w:val="1"/>
                <w:color w:val="auto"/>
              </w:rPr>
              <w:t>Geographic Sources of Income Before Income Taxes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38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60.5</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65"/>
        </w:trPr>
        <w:tc>
          <w:tcPr>
            <w:tcW w:w="63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55"/>
        </w:trPr>
        <w:tc>
          <w:tcPr>
            <w:tcW w:w="6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Components of Income Tax Benefit (Provision)</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38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2"/>
                <w:szCs w:val="22"/>
                <w:color w:val="auto"/>
              </w:rPr>
            </w:pPr>
          </w:p>
        </w:tc>
      </w:tr>
      <w:tr>
        <w:trPr>
          <w:trHeight w:val="224"/>
        </w:trPr>
        <w:tc>
          <w:tcPr>
            <w:tcW w:w="636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9"/>
                <w:szCs w:val="19"/>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4"/>
        </w:trPr>
        <w:tc>
          <w:tcPr>
            <w:tcW w:w="63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Current:</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65"/>
        </w:trPr>
        <w:tc>
          <w:tcPr>
            <w:tcW w:w="20" w:type="dxa"/>
            <w:vAlign w:val="bottom"/>
          </w:tcPr>
          <w:p>
            <w:pPr>
              <w:spacing w:after="0"/>
              <w:rPr>
                <w:sz w:val="23"/>
                <w:szCs w:val="23"/>
                <w:color w:val="auto"/>
              </w:rPr>
            </w:pPr>
          </w:p>
        </w:tc>
        <w:tc>
          <w:tcPr>
            <w:tcW w:w="6340" w:type="dxa"/>
            <w:vAlign w:val="bottom"/>
            <w:gridSpan w:val="2"/>
          </w:tcPr>
          <w:p>
            <w:pPr>
              <w:ind w:left="14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75"/>
        </w:trPr>
        <w:tc>
          <w:tcPr>
            <w:tcW w:w="20" w:type="dxa"/>
            <w:vAlign w:val="bottom"/>
            <w:shd w:val="clear" w:color="auto" w:fill="CCEEFF"/>
          </w:tcPr>
          <w:p>
            <w:pPr>
              <w:spacing w:after="0"/>
              <w:rPr>
                <w:sz w:val="23"/>
                <w:szCs w:val="23"/>
                <w:color w:val="auto"/>
              </w:rPr>
            </w:pPr>
          </w:p>
        </w:tc>
        <w:tc>
          <w:tcPr>
            <w:tcW w:w="6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65"/>
        </w:trPr>
        <w:tc>
          <w:tcPr>
            <w:tcW w:w="20" w:type="dxa"/>
            <w:vAlign w:val="bottom"/>
          </w:tcPr>
          <w:p>
            <w:pPr>
              <w:spacing w:after="0"/>
              <w:rPr>
                <w:sz w:val="23"/>
                <w:szCs w:val="23"/>
                <w:color w:val="auto"/>
              </w:rPr>
            </w:pPr>
          </w:p>
        </w:tc>
        <w:tc>
          <w:tcPr>
            <w:tcW w:w="6340" w:type="dxa"/>
            <w:vAlign w:val="bottom"/>
            <w:gridSpan w:val="2"/>
          </w:tcPr>
          <w:p>
            <w:pPr>
              <w:ind w:left="14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5"/>
        </w:trPr>
        <w:tc>
          <w:tcPr>
            <w:tcW w:w="63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Deferred:</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5"/>
        </w:trPr>
        <w:tc>
          <w:tcPr>
            <w:tcW w:w="20" w:type="dxa"/>
            <w:vAlign w:val="bottom"/>
          </w:tcPr>
          <w:p>
            <w:pPr>
              <w:spacing w:after="0"/>
              <w:rPr>
                <w:sz w:val="23"/>
                <w:szCs w:val="23"/>
                <w:color w:val="auto"/>
              </w:rPr>
            </w:pPr>
          </w:p>
        </w:tc>
        <w:tc>
          <w:tcPr>
            <w:tcW w:w="6340" w:type="dxa"/>
            <w:vAlign w:val="bottom"/>
            <w:gridSpan w:val="2"/>
          </w:tcPr>
          <w:p>
            <w:pPr>
              <w:ind w:left="140"/>
              <w:spacing w:after="0"/>
              <w:rPr>
                <w:sz w:val="20"/>
                <w:szCs w:val="20"/>
                <w:color w:val="auto"/>
              </w:rPr>
            </w:pPr>
            <w:r>
              <w:rPr>
                <w:rFonts w:ascii="Arial" w:cs="Arial" w:eastAsia="Arial" w:hAnsi="Arial"/>
                <w:sz w:val="18"/>
                <w:szCs w:val="18"/>
                <w:color w:val="auto"/>
              </w:rPr>
              <w:t>Federal</w:t>
            </w:r>
          </w:p>
        </w:tc>
        <w:tc>
          <w:tcPr>
            <w:tcW w:w="3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5"/>
        </w:trPr>
        <w:tc>
          <w:tcPr>
            <w:tcW w:w="20" w:type="dxa"/>
            <w:vAlign w:val="bottom"/>
            <w:shd w:val="clear" w:color="auto" w:fill="CCEEFF"/>
          </w:tcPr>
          <w:p>
            <w:pPr>
              <w:spacing w:after="0"/>
              <w:rPr>
                <w:sz w:val="23"/>
                <w:szCs w:val="23"/>
                <w:color w:val="auto"/>
              </w:rPr>
            </w:pPr>
          </w:p>
        </w:tc>
        <w:tc>
          <w:tcPr>
            <w:tcW w:w="6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65"/>
        </w:trPr>
        <w:tc>
          <w:tcPr>
            <w:tcW w:w="20" w:type="dxa"/>
            <w:vAlign w:val="bottom"/>
            <w:tcBorders>
              <w:bottom w:val="single" w:sz="8" w:color="CCEEFF"/>
            </w:tcBorders>
          </w:tcPr>
          <w:p>
            <w:pPr>
              <w:spacing w:after="0"/>
              <w:rPr>
                <w:sz w:val="23"/>
                <w:szCs w:val="23"/>
                <w:color w:val="auto"/>
              </w:rPr>
            </w:pPr>
          </w:p>
        </w:tc>
        <w:tc>
          <w:tcPr>
            <w:tcW w:w="63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55"/>
        </w:trPr>
        <w:tc>
          <w:tcPr>
            <w:tcW w:w="6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benefit (provision)</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the U.S. Statutory Tax Rate to Annual Effective (Benefit) Tax Rate</w:t>
      </w:r>
    </w:p>
    <w:p>
      <w:pPr>
        <w:spacing w:after="0" w:line="347"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Years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29845</wp:posOffset>
            </wp:positionV>
            <wp:extent cx="331914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2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jc w:val="right"/>
              <w:ind w:right="558"/>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558"/>
              <w:spacing w:after="0"/>
              <w:rPr>
                <w:sz w:val="20"/>
                <w:szCs w:val="20"/>
                <w:color w:val="auto"/>
              </w:rPr>
            </w:pPr>
            <w:r>
              <w:rPr>
                <w:rFonts w:ascii="Arial" w:cs="Arial" w:eastAsia="Arial" w:hAnsi="Arial"/>
                <w:sz w:val="18"/>
                <w:szCs w:val="18"/>
                <w:b w:val="1"/>
                <w:bCs w:val="1"/>
                <w:color w:val="auto"/>
              </w:rPr>
              <w:t>2014</w:t>
            </w:r>
          </w:p>
        </w:tc>
      </w:tr>
      <w:tr>
        <w:trPr>
          <w:trHeight w:val="251"/>
        </w:trPr>
        <w:tc>
          <w:tcPr>
            <w:tcW w:w="726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U.S. statutory rate</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35.0 %</w:t>
            </w: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35.0 %</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35.0 %</w:t>
            </w:r>
          </w:p>
        </w:tc>
      </w:tr>
      <w:tr>
        <w:trPr>
          <w:trHeight w:val="262"/>
        </w:trPr>
        <w:tc>
          <w:tcPr>
            <w:tcW w:w="7260" w:type="dxa"/>
            <w:vAlign w:val="bottom"/>
            <w:gridSpan w:val="2"/>
          </w:tcPr>
          <w:p>
            <w:pPr>
              <w:ind w:left="180"/>
              <w:spacing w:after="0"/>
              <w:rPr>
                <w:sz w:val="20"/>
                <w:szCs w:val="20"/>
                <w:color w:val="auto"/>
              </w:rPr>
            </w:pPr>
            <w:r>
              <w:rPr>
                <w:rFonts w:ascii="Arial" w:cs="Arial" w:eastAsia="Arial" w:hAnsi="Arial"/>
                <w:sz w:val="16"/>
                <w:szCs w:val="16"/>
                <w:color w:val="auto"/>
              </w:rPr>
              <w:t>State and local income taxes, net of federal tax benefit</w:t>
            </w: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2"/>
                <w:szCs w:val="22"/>
                <w:color w:val="auto"/>
              </w:rPr>
            </w:pPr>
          </w:p>
        </w:tc>
        <w:tc>
          <w:tcPr>
            <w:tcW w:w="1660" w:type="dxa"/>
            <w:vAlign w:val="bottom"/>
          </w:tcPr>
          <w:p>
            <w:pPr>
              <w:jc w:val="right"/>
              <w:ind w:right="158"/>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2"/>
                <w:szCs w:val="22"/>
                <w:color w:val="auto"/>
              </w:rPr>
            </w:pPr>
          </w:p>
        </w:tc>
        <w:tc>
          <w:tcPr>
            <w:tcW w:w="1680" w:type="dxa"/>
            <w:vAlign w:val="bottom"/>
          </w:tcPr>
          <w:p>
            <w:pPr>
              <w:jc w:val="right"/>
              <w:ind w:right="138"/>
              <w:spacing w:after="0"/>
              <w:rPr>
                <w:sz w:val="20"/>
                <w:szCs w:val="20"/>
                <w:color w:val="auto"/>
              </w:rPr>
            </w:pPr>
            <w:r>
              <w:rPr>
                <w:rFonts w:ascii="Arial" w:cs="Arial" w:eastAsia="Arial" w:hAnsi="Arial"/>
                <w:sz w:val="16"/>
                <w:szCs w:val="16"/>
                <w:color w:val="auto"/>
              </w:rPr>
              <w:t>6.7</w:t>
            </w:r>
          </w:p>
        </w:tc>
      </w:tr>
      <w:tr>
        <w:trPr>
          <w:trHeight w:val="278"/>
        </w:trPr>
        <w:tc>
          <w:tcPr>
            <w:tcW w:w="72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Federal and state tax credits</w:t>
            </w: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(22.7)</w:t>
            </w:r>
          </w:p>
        </w:tc>
        <w:tc>
          <w:tcPr>
            <w:tcW w:w="1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(2.2)</w:t>
            </w:r>
          </w:p>
        </w:tc>
      </w:tr>
      <w:tr>
        <w:trPr>
          <w:trHeight w:val="262"/>
        </w:trPr>
        <w:tc>
          <w:tcPr>
            <w:tcW w:w="7260" w:type="dxa"/>
            <w:vAlign w:val="bottom"/>
            <w:gridSpan w:val="2"/>
          </w:tcPr>
          <w:p>
            <w:pPr>
              <w:ind w:left="180"/>
              <w:spacing w:after="0"/>
              <w:rPr>
                <w:sz w:val="20"/>
                <w:szCs w:val="20"/>
                <w:color w:val="auto"/>
              </w:rPr>
            </w:pPr>
            <w:r>
              <w:rPr>
                <w:rFonts w:ascii="Arial" w:cs="Arial" w:eastAsia="Arial" w:hAnsi="Arial"/>
                <w:sz w:val="16"/>
                <w:szCs w:val="16"/>
                <w:color w:val="auto"/>
              </w:rPr>
              <w:t>Impact of foreign operations</w:t>
            </w: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2"/>
                <w:szCs w:val="22"/>
                <w:color w:val="auto"/>
              </w:rPr>
            </w:pPr>
          </w:p>
        </w:tc>
        <w:tc>
          <w:tcPr>
            <w:tcW w:w="1660" w:type="dxa"/>
            <w:vAlign w:val="bottom"/>
          </w:tcPr>
          <w:p>
            <w:pPr>
              <w:jc w:val="right"/>
              <w:ind w:right="98"/>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2"/>
                <w:szCs w:val="22"/>
                <w:color w:val="auto"/>
              </w:rPr>
            </w:pPr>
          </w:p>
        </w:tc>
        <w:tc>
          <w:tcPr>
            <w:tcW w:w="1680" w:type="dxa"/>
            <w:vAlign w:val="bottom"/>
          </w:tcPr>
          <w:p>
            <w:pPr>
              <w:jc w:val="right"/>
              <w:ind w:right="98"/>
              <w:spacing w:after="0"/>
              <w:rPr>
                <w:sz w:val="20"/>
                <w:szCs w:val="20"/>
                <w:color w:val="auto"/>
              </w:rPr>
            </w:pPr>
            <w:r>
              <w:rPr>
                <w:rFonts w:ascii="Arial" w:cs="Arial" w:eastAsia="Arial" w:hAnsi="Arial"/>
                <w:sz w:val="16"/>
                <w:szCs w:val="16"/>
                <w:color w:val="auto"/>
              </w:rPr>
              <w:t>(1.1)</w:t>
            </w:r>
          </w:p>
        </w:tc>
      </w:tr>
      <w:tr>
        <w:trPr>
          <w:trHeight w:val="278"/>
        </w:trPr>
        <w:tc>
          <w:tcPr>
            <w:tcW w:w="72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Changes in uncertain tax positions</w:t>
            </w: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(40.0)</w:t>
            </w:r>
          </w:p>
        </w:tc>
        <w:tc>
          <w:tcPr>
            <w:tcW w:w="1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(2.0)</w:t>
            </w:r>
          </w:p>
        </w:tc>
      </w:tr>
      <w:tr>
        <w:trPr>
          <w:trHeight w:val="262"/>
        </w:trPr>
        <w:tc>
          <w:tcPr>
            <w:tcW w:w="7260" w:type="dxa"/>
            <w:vAlign w:val="bottom"/>
            <w:gridSpan w:val="2"/>
          </w:tcPr>
          <w:p>
            <w:pPr>
              <w:ind w:left="180"/>
              <w:spacing w:after="0"/>
              <w:rPr>
                <w:sz w:val="20"/>
                <w:szCs w:val="20"/>
                <w:color w:val="auto"/>
              </w:rPr>
            </w:pPr>
            <w:r>
              <w:rPr>
                <w:rFonts w:ascii="Arial" w:cs="Arial" w:eastAsia="Arial" w:hAnsi="Arial"/>
                <w:sz w:val="16"/>
                <w:szCs w:val="16"/>
                <w:color w:val="auto"/>
              </w:rPr>
              <w:t>Incremental tax benefit from share-based compensation awards</w:t>
            </w: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2"/>
                <w:szCs w:val="22"/>
                <w:color w:val="auto"/>
              </w:rPr>
            </w:pPr>
          </w:p>
        </w:tc>
        <w:tc>
          <w:tcPr>
            <w:tcW w:w="17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38"/>
              <w:spacing w:after="0"/>
              <w:rPr>
                <w:sz w:val="20"/>
                <w:szCs w:val="20"/>
                <w:color w:val="auto"/>
              </w:rPr>
            </w:pPr>
            <w:r>
              <w:rPr>
                <w:rFonts w:ascii="Arial" w:cs="Arial" w:eastAsia="Arial" w:hAnsi="Arial"/>
                <w:sz w:val="16"/>
                <w:szCs w:val="16"/>
                <w:color w:val="auto"/>
              </w:rPr>
              <w:t>—</w:t>
            </w:r>
          </w:p>
        </w:tc>
      </w:tr>
      <w:tr>
        <w:trPr>
          <w:trHeight w:val="278"/>
        </w:trPr>
        <w:tc>
          <w:tcPr>
            <w:tcW w:w="72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Nondeductible expenses</w:t>
            </w:r>
          </w:p>
        </w:tc>
        <w:tc>
          <w:tcPr>
            <w:tcW w:w="6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2.6</w:t>
            </w:r>
          </w:p>
        </w:tc>
      </w:tr>
      <w:tr>
        <w:trPr>
          <w:trHeight w:val="264"/>
        </w:trPr>
        <w:tc>
          <w:tcPr>
            <w:tcW w:w="62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net</w:t>
            </w:r>
          </w:p>
        </w:tc>
        <w:tc>
          <w:tcPr>
            <w:tcW w:w="10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0.5</w:t>
            </w:r>
          </w:p>
        </w:tc>
      </w:tr>
      <w:tr>
        <w:trPr>
          <w:trHeight w:val="243"/>
        </w:trPr>
        <w:tc>
          <w:tcPr>
            <w:tcW w:w="726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Annual effective (benefit) tax rate</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(20.0)%</w:t>
            </w: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25.3 %</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39.5 %</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income taxes for 2016 were favorably impacted by (i) a benefit of $20.8 million, including interest of $0.6 million, primarily related to a lapse of statutes of limitations, (ii) $6.7 million of WOTC related to new hires in 2016, (iii) $5.1 million of WOTC from the retroactive reinstatement of the WOTC for calendar year 2015, (iv) $2.2 million in benefits resulting from the adoption of ASU 2016-09, and (v) $1.2 million of tax deductions for energy efficient government buildings.</w:t>
      </w:r>
    </w:p>
    <w:p>
      <w:pPr>
        <w:sectPr>
          <w:pgSz w:w="11900" w:h="16838" w:orient="portrait"/>
          <w:cols w:equalWidth="0" w:num="1">
            <w:col w:w="11420"/>
          </w:cols>
          <w:pgMar w:left="240" w:top="520" w:right="239" w:bottom="1440" w:gutter="0" w:footer="0" w:header="0"/>
        </w:sect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520" w:right="239" w:bottom="1440" w:gutter="0" w:footer="0" w:header="0"/>
          <w:type w:val="continuous"/>
        </w:sectPr>
      </w:pPr>
    </w:p>
    <w:bookmarkStart w:id="89" w:name="page90"/>
    <w:bookmarkEnd w:id="89"/>
    <w:p>
      <w:pPr>
        <w:jc w:val="both"/>
        <w:ind w:firstLine="648"/>
        <w:spacing w:after="0" w:line="264" w:lineRule="auto"/>
        <w:rPr>
          <w:sz w:val="20"/>
          <w:szCs w:val="20"/>
          <w:color w:val="auto"/>
        </w:rPr>
      </w:pPr>
      <w:r>
        <w:rPr>
          <w:rFonts w:ascii="Arial" w:cs="Arial" w:eastAsia="Arial" w:hAnsi="Arial"/>
          <w:sz w:val="18"/>
          <w:szCs w:val="18"/>
          <w:color w:val="auto"/>
        </w:rPr>
        <w:t>The effective tax rates on income from continuing operations for 2015 and 2014 were 25.3% and 39.5%, respectively. The effective tax rate for 2015 was lower than the rate for 2014 principally due to (i) $2.8 million of WOTC from the retroactive reinstatement of the WOTC for calendar year 2014, (ii) $2.0 million of tax deductions for energy efficient government buildings, (iii) $1.6 million of state employment-based tax credits, and (iv) $1.6 million of tax benefits related to a lapse of statutes of limitations.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Deferred Tax Assets and Liabilities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76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As of October 31,</w:t>
            </w:r>
          </w:p>
        </w:tc>
        <w:tc>
          <w:tcPr>
            <w:tcW w:w="1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5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60" w:type="dxa"/>
            <w:vAlign w:val="bottom"/>
          </w:tcPr>
          <w:p>
            <w:pPr>
              <w:spacing w:after="0"/>
              <w:rPr>
                <w:sz w:val="19"/>
                <w:szCs w:val="19"/>
                <w:color w:val="auto"/>
              </w:rPr>
            </w:pPr>
          </w:p>
        </w:tc>
        <w:tc>
          <w:tcPr>
            <w:tcW w:w="1840" w:type="dxa"/>
            <w:vAlign w:val="bottom"/>
          </w:tcPr>
          <w:p>
            <w:pPr>
              <w:jc w:val="right"/>
              <w:ind w:right="9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60" w:type="dxa"/>
            <w:vAlign w:val="bottom"/>
          </w:tcPr>
          <w:p>
            <w:pPr>
              <w:jc w:val="right"/>
              <w:ind w:right="9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7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650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Deferred tax assets attributable to:</w:t>
            </w:r>
          </w:p>
        </w:tc>
        <w:tc>
          <w:tcPr>
            <w:tcW w:w="56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6460" w:type="dxa"/>
            <w:vAlign w:val="bottom"/>
            <w:gridSpan w:val="2"/>
          </w:tcPr>
          <w:p>
            <w:pPr>
              <w:ind w:left="140"/>
              <w:spacing w:after="0"/>
              <w:rPr>
                <w:sz w:val="20"/>
                <w:szCs w:val="20"/>
                <w:color w:val="auto"/>
              </w:rPr>
            </w:pPr>
            <w:r>
              <w:rPr>
                <w:rFonts w:ascii="Arial" w:cs="Arial" w:eastAsia="Arial" w:hAnsi="Arial"/>
                <w:sz w:val="18"/>
                <w:szCs w:val="18"/>
                <w:color w:val="auto"/>
              </w:rPr>
              <w:t>Self-insurance claims (net of recoverables)</w:t>
            </w:r>
          </w:p>
        </w:tc>
        <w:tc>
          <w:tcPr>
            <w:tcW w:w="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108.4</w:t>
            </w:r>
          </w:p>
        </w:tc>
        <w:tc>
          <w:tcPr>
            <w:tcW w:w="120" w:type="dxa"/>
            <w:vAlign w:val="bottom"/>
          </w:tcPr>
          <w:p>
            <w:pPr>
              <w:spacing w:after="0"/>
              <w:rPr>
                <w:sz w:val="23"/>
                <w:szCs w:val="23"/>
                <w:color w:val="auto"/>
              </w:rPr>
            </w:pP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75"/>
        </w:trPr>
        <w:tc>
          <w:tcPr>
            <w:tcW w:w="40" w:type="dxa"/>
            <w:vAlign w:val="bottom"/>
            <w:shd w:val="clear" w:color="auto" w:fill="CCEEFF"/>
          </w:tcPr>
          <w:p>
            <w:pPr>
              <w:spacing w:after="0"/>
              <w:rPr>
                <w:sz w:val="23"/>
                <w:szCs w:val="23"/>
                <w:color w:val="auto"/>
              </w:rPr>
            </w:pPr>
          </w:p>
        </w:tc>
        <w:tc>
          <w:tcPr>
            <w:tcW w:w="6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and other compensation</w:t>
            </w:r>
          </w:p>
        </w:tc>
        <w:tc>
          <w:tcPr>
            <w:tcW w:w="56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6460" w:type="dxa"/>
            <w:vAlign w:val="bottom"/>
            <w:gridSpan w:val="2"/>
          </w:tcPr>
          <w:p>
            <w:pPr>
              <w:ind w:left="140"/>
              <w:spacing w:after="0"/>
              <w:rPr>
                <w:sz w:val="20"/>
                <w:szCs w:val="20"/>
                <w:color w:val="auto"/>
              </w:rPr>
            </w:pPr>
            <w:r>
              <w:rPr>
                <w:rFonts w:ascii="Arial" w:cs="Arial" w:eastAsia="Arial" w:hAnsi="Arial"/>
                <w:sz w:val="18"/>
                <w:szCs w:val="18"/>
                <w:color w:val="auto"/>
              </w:rPr>
              <w:t>Impairment loss on assets held for sale</w:t>
            </w:r>
          </w:p>
        </w:tc>
        <w:tc>
          <w:tcPr>
            <w:tcW w:w="56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40" w:type="dxa"/>
            <w:vAlign w:val="bottom"/>
            <w:shd w:val="clear" w:color="auto" w:fill="CCEEFF"/>
          </w:tcPr>
          <w:p>
            <w:pPr>
              <w:spacing w:after="0"/>
              <w:rPr>
                <w:sz w:val="23"/>
                <w:szCs w:val="23"/>
                <w:color w:val="auto"/>
              </w:rPr>
            </w:pPr>
          </w:p>
        </w:tc>
        <w:tc>
          <w:tcPr>
            <w:tcW w:w="6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Accounts receivable allowances</w:t>
            </w:r>
          </w:p>
        </w:tc>
        <w:tc>
          <w:tcPr>
            <w:tcW w:w="56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6460" w:type="dxa"/>
            <w:vAlign w:val="bottom"/>
            <w:gridSpan w:val="2"/>
          </w:tcPr>
          <w:p>
            <w:pPr>
              <w:ind w:left="140"/>
              <w:spacing w:after="0"/>
              <w:rPr>
                <w:sz w:val="20"/>
                <w:szCs w:val="20"/>
                <w:color w:val="auto"/>
              </w:rPr>
            </w:pPr>
            <w:r>
              <w:rPr>
                <w:rFonts w:ascii="Arial" w:cs="Arial" w:eastAsia="Arial" w:hAnsi="Arial"/>
                <w:sz w:val="18"/>
                <w:szCs w:val="18"/>
                <w:color w:val="auto"/>
              </w:rPr>
              <w:t>Settlement liabilities</w:t>
            </w:r>
          </w:p>
        </w:tc>
        <w:tc>
          <w:tcPr>
            <w:tcW w:w="56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5"/>
        </w:trPr>
        <w:tc>
          <w:tcPr>
            <w:tcW w:w="40" w:type="dxa"/>
            <w:vAlign w:val="bottom"/>
            <w:shd w:val="clear" w:color="auto" w:fill="CCEEFF"/>
          </w:tcPr>
          <w:p>
            <w:pPr>
              <w:spacing w:after="0"/>
              <w:rPr>
                <w:sz w:val="23"/>
                <w:szCs w:val="23"/>
                <w:color w:val="auto"/>
              </w:rPr>
            </w:pPr>
          </w:p>
        </w:tc>
        <w:tc>
          <w:tcPr>
            <w:tcW w:w="6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accruals</w:t>
            </w:r>
          </w:p>
        </w:tc>
        <w:tc>
          <w:tcPr>
            <w:tcW w:w="56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6460" w:type="dxa"/>
            <w:vAlign w:val="bottom"/>
            <w:gridSpan w:val="2"/>
          </w:tcPr>
          <w:p>
            <w:pPr>
              <w:ind w:left="140"/>
              <w:spacing w:after="0"/>
              <w:rPr>
                <w:sz w:val="20"/>
                <w:szCs w:val="20"/>
                <w:color w:val="auto"/>
              </w:rPr>
            </w:pPr>
            <w:r>
              <w:rPr>
                <w:rFonts w:ascii="Arial" w:cs="Arial" w:eastAsia="Arial" w:hAnsi="Arial"/>
                <w:sz w:val="18"/>
                <w:szCs w:val="18"/>
                <w:color w:val="auto"/>
              </w:rPr>
              <w:t>Other comprehensive income</w:t>
            </w:r>
          </w:p>
        </w:tc>
        <w:tc>
          <w:tcPr>
            <w:tcW w:w="56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5"/>
        </w:trPr>
        <w:tc>
          <w:tcPr>
            <w:tcW w:w="40" w:type="dxa"/>
            <w:vAlign w:val="bottom"/>
            <w:shd w:val="clear" w:color="auto" w:fill="CCEEFF"/>
          </w:tcPr>
          <w:p>
            <w:pPr>
              <w:spacing w:after="0"/>
              <w:rPr>
                <w:sz w:val="23"/>
                <w:szCs w:val="23"/>
                <w:color w:val="auto"/>
              </w:rPr>
            </w:pPr>
          </w:p>
        </w:tc>
        <w:tc>
          <w:tcPr>
            <w:tcW w:w="6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State taxes</w:t>
            </w:r>
          </w:p>
        </w:tc>
        <w:tc>
          <w:tcPr>
            <w:tcW w:w="56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6460" w:type="dxa"/>
            <w:vAlign w:val="bottom"/>
            <w:gridSpan w:val="2"/>
          </w:tcPr>
          <w:p>
            <w:pPr>
              <w:ind w:left="140"/>
              <w:spacing w:after="0"/>
              <w:rPr>
                <w:sz w:val="20"/>
                <w:szCs w:val="20"/>
                <w:color w:val="auto"/>
              </w:rPr>
            </w:pPr>
            <w:r>
              <w:rPr>
                <w:rFonts w:ascii="Arial" w:cs="Arial" w:eastAsia="Arial" w:hAnsi="Arial"/>
                <w:sz w:val="18"/>
                <w:szCs w:val="18"/>
                <w:color w:val="auto"/>
              </w:rPr>
              <w:t>State net operating loss carryforwards</w:t>
            </w:r>
          </w:p>
        </w:tc>
        <w:tc>
          <w:tcPr>
            <w:tcW w:w="56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5"/>
        </w:trPr>
        <w:tc>
          <w:tcPr>
            <w:tcW w:w="40" w:type="dxa"/>
            <w:vAlign w:val="bottom"/>
            <w:shd w:val="clear" w:color="auto" w:fill="CCEEFF"/>
          </w:tcPr>
          <w:p>
            <w:pPr>
              <w:spacing w:after="0"/>
              <w:rPr>
                <w:sz w:val="23"/>
                <w:szCs w:val="23"/>
                <w:color w:val="auto"/>
              </w:rPr>
            </w:pPr>
          </w:p>
        </w:tc>
        <w:tc>
          <w:tcPr>
            <w:tcW w:w="6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Tax credits</w:t>
            </w:r>
          </w:p>
        </w:tc>
        <w:tc>
          <w:tcPr>
            <w:tcW w:w="56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65"/>
        </w:trPr>
        <w:tc>
          <w:tcPr>
            <w:tcW w:w="40" w:type="dxa"/>
            <w:vAlign w:val="bottom"/>
            <w:tcBorders>
              <w:bottom w:val="single" w:sz="8" w:color="CCEEFF"/>
            </w:tcBorders>
          </w:tcPr>
          <w:p>
            <w:pPr>
              <w:spacing w:after="0"/>
              <w:rPr>
                <w:sz w:val="23"/>
                <w:szCs w:val="23"/>
                <w:color w:val="auto"/>
              </w:rPr>
            </w:pPr>
          </w:p>
        </w:tc>
        <w:tc>
          <w:tcPr>
            <w:tcW w:w="6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55"/>
        </w:trPr>
        <w:tc>
          <w:tcPr>
            <w:tcW w:w="650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Gross deferred tax assets</w:t>
            </w:r>
          </w:p>
        </w:tc>
        <w:tc>
          <w:tcPr>
            <w:tcW w:w="560" w:type="dxa"/>
            <w:vAlign w:val="bottom"/>
            <w:shd w:val="clear" w:color="auto" w:fill="CCEEFF"/>
          </w:tcPr>
          <w:p>
            <w:pPr>
              <w:spacing w:after="0"/>
              <w:rPr>
                <w:sz w:val="22"/>
                <w:szCs w:val="22"/>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183.3</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69"/>
        </w:trPr>
        <w:tc>
          <w:tcPr>
            <w:tcW w:w="65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Valuation allowance</w:t>
            </w:r>
          </w:p>
        </w:tc>
        <w:tc>
          <w:tcPr>
            <w:tcW w:w="56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0"/>
        </w:trPr>
        <w:tc>
          <w:tcPr>
            <w:tcW w:w="650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deferred tax assets</w:t>
            </w:r>
          </w:p>
        </w:tc>
        <w:tc>
          <w:tcPr>
            <w:tcW w:w="56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177.9</w:t>
            </w:r>
          </w:p>
        </w:tc>
        <w:tc>
          <w:tcPr>
            <w:tcW w:w="120" w:type="dxa"/>
            <w:vAlign w:val="bottom"/>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50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Deferred tax liabilities attributable to:</w:t>
            </w:r>
          </w:p>
        </w:tc>
        <w:tc>
          <w:tcPr>
            <w:tcW w:w="56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6460" w:type="dxa"/>
            <w:vAlign w:val="bottom"/>
            <w:gridSpan w:val="2"/>
          </w:tcPr>
          <w:p>
            <w:pPr>
              <w:ind w:left="140"/>
              <w:spacing w:after="0"/>
              <w:rPr>
                <w:sz w:val="20"/>
                <w:szCs w:val="20"/>
                <w:color w:val="auto"/>
              </w:rPr>
            </w:pPr>
            <w:r>
              <w:rPr>
                <w:rFonts w:ascii="Arial" w:cs="Arial" w:eastAsia="Arial" w:hAnsi="Arial"/>
                <w:sz w:val="18"/>
                <w:szCs w:val="18"/>
                <w:color w:val="auto"/>
              </w:rPr>
              <w:t>Property, plant and equipment</w:t>
            </w:r>
          </w:p>
        </w:tc>
        <w:tc>
          <w:tcPr>
            <w:tcW w:w="56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5"/>
        </w:trPr>
        <w:tc>
          <w:tcPr>
            <w:tcW w:w="40" w:type="dxa"/>
            <w:vAlign w:val="bottom"/>
            <w:shd w:val="clear" w:color="auto" w:fill="CCEEFF"/>
          </w:tcPr>
          <w:p>
            <w:pPr>
              <w:spacing w:after="0"/>
              <w:rPr>
                <w:sz w:val="23"/>
                <w:szCs w:val="23"/>
                <w:color w:val="auto"/>
              </w:rPr>
            </w:pPr>
          </w:p>
        </w:tc>
        <w:tc>
          <w:tcPr>
            <w:tcW w:w="6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Goodwill and other acquired intangibles</w:t>
            </w:r>
          </w:p>
        </w:tc>
        <w:tc>
          <w:tcPr>
            <w:tcW w:w="56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2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49"/>
        </w:trPr>
        <w:tc>
          <w:tcPr>
            <w:tcW w:w="65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Total deferred tax liabilities</w:t>
            </w:r>
          </w:p>
        </w:tc>
        <w:tc>
          <w:tcPr>
            <w:tcW w:w="5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w:t>
            </w:r>
          </w:p>
        </w:tc>
        <w:tc>
          <w:tcPr>
            <w:tcW w:w="1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576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0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deferred tax assets</w:t>
            </w:r>
          </w:p>
        </w:tc>
        <w:tc>
          <w:tcPr>
            <w:tcW w:w="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
        </w:trPr>
        <w:tc>
          <w:tcPr>
            <w:tcW w:w="6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Operating Loss Carryforwards</w:t>
            </w:r>
          </w:p>
        </w:tc>
        <w:tc>
          <w:tcPr>
            <w:tcW w:w="5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500" w:type="dxa"/>
            <w:vAlign w:val="bottom"/>
            <w:gridSpan w:val="3"/>
            <w:vMerge w:val="continue"/>
          </w:tcPr>
          <w:p>
            <w:pPr>
              <w:spacing w:after="0"/>
              <w:rPr>
                <w:sz w:val="24"/>
                <w:szCs w:val="24"/>
                <w:color w:val="auto"/>
              </w:rPr>
            </w:pPr>
          </w:p>
        </w:tc>
        <w:tc>
          <w:tcPr>
            <w:tcW w:w="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Operating loss carryforwards totaling $8.7 million at October 31, 2016 are being carried forward in a number of state jurisdictions where we are permitted to use tax operating losses from prior periods to reduce future taxable income. These operating losses will expire between 2017 and 2036.</w:t>
      </w:r>
    </w:p>
    <w:p>
      <w:pPr>
        <w:spacing w:after="0" w:line="10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valuation allowance represents the amount of tax benefits related to state net operating loss carryforwards that are not likely to be realized. We believe the remaining net deferred tax assets are more likely than not to be realizable based on estimates of future taxable income.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the Deferred Tax Asset Valuation Allowance</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5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5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Valuation allowance at beginning of year</w:t>
            </w:r>
          </w:p>
        </w:tc>
        <w:tc>
          <w:tcPr>
            <w:tcW w:w="2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4520" w:type="dxa"/>
            <w:vAlign w:val="bottom"/>
            <w:gridSpan w:val="2"/>
          </w:tcPr>
          <w:p>
            <w:pPr>
              <w:ind w:left="140"/>
              <w:spacing w:after="0"/>
              <w:rPr>
                <w:sz w:val="20"/>
                <w:szCs w:val="20"/>
                <w:color w:val="auto"/>
              </w:rPr>
            </w:pPr>
            <w:r>
              <w:rPr>
                <w:rFonts w:ascii="Arial" w:cs="Arial" w:eastAsia="Arial" w:hAnsi="Arial"/>
                <w:sz w:val="18"/>
                <w:szCs w:val="18"/>
                <w:color w:val="auto"/>
              </w:rPr>
              <w:t>Sale of Security business</w:t>
            </w:r>
          </w:p>
        </w:tc>
        <w:tc>
          <w:tcPr>
            <w:tcW w:w="1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18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4560" w:type="dxa"/>
            <w:vAlign w:val="bottom"/>
            <w:gridSpan w:val="3"/>
          </w:tcPr>
          <w:p>
            <w:pPr>
              <w:ind w:left="40"/>
              <w:spacing w:after="0"/>
              <w:rPr>
                <w:sz w:val="20"/>
                <w:szCs w:val="20"/>
                <w:color w:val="auto"/>
              </w:rPr>
            </w:pPr>
            <w:r>
              <w:rPr>
                <w:rFonts w:ascii="Arial" w:cs="Arial" w:eastAsia="Arial" w:hAnsi="Arial"/>
                <w:sz w:val="18"/>
                <w:szCs w:val="18"/>
                <w:b w:val="1"/>
                <w:bCs w:val="1"/>
                <w:color w:val="auto"/>
              </w:rPr>
              <w:t>Valuation allowance at end of year</w:t>
            </w:r>
          </w:p>
        </w:tc>
        <w:tc>
          <w:tcPr>
            <w:tcW w:w="2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2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86</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2"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Unrecognized Tax Benefits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At October 31, 2016, 2015, and 2014, there were $52.0 million, $75.6 million, and $78.6 million, respectively, of unrecognized tax benefits that if recognized in the future, would impact our effective tax rate. We estimate that a decrease in unrecognized tax benefits of up to approximately $17 million is reasonably possible over the next twelve months due to the resolution of certain tax matters. At October 31, 2016 and 2015, accrued interest and penalties were $2.3 million and $3.2 million, respectively. For interest and penalties in 2016, 2015, and 2014, we recognized a benefit of $0.9 million and expense of $1.0 million and $0.9 million, respectively</w:t>
      </w:r>
      <w:r>
        <w:rPr>
          <w:rFonts w:ascii="Times New Roman" w:cs="Times New Roman" w:eastAsia="Times New Roman" w:hAnsi="Times New Roman"/>
          <w:sz w:val="19"/>
          <w:szCs w:val="19"/>
          <w:color w:val="auto"/>
        </w:rPr>
        <w: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Total Unrecognized Tax Benefits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2"/>
                <w:szCs w:val="22"/>
                <w:color w:val="auto"/>
              </w:rPr>
            </w:pPr>
          </w:p>
        </w:tc>
      </w:tr>
      <w:tr>
        <w:trPr>
          <w:trHeight w:val="224"/>
        </w:trPr>
        <w:tc>
          <w:tcPr>
            <w:tcW w:w="638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beginning of year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85.5</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87.6</w:t>
            </w:r>
          </w:p>
        </w:tc>
      </w:tr>
      <w:tr>
        <w:trPr>
          <w:trHeight w:val="265"/>
        </w:trPr>
        <w:tc>
          <w:tcPr>
            <w:tcW w:w="40" w:type="dxa"/>
            <w:vAlign w:val="bottom"/>
          </w:tcPr>
          <w:p>
            <w:pPr>
              <w:spacing w:after="0"/>
              <w:rPr>
                <w:sz w:val="23"/>
                <w:szCs w:val="23"/>
                <w:color w:val="auto"/>
              </w:rPr>
            </w:pPr>
          </w:p>
        </w:tc>
        <w:tc>
          <w:tcPr>
            <w:tcW w:w="6340" w:type="dxa"/>
            <w:vAlign w:val="bottom"/>
            <w:gridSpan w:val="2"/>
          </w:tcPr>
          <w:p>
            <w:pPr>
              <w:ind w:left="140"/>
              <w:spacing w:after="0"/>
              <w:rPr>
                <w:sz w:val="20"/>
                <w:szCs w:val="20"/>
                <w:color w:val="auto"/>
              </w:rPr>
            </w:pPr>
            <w:r>
              <w:rPr>
                <w:rFonts w:ascii="Arial" w:cs="Arial" w:eastAsia="Arial" w:hAnsi="Arial"/>
                <w:sz w:val="18"/>
                <w:szCs w:val="18"/>
                <w:color w:val="auto"/>
              </w:rPr>
              <w:t>Additions for tax positions related to the current year</w:t>
            </w:r>
          </w:p>
        </w:tc>
        <w:tc>
          <w:tcPr>
            <w:tcW w:w="36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5"/>
        </w:trPr>
        <w:tc>
          <w:tcPr>
            <w:tcW w:w="40" w:type="dxa"/>
            <w:vAlign w:val="bottom"/>
            <w:shd w:val="clear" w:color="auto" w:fill="CCEEFF"/>
          </w:tcPr>
          <w:p>
            <w:pPr>
              <w:spacing w:after="0"/>
              <w:rPr>
                <w:sz w:val="23"/>
                <w:szCs w:val="23"/>
                <w:color w:val="auto"/>
              </w:rPr>
            </w:pPr>
          </w:p>
        </w:tc>
        <w:tc>
          <w:tcPr>
            <w:tcW w:w="6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Reductions for tax positions related to the current year</w:t>
            </w:r>
          </w:p>
        </w:tc>
        <w:tc>
          <w:tcPr>
            <w:tcW w:w="3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5"/>
        </w:trPr>
        <w:tc>
          <w:tcPr>
            <w:tcW w:w="40" w:type="dxa"/>
            <w:vAlign w:val="bottom"/>
          </w:tcPr>
          <w:p>
            <w:pPr>
              <w:spacing w:after="0"/>
              <w:rPr>
                <w:sz w:val="23"/>
                <w:szCs w:val="23"/>
                <w:color w:val="auto"/>
              </w:rPr>
            </w:pPr>
          </w:p>
        </w:tc>
        <w:tc>
          <w:tcPr>
            <w:tcW w:w="6340" w:type="dxa"/>
            <w:vAlign w:val="bottom"/>
            <w:gridSpan w:val="2"/>
          </w:tcPr>
          <w:p>
            <w:pPr>
              <w:ind w:left="140"/>
              <w:spacing w:after="0"/>
              <w:rPr>
                <w:sz w:val="20"/>
                <w:szCs w:val="20"/>
                <w:color w:val="auto"/>
              </w:rPr>
            </w:pPr>
            <w:r>
              <w:rPr>
                <w:rFonts w:ascii="Arial" w:cs="Arial" w:eastAsia="Arial" w:hAnsi="Arial"/>
                <w:sz w:val="18"/>
                <w:szCs w:val="18"/>
                <w:color w:val="auto"/>
              </w:rPr>
              <w:t>Additions for tax positions related to prior years</w:t>
            </w:r>
          </w:p>
        </w:tc>
        <w:tc>
          <w:tcPr>
            <w:tcW w:w="36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5"/>
        </w:trPr>
        <w:tc>
          <w:tcPr>
            <w:tcW w:w="40" w:type="dxa"/>
            <w:vAlign w:val="bottom"/>
            <w:shd w:val="clear" w:color="auto" w:fill="CCEEFF"/>
          </w:tcPr>
          <w:p>
            <w:pPr>
              <w:spacing w:after="0"/>
              <w:rPr>
                <w:sz w:val="23"/>
                <w:szCs w:val="23"/>
                <w:color w:val="auto"/>
              </w:rPr>
            </w:pPr>
          </w:p>
        </w:tc>
        <w:tc>
          <w:tcPr>
            <w:tcW w:w="6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Reductions for tax positions related to prior years</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5"/>
        </w:trPr>
        <w:tc>
          <w:tcPr>
            <w:tcW w:w="40" w:type="dxa"/>
            <w:vAlign w:val="bottom"/>
          </w:tcPr>
          <w:p>
            <w:pPr>
              <w:spacing w:after="0"/>
              <w:rPr>
                <w:sz w:val="23"/>
                <w:szCs w:val="23"/>
                <w:color w:val="auto"/>
              </w:rPr>
            </w:pPr>
          </w:p>
        </w:tc>
        <w:tc>
          <w:tcPr>
            <w:tcW w:w="6340" w:type="dxa"/>
            <w:vAlign w:val="bottom"/>
            <w:gridSpan w:val="2"/>
          </w:tcPr>
          <w:p>
            <w:pPr>
              <w:ind w:left="140"/>
              <w:spacing w:after="0"/>
              <w:rPr>
                <w:sz w:val="20"/>
                <w:szCs w:val="20"/>
                <w:color w:val="auto"/>
              </w:rPr>
            </w:pPr>
            <w:r>
              <w:rPr>
                <w:rFonts w:ascii="Arial" w:cs="Arial" w:eastAsia="Arial" w:hAnsi="Arial"/>
                <w:sz w:val="18"/>
                <w:szCs w:val="18"/>
                <w:color w:val="auto"/>
              </w:rPr>
              <w:t>Reductions for lapse of statute of limitations</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40" w:type="dxa"/>
            <w:vAlign w:val="bottom"/>
            <w:shd w:val="clear" w:color="auto" w:fill="CCEEFF"/>
          </w:tcPr>
          <w:p>
            <w:pPr>
              <w:spacing w:after="0"/>
              <w:rPr>
                <w:sz w:val="23"/>
                <w:szCs w:val="23"/>
                <w:color w:val="auto"/>
              </w:rPr>
            </w:pPr>
          </w:p>
        </w:tc>
        <w:tc>
          <w:tcPr>
            <w:tcW w:w="6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Settlements</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55"/>
        </w:trPr>
        <w:tc>
          <w:tcPr>
            <w:tcW w:w="6380" w:type="dxa"/>
            <w:vAlign w:val="bottom"/>
            <w:gridSpan w:val="3"/>
          </w:tcPr>
          <w:p>
            <w:pPr>
              <w:ind w:left="40"/>
              <w:spacing w:after="0"/>
              <w:rPr>
                <w:sz w:val="20"/>
                <w:szCs w:val="20"/>
                <w:color w:val="auto"/>
              </w:rPr>
            </w:pPr>
            <w:r>
              <w:rPr>
                <w:rFonts w:ascii="Arial" w:cs="Arial" w:eastAsia="Arial" w:hAnsi="Arial"/>
                <w:sz w:val="18"/>
                <w:szCs w:val="18"/>
                <w:b w:val="1"/>
                <w:bCs w:val="1"/>
                <w:color w:val="auto"/>
              </w:rPr>
              <w:t>Balance at end of year</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85.5</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Jurisdictions</w:t>
      </w:r>
    </w:p>
    <w:p>
      <w:pPr>
        <w:spacing w:after="0" w:line="17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We conduct business in all 50 states, significantly in California, Texas, and New York, as well as in various foreign jurisdictions. Our most significant income tax jurisdiction is the United States.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Years Open for Examination, by Entity</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4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Entity</w:t>
            </w:r>
          </w:p>
        </w:tc>
        <w:tc>
          <w:tcPr>
            <w:tcW w:w="5960" w:type="dxa"/>
            <w:vAlign w:val="bottom"/>
            <w:tcBorders>
              <w:bottom w:val="single" w:sz="8" w:color="auto"/>
            </w:tcBorders>
          </w:tcPr>
          <w:p>
            <w:pPr>
              <w:jc w:val="center"/>
              <w:ind w:left="3010"/>
              <w:spacing w:after="0"/>
              <w:rPr>
                <w:sz w:val="20"/>
                <w:szCs w:val="20"/>
                <w:color w:val="auto"/>
              </w:rPr>
            </w:pPr>
            <w:r>
              <w:rPr>
                <w:rFonts w:ascii="Arial" w:cs="Arial" w:eastAsia="Arial" w:hAnsi="Arial"/>
                <w:sz w:val="18"/>
                <w:szCs w:val="18"/>
                <w:b w:val="1"/>
                <w:bCs w:val="1"/>
                <w:color w:val="auto"/>
                <w:w w:val="99"/>
              </w:rPr>
              <w:t>Open by Statute</w:t>
            </w:r>
          </w:p>
        </w:tc>
      </w:tr>
      <w:tr>
        <w:trPr>
          <w:trHeight w:val="251"/>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ABM state tax returns</w:t>
            </w:r>
            <w:r>
              <w:rPr>
                <w:rFonts w:ascii="Arial" w:cs="Arial" w:eastAsia="Arial" w:hAnsi="Arial"/>
                <w:sz w:val="21"/>
                <w:szCs w:val="21"/>
                <w:color w:val="auto"/>
                <w:vertAlign w:val="superscript"/>
              </w:rPr>
              <w:t>(1)</w:t>
            </w:r>
          </w:p>
        </w:tc>
        <w:tc>
          <w:tcPr>
            <w:tcW w:w="5960" w:type="dxa"/>
            <w:vAlign w:val="bottom"/>
            <w:shd w:val="clear" w:color="auto" w:fill="CCEEFF"/>
          </w:tcPr>
          <w:p>
            <w:pPr>
              <w:jc w:val="center"/>
              <w:ind w:left="3030"/>
              <w:spacing w:after="0"/>
              <w:rPr>
                <w:sz w:val="20"/>
                <w:szCs w:val="20"/>
                <w:color w:val="auto"/>
              </w:rPr>
            </w:pPr>
            <w:r>
              <w:rPr>
                <w:rFonts w:ascii="Arial" w:cs="Arial" w:eastAsia="Arial" w:hAnsi="Arial"/>
                <w:sz w:val="18"/>
                <w:szCs w:val="18"/>
                <w:color w:val="auto"/>
                <w:w w:val="99"/>
              </w:rPr>
              <w:t>10/31/2012 – 10/31/2016</w:t>
            </w:r>
          </w:p>
        </w:tc>
      </w:tr>
      <w:tr>
        <w:trPr>
          <w:trHeight w:val="247"/>
        </w:trPr>
        <w:tc>
          <w:tcPr>
            <w:tcW w:w="5460" w:type="dxa"/>
            <w:vAlign w:val="bottom"/>
          </w:tcPr>
          <w:p>
            <w:pPr>
              <w:ind w:left="40"/>
              <w:spacing w:after="0"/>
              <w:rPr>
                <w:sz w:val="20"/>
                <w:szCs w:val="20"/>
                <w:color w:val="auto"/>
              </w:rPr>
            </w:pPr>
            <w:r>
              <w:rPr>
                <w:rFonts w:ascii="Arial" w:cs="Arial" w:eastAsia="Arial" w:hAnsi="Arial"/>
                <w:sz w:val="18"/>
                <w:szCs w:val="18"/>
                <w:color w:val="auto"/>
              </w:rPr>
              <w:t>ABM federal tax returns</w:t>
            </w:r>
          </w:p>
        </w:tc>
        <w:tc>
          <w:tcPr>
            <w:tcW w:w="5960" w:type="dxa"/>
            <w:vAlign w:val="bottom"/>
          </w:tcPr>
          <w:p>
            <w:pPr>
              <w:jc w:val="center"/>
              <w:ind w:left="3030"/>
              <w:spacing w:after="0"/>
              <w:rPr>
                <w:sz w:val="20"/>
                <w:szCs w:val="20"/>
                <w:color w:val="auto"/>
              </w:rPr>
            </w:pPr>
            <w:r>
              <w:rPr>
                <w:rFonts w:ascii="Arial" w:cs="Arial" w:eastAsia="Arial" w:hAnsi="Arial"/>
                <w:sz w:val="18"/>
                <w:szCs w:val="18"/>
                <w:color w:val="auto"/>
                <w:w w:val="99"/>
              </w:rPr>
              <w:t>10/31/2013 – 10/31/2016</w:t>
            </w:r>
          </w:p>
        </w:tc>
      </w:tr>
    </w:tbl>
    <w:p>
      <w:pPr>
        <w:spacing w:after="0" w:line="131"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21"/>
          <w:szCs w:val="21"/>
          <w:color w:val="auto"/>
          <w:vertAlign w:val="superscript"/>
        </w:rPr>
      </w:pPr>
      <w:r>
        <w:rPr>
          <w:rFonts w:ascii="Arial" w:cs="Arial" w:eastAsia="Arial" w:hAnsi="Arial"/>
          <w:sz w:val="15"/>
          <w:szCs w:val="15"/>
          <w:color w:val="auto"/>
        </w:rPr>
        <w:t>We are currently being examined by the taxing authorities in the states of Alabama, Arizona, Connecticut, New Jersey, North Carolina, and Tennessee.</w:t>
      </w:r>
    </w:p>
    <w:p>
      <w:pPr>
        <w:spacing w:after="0" w:line="213" w:lineRule="exact"/>
        <w:rPr>
          <w:rFonts w:ascii="Arial" w:cs="Arial" w:eastAsia="Arial" w:hAnsi="Arial"/>
          <w:sz w:val="21"/>
          <w:szCs w:val="21"/>
          <w:color w:val="auto"/>
          <w:vertAlign w:val="superscript"/>
        </w:rPr>
      </w:pPr>
    </w:p>
    <w:p>
      <w:pPr>
        <w:ind w:left="5620"/>
        <w:spacing w:after="0"/>
        <w:rPr>
          <w:rFonts w:ascii="Arial" w:cs="Arial" w:eastAsia="Arial" w:hAnsi="Arial"/>
          <w:sz w:val="21"/>
          <w:szCs w:val="21"/>
          <w:color w:val="auto"/>
          <w:vertAlign w:val="superscript"/>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520" w:right="239" w:bottom="1440" w:gutter="0" w:footer="0" w:header="0"/>
        </w:sectPr>
      </w:pPr>
    </w:p>
    <w:bookmarkStart w:id="91" w:name="page92"/>
    <w:bookmarkEnd w:id="91"/>
    <w:p>
      <w:pPr>
        <w:ind w:right="7200" w:firstLine="8"/>
        <w:spacing w:after="0" w:line="439" w:lineRule="auto"/>
        <w:tabs>
          <w:tab w:leader="none" w:pos="3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INFORMATION Segment Information</w:t>
      </w:r>
    </w:p>
    <w:p>
      <w:pPr>
        <w:spacing w:after="0" w:line="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five reportable segments: Janitorial, Facility Services, Parking, Building &amp; Energy Solutions, and Other. The accounting policies for these segments are the same as those disclosed in Note 2, “Significant Accounting Policies.” Our management evaluates the performance of each reportable segment based on its respective operating profit results, which include the allocation of certain centrally incurred costs. Corporate expenses not allocated to segments include:</w:t>
      </w:r>
    </w:p>
    <w:p>
      <w:pPr>
        <w:spacing w:after="0" w:line="8"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certain CEO and other finance and human resource departmental costs;</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certain information technology costs;</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share-based compensation costs;</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certain legal costs and settlements;</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restructuring and related costs;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certain adjustments resulting from actuarial developments of self-insurance reserves;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direct acquisition costs.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 by Reportable Segment</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38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Janitorial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2,768.4</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2,692.7</w:t>
            </w:r>
          </w:p>
        </w:tc>
        <w:tc>
          <w:tcPr>
            <w:tcW w:w="12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2,583.2</w:t>
            </w:r>
          </w:p>
        </w:tc>
        <w:tc>
          <w:tcPr>
            <w:tcW w:w="0" w:type="dxa"/>
            <w:vAlign w:val="bottom"/>
          </w:tcPr>
          <w:p>
            <w:pPr>
              <w:spacing w:after="0"/>
              <w:rPr>
                <w:sz w:val="1"/>
                <w:szCs w:val="1"/>
                <w:color w:val="auto"/>
              </w:rPr>
            </w:pPr>
          </w:p>
        </w:tc>
      </w:tr>
      <w:tr>
        <w:trPr>
          <w:trHeight w:val="275"/>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Facility Services</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597.2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594.6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599.3</w:t>
            </w:r>
          </w:p>
        </w:tc>
        <w:tc>
          <w:tcPr>
            <w:tcW w:w="0" w:type="dxa"/>
            <w:vAlign w:val="bottom"/>
          </w:tcPr>
          <w:p>
            <w:pPr>
              <w:spacing w:after="0"/>
              <w:rPr>
                <w:sz w:val="1"/>
                <w:szCs w:val="1"/>
                <w:color w:val="auto"/>
              </w:rPr>
            </w:pPr>
          </w:p>
        </w:tc>
      </w:tr>
      <w:tr>
        <w:trPr>
          <w:trHeight w:val="265"/>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Parking</w:t>
            </w: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666.0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631.9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616.1</w:t>
            </w:r>
          </w:p>
        </w:tc>
        <w:tc>
          <w:tcPr>
            <w:tcW w:w="0" w:type="dxa"/>
            <w:vAlign w:val="bottom"/>
          </w:tcPr>
          <w:p>
            <w:pPr>
              <w:spacing w:after="0"/>
              <w:rPr>
                <w:sz w:val="1"/>
                <w:szCs w:val="1"/>
                <w:color w:val="auto"/>
              </w:rPr>
            </w:pPr>
          </w:p>
        </w:tc>
      </w:tr>
      <w:tr>
        <w:trPr>
          <w:trHeight w:val="275"/>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Building &amp; Energy Solutions</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643.2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557.7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483.8</w:t>
            </w:r>
          </w:p>
        </w:tc>
        <w:tc>
          <w:tcPr>
            <w:tcW w:w="0" w:type="dxa"/>
            <w:vAlign w:val="bottom"/>
          </w:tcPr>
          <w:p>
            <w:pPr>
              <w:spacing w:after="0"/>
              <w:rPr>
                <w:sz w:val="1"/>
                <w:szCs w:val="1"/>
                <w:color w:val="auto"/>
              </w:rPr>
            </w:pPr>
          </w:p>
        </w:tc>
      </w:tr>
      <w:tr>
        <w:trPr>
          <w:trHeight w:val="265"/>
        </w:trPr>
        <w:tc>
          <w:tcPr>
            <w:tcW w:w="63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469.9</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420.9</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367.3</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5,144.7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4,897.8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4,649.7</w:t>
            </w: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Operating profit</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380" w:type="dxa"/>
            <w:vAlign w:val="bottom"/>
            <w:gridSpan w:val="3"/>
            <w:vMerge w:val="continue"/>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Janitorial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65"/>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Facility Services</w:t>
            </w: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5"/>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Parking</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65"/>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Building &amp; Energy Solutions</w:t>
            </w: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5"/>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65"/>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Corporate</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(162.3)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11"/>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Adjustment for income from unconsolidated affiliates, net, included in Building</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0" w:type="dxa"/>
            <w:vAlign w:val="bottom"/>
            <w:shd w:val="clear" w:color="auto" w:fill="CCEEFF"/>
          </w:tcPr>
          <w:p>
            <w:pPr>
              <w:spacing w:after="0"/>
              <w:rPr>
                <w:sz w:val="21"/>
                <w:szCs w:val="21"/>
                <w:color w:val="auto"/>
              </w:rPr>
            </w:pPr>
          </w:p>
        </w:tc>
        <w:tc>
          <w:tcPr>
            <w:tcW w:w="6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&amp; Energy Solutions</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7"/>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Adjustment for tax deductions for energy efficient government buildings,</w:t>
            </w: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tcPr>
          <w:p>
            <w:pPr>
              <w:spacing w:after="0"/>
              <w:rPr>
                <w:sz w:val="21"/>
                <w:szCs w:val="21"/>
                <w:color w:val="auto"/>
              </w:rPr>
            </w:pPr>
          </w:p>
        </w:tc>
        <w:tc>
          <w:tcPr>
            <w:tcW w:w="634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included in Building &amp; Energy Solutions</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564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73.6</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45"/>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Income from unconsolidated affiliates, net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55"/>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ind w:left="5620"/>
              <w:spacing w:after="0"/>
              <w:rPr>
                <w:sz w:val="20"/>
                <w:szCs w:val="20"/>
                <w:color w:val="auto"/>
              </w:rPr>
            </w:pPr>
            <w:r>
              <w:rPr>
                <w:rFonts w:ascii="Times New Roman" w:cs="Times New Roman" w:eastAsia="Times New Roman" w:hAnsi="Times New Roman"/>
                <w:sz w:val="18"/>
                <w:szCs w:val="18"/>
                <w:color w:val="auto"/>
              </w:rPr>
              <w:t>88</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38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0" w:right="23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38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Janitorial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982.9</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958.9</w:t>
            </w:r>
          </w:p>
        </w:tc>
        <w:tc>
          <w:tcPr>
            <w:tcW w:w="12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952.8</w:t>
            </w:r>
          </w:p>
        </w:tc>
        <w:tc>
          <w:tcPr>
            <w:tcW w:w="0" w:type="dxa"/>
            <w:vAlign w:val="bottom"/>
          </w:tcPr>
          <w:p>
            <w:pPr>
              <w:spacing w:after="0"/>
              <w:rPr>
                <w:sz w:val="1"/>
                <w:szCs w:val="1"/>
                <w:color w:val="auto"/>
              </w:rPr>
            </w:pPr>
          </w:p>
        </w:tc>
      </w:tr>
      <w:tr>
        <w:trPr>
          <w:trHeight w:val="275"/>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Facility Services</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65"/>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Parking</w:t>
            </w: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160.1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149.1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75"/>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Building &amp; Energy Solutions</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401.3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383.0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332.0</w:t>
            </w:r>
          </w:p>
        </w:tc>
        <w:tc>
          <w:tcPr>
            <w:tcW w:w="0" w:type="dxa"/>
            <w:vAlign w:val="bottom"/>
          </w:tcPr>
          <w:p>
            <w:pPr>
              <w:spacing w:after="0"/>
              <w:rPr>
                <w:sz w:val="1"/>
                <w:szCs w:val="1"/>
                <w:color w:val="auto"/>
              </w:rPr>
            </w:pPr>
          </w:p>
        </w:tc>
      </w:tr>
      <w:tr>
        <w:trPr>
          <w:trHeight w:val="265"/>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267.4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233.6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75"/>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209.8</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65"/>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Assets held for sale</w:t>
            </w: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CCEEFF"/>
              <w:bottom w:val="single" w:sz="8" w:color="CCEEFF"/>
            </w:tcBorders>
            <w:shd w:val="clear" w:color="auto" w:fill="CCEEFF"/>
          </w:tcPr>
          <w:p>
            <w:pPr>
              <w:spacing w:after="0"/>
              <w:rPr>
                <w:sz w:val="21"/>
                <w:szCs w:val="21"/>
                <w:color w:val="auto"/>
              </w:rPr>
            </w:pPr>
          </w:p>
        </w:tc>
        <w:tc>
          <w:tcPr>
            <w:tcW w:w="56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2,130.7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2,060.5</w:t>
            </w: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Depreciation and amortization</w:t>
            </w:r>
            <w:r>
              <w:rPr>
                <w:rFonts w:ascii="Arial" w:cs="Arial" w:eastAsia="Arial" w:hAnsi="Arial"/>
                <w:sz w:val="21"/>
                <w:szCs w:val="21"/>
                <w:b w:val="1"/>
                <w:bCs w:val="1"/>
                <w:color w:val="auto"/>
                <w:vertAlign w:val="superscript"/>
              </w:rPr>
              <w:t>(1)</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380" w:type="dxa"/>
            <w:vAlign w:val="bottom"/>
            <w:gridSpan w:val="3"/>
            <w:vMerge w:val="continue"/>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Janitorial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65"/>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Facility Services</w:t>
            </w: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5"/>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Parking</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65"/>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Building &amp; Energy Solutions</w:t>
            </w: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5"/>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65"/>
        </w:trPr>
        <w:tc>
          <w:tcPr>
            <w:tcW w:w="63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380" w:type="dxa"/>
            <w:vAlign w:val="bottom"/>
            <w:gridSpan w:val="3"/>
            <w:vMerge w:val="continue"/>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Janitorial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65"/>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Facility Services</w:t>
            </w: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5"/>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Parking</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65"/>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Building &amp; Energy Solutions</w:t>
            </w: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5"/>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65"/>
        </w:trPr>
        <w:tc>
          <w:tcPr>
            <w:tcW w:w="63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80" w:hanging="172"/>
        <w:spacing w:after="0"/>
        <w:tabs>
          <w:tab w:leader="none" w:pos="180" w:val="left"/>
        </w:tabs>
        <w:numPr>
          <w:ilvl w:val="0"/>
          <w:numId w:val="44"/>
        </w:numPr>
        <w:rPr>
          <w:rFonts w:ascii="Arial" w:cs="Arial" w:eastAsia="Arial" w:hAnsi="Arial"/>
          <w:sz w:val="21"/>
          <w:szCs w:val="21"/>
          <w:color w:val="auto"/>
          <w:vertAlign w:val="superscript"/>
        </w:rPr>
      </w:pPr>
      <w:r>
        <w:rPr>
          <w:rFonts w:ascii="Arial" w:cs="Arial" w:eastAsia="Arial" w:hAnsi="Arial"/>
          <w:sz w:val="15"/>
          <w:szCs w:val="15"/>
          <w:color w:val="auto"/>
        </w:rPr>
        <w:t>Excludes amortization related to income from unconsolidated affiliates.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 Based on the Country in Which the Sale Originated</w:t>
      </w:r>
      <w:r>
        <w:rPr>
          <w:rFonts w:ascii="Arial" w:cs="Arial" w:eastAsia="Arial" w:hAnsi="Arial"/>
          <w:sz w:val="10"/>
          <w:szCs w:val="10"/>
          <w:b w:val="1"/>
          <w:bCs w:val="1"/>
          <w:color w:val="auto"/>
        </w:rPr>
        <w:t>(1)</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2"/>
                <w:szCs w:val="22"/>
                <w:color w:val="auto"/>
              </w:rPr>
            </w:pPr>
          </w:p>
        </w:tc>
      </w:tr>
      <w:tr>
        <w:trPr>
          <w:trHeight w:val="224"/>
        </w:trPr>
        <w:tc>
          <w:tcPr>
            <w:tcW w:w="638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4"/>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65"/>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4,845.3</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4,687.2</w:t>
            </w:r>
          </w:p>
        </w:tc>
        <w:tc>
          <w:tcPr>
            <w:tcW w:w="12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4,519.4</w:t>
            </w:r>
          </w:p>
        </w:tc>
      </w:tr>
      <w:tr>
        <w:trPr>
          <w:trHeight w:val="27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All other countries</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299.4</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210.6</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130.3</w:t>
            </w:r>
          </w:p>
        </w:tc>
      </w:tr>
      <w:tr>
        <w:trPr>
          <w:trHeight w:val="250"/>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5,144.7</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4,897.8</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4,649.7</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11"/>
          <w:szCs w:val="11"/>
          <w:color w:val="auto"/>
        </w:rPr>
      </w:pPr>
      <w:r>
        <w:rPr>
          <w:rFonts w:ascii="Arial" w:cs="Arial" w:eastAsia="Arial" w:hAnsi="Arial"/>
          <w:sz w:val="16"/>
          <w:szCs w:val="16"/>
          <w:color w:val="auto"/>
        </w:rPr>
        <w:t>Substantially all of our long-lived assets are related to United States operations.</w:t>
      </w:r>
    </w:p>
    <w:p>
      <w:pPr>
        <w:spacing w:after="0" w:line="234" w:lineRule="exact"/>
        <w:rPr>
          <w:rFonts w:ascii="Arial" w:cs="Arial" w:eastAsia="Arial" w:hAnsi="Arial"/>
          <w:sz w:val="11"/>
          <w:szCs w:val="11"/>
          <w:color w:val="auto"/>
        </w:rPr>
      </w:pPr>
    </w:p>
    <w:p>
      <w:pPr>
        <w:ind w:left="5620"/>
        <w:spacing w:after="0"/>
        <w:rPr>
          <w:rFonts w:ascii="Arial" w:cs="Arial" w:eastAsia="Arial" w:hAnsi="Arial"/>
          <w:sz w:val="11"/>
          <w:szCs w:val="11"/>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682"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21. SELECTED QUARTERLY FINANCIAL DATA (UNAUDITED)</w:t>
      </w:r>
    </w:p>
    <w:p>
      <w:pPr>
        <w:spacing w:after="0" w:line="173" w:lineRule="exact"/>
        <w:rPr>
          <w:sz w:val="20"/>
          <w:szCs w:val="20"/>
          <w:color w:val="auto"/>
        </w:rPr>
      </w:pPr>
    </w:p>
    <w:p>
      <w:pPr>
        <w:ind w:left="60" w:firstLine="648"/>
        <w:spacing w:after="0" w:line="292" w:lineRule="auto"/>
        <w:rPr>
          <w:sz w:val="20"/>
          <w:szCs w:val="20"/>
          <w:color w:val="auto"/>
        </w:rPr>
      </w:pPr>
      <w:r>
        <w:rPr>
          <w:rFonts w:ascii="Arial" w:cs="Arial" w:eastAsia="Arial" w:hAnsi="Arial"/>
          <w:sz w:val="18"/>
          <w:szCs w:val="18"/>
          <w:color w:val="auto"/>
        </w:rPr>
        <w:t>Basic and diluted net income per share are computed independently for each quarter presented. Therefore, the sum of quarterly basic and diluted net income per share information may not equal annual basic and diluted net income per share.</w:t>
      </w:r>
    </w:p>
    <w:p>
      <w:pPr>
        <w:spacing w:after="0" w:line="264" w:lineRule="exact"/>
        <w:rPr>
          <w:sz w:val="20"/>
          <w:szCs w:val="20"/>
          <w:color w:val="auto"/>
        </w:rPr>
      </w:pPr>
    </w:p>
    <w:tbl>
      <w:tblPr>
        <w:tblLayout w:type="fixed"/>
        <w:tblInd w:w="6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8"/>
                <w:szCs w:val="18"/>
                <w:b w:val="1"/>
                <w:bCs w:val="1"/>
                <w:color w:val="auto"/>
              </w:rPr>
              <w:t>Fiscal Quarter</w:t>
            </w:r>
          </w:p>
        </w:tc>
        <w:tc>
          <w:tcPr>
            <w:tcW w:w="4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98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260" w:type="dxa"/>
            <w:vAlign w:val="bottom"/>
          </w:tcPr>
          <w:p>
            <w:pPr>
              <w:spacing w:after="0"/>
              <w:rPr>
                <w:sz w:val="19"/>
                <w:szCs w:val="19"/>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First</w:t>
            </w:r>
          </w:p>
        </w:tc>
        <w:tc>
          <w:tcPr>
            <w:tcW w:w="18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Second</w:t>
            </w:r>
          </w:p>
        </w:tc>
        <w:tc>
          <w:tcPr>
            <w:tcW w:w="240" w:type="dxa"/>
            <w:vAlign w:val="bottom"/>
          </w:tcPr>
          <w:p>
            <w:pPr>
              <w:spacing w:after="0"/>
              <w:rPr>
                <w:sz w:val="19"/>
                <w:szCs w:val="19"/>
                <w:color w:val="auto"/>
              </w:rPr>
            </w:pPr>
          </w:p>
        </w:tc>
        <w:tc>
          <w:tcPr>
            <w:tcW w:w="900" w:type="dxa"/>
            <w:vAlign w:val="bottom"/>
          </w:tcPr>
          <w:p>
            <w:pPr>
              <w:jc w:val="right"/>
              <w:ind w:right="251"/>
              <w:spacing w:after="0"/>
              <w:rPr>
                <w:sz w:val="20"/>
                <w:szCs w:val="20"/>
                <w:color w:val="auto"/>
              </w:rPr>
            </w:pPr>
            <w:r>
              <w:rPr>
                <w:rFonts w:ascii="Arial" w:cs="Arial" w:eastAsia="Arial" w:hAnsi="Arial"/>
                <w:sz w:val="18"/>
                <w:szCs w:val="18"/>
                <w:b w:val="1"/>
                <w:bCs w:val="1"/>
                <w:color w:val="auto"/>
              </w:rPr>
              <w:t>Third</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211"/>
              <w:spacing w:after="0"/>
              <w:rPr>
                <w:sz w:val="20"/>
                <w:szCs w:val="20"/>
                <w:color w:val="auto"/>
              </w:rPr>
            </w:pPr>
            <w:r>
              <w:rPr>
                <w:rFonts w:ascii="Arial" w:cs="Arial" w:eastAsia="Arial" w:hAnsi="Arial"/>
                <w:sz w:val="18"/>
                <w:szCs w:val="18"/>
                <w:b w:val="1"/>
                <w:bCs w:val="1"/>
                <w:color w:val="auto"/>
              </w:rPr>
              <w:t>Fourth</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9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October 31, 2016</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980" w:type="dxa"/>
            <w:vAlign w:val="bottom"/>
            <w:gridSpan w:val="3"/>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1,268.4</w:t>
            </w:r>
          </w:p>
        </w:tc>
        <w:tc>
          <w:tcPr>
            <w:tcW w:w="4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1,257.1</w:t>
            </w:r>
          </w:p>
        </w:tc>
        <w:tc>
          <w:tcPr>
            <w:tcW w:w="460" w:type="dxa"/>
            <w:vAlign w:val="bottom"/>
          </w:tcPr>
          <w:p>
            <w:pPr>
              <w:spacing w:after="0"/>
              <w:rPr>
                <w:sz w:val="23"/>
                <w:szCs w:val="23"/>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1,296.9</w:t>
            </w:r>
          </w:p>
        </w:tc>
        <w:tc>
          <w:tcPr>
            <w:tcW w:w="44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1,322.3</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122.0</w:t>
            </w:r>
          </w:p>
        </w:tc>
        <w:tc>
          <w:tcPr>
            <w:tcW w:w="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124.7</w:t>
            </w:r>
          </w:p>
        </w:tc>
        <w:tc>
          <w:tcPr>
            <w:tcW w:w="4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130.4</w:t>
            </w:r>
          </w:p>
        </w:tc>
        <w:tc>
          <w:tcPr>
            <w:tcW w:w="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144.1</w:t>
            </w:r>
          </w:p>
        </w:tc>
        <w:tc>
          <w:tcPr>
            <w:tcW w:w="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980" w:type="dxa"/>
            <w:vAlign w:val="bottom"/>
            <w:gridSpan w:val="3"/>
          </w:tcPr>
          <w:p>
            <w:pPr>
              <w:ind w:left="2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13.6</w:t>
            </w: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32.9</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9.0</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income (loss) from discontinued operations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c>
          <w:tcPr>
            <w:tcW w:w="4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4980" w:type="dxa"/>
            <w:vAlign w:val="bottom"/>
            <w:gridSpan w:val="3"/>
          </w:tcPr>
          <w:p>
            <w:pPr>
              <w:ind w:left="20"/>
              <w:spacing w:after="0" w:line="142" w:lineRule="exact"/>
              <w:rPr>
                <w:sz w:val="20"/>
                <w:szCs w:val="20"/>
                <w:color w:val="auto"/>
              </w:rPr>
            </w:pPr>
            <w:r>
              <w:rPr>
                <w:rFonts w:ascii="Arial" w:cs="Arial" w:eastAsia="Arial" w:hAnsi="Arial"/>
                <w:sz w:val="16"/>
                <w:szCs w:val="16"/>
                <w:color w:val="auto"/>
              </w:rPr>
              <w:t>Net income</w:t>
            </w:r>
          </w:p>
        </w:tc>
        <w:tc>
          <w:tcPr>
            <w:tcW w:w="260" w:type="dxa"/>
            <w:vAlign w:val="bottom"/>
          </w:tcPr>
          <w:p>
            <w:pPr>
              <w:jc w:val="right"/>
              <w:ind w:right="32"/>
              <w:spacing w:after="0" w:line="142"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31"/>
              <w:spacing w:after="0" w:line="142" w:lineRule="exact"/>
              <w:rPr>
                <w:sz w:val="20"/>
                <w:szCs w:val="20"/>
                <w:color w:val="auto"/>
              </w:rPr>
            </w:pPr>
            <w:r>
              <w:rPr>
                <w:rFonts w:ascii="Arial" w:cs="Arial" w:eastAsia="Arial" w:hAnsi="Arial"/>
                <w:sz w:val="16"/>
                <w:szCs w:val="16"/>
                <w:color w:val="auto"/>
              </w:rPr>
              <w:t>14.0</w:t>
            </w:r>
          </w:p>
        </w:tc>
        <w:tc>
          <w:tcPr>
            <w:tcW w:w="440" w:type="dxa"/>
            <w:vAlign w:val="bottom"/>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11"/>
              <w:spacing w:after="0" w:line="142" w:lineRule="exact"/>
              <w:rPr>
                <w:sz w:val="20"/>
                <w:szCs w:val="20"/>
                <w:color w:val="auto"/>
              </w:rPr>
            </w:pPr>
            <w:r>
              <w:rPr>
                <w:rFonts w:ascii="Arial" w:cs="Arial" w:eastAsia="Arial" w:hAnsi="Arial"/>
                <w:sz w:val="16"/>
                <w:szCs w:val="16"/>
                <w:color w:val="auto"/>
              </w:rPr>
              <w:t>4.4</w:t>
            </w:r>
          </w:p>
        </w:tc>
        <w:tc>
          <w:tcPr>
            <w:tcW w:w="460" w:type="dxa"/>
            <w:vAlign w:val="bottom"/>
          </w:tcPr>
          <w:p>
            <w:pPr>
              <w:spacing w:after="0"/>
              <w:rPr>
                <w:sz w:val="12"/>
                <w:szCs w:val="12"/>
                <w:color w:val="auto"/>
              </w:rPr>
            </w:pPr>
          </w:p>
        </w:tc>
        <w:tc>
          <w:tcPr>
            <w:tcW w:w="240" w:type="dxa"/>
            <w:vAlign w:val="bottom"/>
          </w:tcPr>
          <w:p>
            <w:pPr>
              <w:jc w:val="right"/>
              <w:ind w:right="32"/>
              <w:spacing w:after="0" w:line="142"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11"/>
              <w:spacing w:after="0" w:line="142" w:lineRule="exact"/>
              <w:rPr>
                <w:sz w:val="20"/>
                <w:szCs w:val="20"/>
                <w:color w:val="auto"/>
              </w:rPr>
            </w:pPr>
            <w:r>
              <w:rPr>
                <w:rFonts w:ascii="Arial" w:cs="Arial" w:eastAsia="Arial" w:hAnsi="Arial"/>
                <w:sz w:val="16"/>
                <w:szCs w:val="16"/>
                <w:color w:val="auto"/>
              </w:rPr>
              <w:t>31.1</w:t>
            </w:r>
          </w:p>
        </w:tc>
        <w:tc>
          <w:tcPr>
            <w:tcW w:w="440" w:type="dxa"/>
            <w:vAlign w:val="bottom"/>
            <w:vMerge w:val="restart"/>
          </w:tcPr>
          <w:p>
            <w:pPr>
              <w:jc w:val="right"/>
              <w:ind w:right="126"/>
              <w:spacing w:after="0"/>
              <w:rPr>
                <w:sz w:val="20"/>
                <w:szCs w:val="20"/>
                <w:color w:val="auto"/>
              </w:rPr>
            </w:pPr>
            <w:r>
              <w:rPr>
                <w:rFonts w:ascii="Arial" w:cs="Arial" w:eastAsia="Arial" w:hAnsi="Arial"/>
                <w:sz w:val="11"/>
                <w:szCs w:val="11"/>
                <w:color w:val="auto"/>
              </w:rPr>
              <w:t>(1)</w:t>
            </w:r>
          </w:p>
        </w:tc>
        <w:tc>
          <w:tcPr>
            <w:tcW w:w="220" w:type="dxa"/>
            <w:vAlign w:val="bottom"/>
          </w:tcPr>
          <w:p>
            <w:pPr>
              <w:jc w:val="right"/>
              <w:spacing w:after="0" w:line="142"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31"/>
              <w:spacing w:after="0" w:line="142" w:lineRule="exact"/>
              <w:rPr>
                <w:sz w:val="20"/>
                <w:szCs w:val="20"/>
                <w:color w:val="auto"/>
              </w:rPr>
            </w:pPr>
            <w:r>
              <w:rPr>
                <w:rFonts w:ascii="Arial" w:cs="Arial" w:eastAsia="Arial" w:hAnsi="Arial"/>
                <w:sz w:val="16"/>
                <w:szCs w:val="16"/>
                <w:color w:val="auto"/>
              </w:rPr>
              <w:t>7.8</w:t>
            </w:r>
          </w:p>
        </w:tc>
        <w:tc>
          <w:tcPr>
            <w:tcW w:w="440" w:type="dxa"/>
            <w:vAlign w:val="bottom"/>
            <w:vMerge w:val="restart"/>
          </w:tcPr>
          <w:p>
            <w:pPr>
              <w:jc w:val="right"/>
              <w:ind w:right="12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Borders>
              <w:bottom w:val="single" w:sz="8" w:color="CCEEFF"/>
            </w:tcBorders>
          </w:tcPr>
          <w:p>
            <w:pPr>
              <w:spacing w:after="0"/>
              <w:rPr>
                <w:sz w:val="9"/>
                <w:szCs w:val="9"/>
                <w:color w:val="auto"/>
              </w:rPr>
            </w:pPr>
          </w:p>
        </w:tc>
        <w:tc>
          <w:tcPr>
            <w:tcW w:w="2260" w:type="dxa"/>
            <w:vAlign w:val="bottom"/>
            <w:tcBorders>
              <w:bottom w:val="single" w:sz="8" w:color="CCEEFF"/>
            </w:tcBorders>
          </w:tcPr>
          <w:p>
            <w:pPr>
              <w:spacing w:after="0"/>
              <w:rPr>
                <w:sz w:val="9"/>
                <w:szCs w:val="9"/>
                <w:color w:val="auto"/>
              </w:rPr>
            </w:pPr>
          </w:p>
        </w:tc>
        <w:tc>
          <w:tcPr>
            <w:tcW w:w="270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4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6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4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4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278"/>
        </w:trPr>
        <w:tc>
          <w:tcPr>
            <w:tcW w:w="2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c>
          <w:tcPr>
            <w:tcW w:w="2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980" w:type="dxa"/>
            <w:vAlign w:val="bottom"/>
            <w:gridSpan w:val="3"/>
          </w:tcPr>
          <w:p>
            <w:pPr>
              <w:ind w:left="20"/>
              <w:spacing w:after="0"/>
              <w:rPr>
                <w:sz w:val="20"/>
                <w:szCs w:val="20"/>
                <w:color w:val="auto"/>
              </w:rPr>
            </w:pPr>
            <w:r>
              <w:rPr>
                <w:rFonts w:ascii="Arial" w:cs="Arial" w:eastAsia="Arial" w:hAnsi="Arial"/>
                <w:sz w:val="18"/>
                <w:szCs w:val="18"/>
                <w:color w:val="auto"/>
              </w:rPr>
              <w:t>Net income per common share — Basic</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0" w:type="dxa"/>
            <w:vAlign w:val="bottom"/>
            <w:shd w:val="clear" w:color="auto" w:fill="CCEEFF"/>
          </w:tcPr>
          <w:p>
            <w:pPr>
              <w:spacing w:after="0"/>
              <w:rPr>
                <w:sz w:val="23"/>
                <w:szCs w:val="23"/>
                <w:color w:val="auto"/>
              </w:rPr>
            </w:pPr>
          </w:p>
        </w:tc>
        <w:tc>
          <w:tcPr>
            <w:tcW w:w="4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0.24</w:t>
            </w:r>
          </w:p>
        </w:tc>
        <w:tc>
          <w:tcPr>
            <w:tcW w:w="44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0.12</w:t>
            </w:r>
          </w:p>
        </w:tc>
        <w:tc>
          <w:tcPr>
            <w:tcW w:w="46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0.58</w:t>
            </w:r>
          </w:p>
        </w:tc>
        <w:tc>
          <w:tcPr>
            <w:tcW w:w="44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0.16</w:t>
            </w:r>
          </w:p>
        </w:tc>
        <w:tc>
          <w:tcPr>
            <w:tcW w:w="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Borders>
              <w:bottom w:val="single" w:sz="8" w:color="CCEEFF"/>
            </w:tcBorders>
          </w:tcPr>
          <w:p>
            <w:pPr>
              <w:spacing w:after="0"/>
              <w:rPr>
                <w:sz w:val="23"/>
                <w:szCs w:val="23"/>
                <w:color w:val="auto"/>
              </w:rPr>
            </w:pPr>
          </w:p>
        </w:tc>
        <w:tc>
          <w:tcPr>
            <w:tcW w:w="49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Income (loss) from discontinued operations</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0.01</w:t>
            </w:r>
          </w:p>
        </w:tc>
        <w:tc>
          <w:tcPr>
            <w:tcW w:w="4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46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4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4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2"/>
                <w:szCs w:val="22"/>
                <w:color w:val="auto"/>
              </w:rPr>
            </w:pPr>
          </w:p>
        </w:tc>
        <w:tc>
          <w:tcPr>
            <w:tcW w:w="49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0.25</w:t>
            </w:r>
          </w:p>
        </w:tc>
        <w:tc>
          <w:tcPr>
            <w:tcW w:w="4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0.08</w:t>
            </w:r>
          </w:p>
        </w:tc>
        <w:tc>
          <w:tcPr>
            <w:tcW w:w="4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0.55</w:t>
            </w:r>
          </w:p>
        </w:tc>
        <w:tc>
          <w:tcPr>
            <w:tcW w:w="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0.14</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income per common share — Diluted</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960" w:type="dxa"/>
            <w:vAlign w:val="bottom"/>
            <w:gridSpan w:val="2"/>
          </w:tcPr>
          <w:p>
            <w:pPr>
              <w:ind w:left="36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0.24</w:t>
            </w:r>
          </w:p>
        </w:tc>
        <w:tc>
          <w:tcPr>
            <w:tcW w:w="4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0.12</w:t>
            </w:r>
          </w:p>
        </w:tc>
        <w:tc>
          <w:tcPr>
            <w:tcW w:w="460" w:type="dxa"/>
            <w:vAlign w:val="bottom"/>
          </w:tcPr>
          <w:p>
            <w:pPr>
              <w:spacing w:after="0"/>
              <w:rPr>
                <w:sz w:val="23"/>
                <w:szCs w:val="23"/>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0.58</w:t>
            </w:r>
          </w:p>
        </w:tc>
        <w:tc>
          <w:tcPr>
            <w:tcW w:w="44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0.16</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0" w:type="dxa"/>
            <w:vAlign w:val="bottom"/>
            <w:shd w:val="clear" w:color="auto" w:fill="CCEEFF"/>
          </w:tcPr>
          <w:p>
            <w:pPr>
              <w:spacing w:after="0"/>
              <w:rPr>
                <w:sz w:val="23"/>
                <w:szCs w:val="23"/>
                <w:color w:val="auto"/>
              </w:rPr>
            </w:pPr>
          </w:p>
        </w:tc>
        <w:tc>
          <w:tcPr>
            <w:tcW w:w="4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(loss) from discontinued operations</w:t>
            </w:r>
          </w:p>
        </w:tc>
        <w:tc>
          <w:tcPr>
            <w:tcW w:w="2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4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gridSpan w:val="2"/>
          </w:tcPr>
          <w:p>
            <w:pPr>
              <w:ind w:left="360"/>
              <w:spacing w:after="0" w:line="142" w:lineRule="exact"/>
              <w:rPr>
                <w:sz w:val="20"/>
                <w:szCs w:val="20"/>
                <w:color w:val="auto"/>
              </w:rPr>
            </w:pPr>
            <w:r>
              <w:rPr>
                <w:rFonts w:ascii="Arial" w:cs="Arial" w:eastAsia="Arial" w:hAnsi="Arial"/>
                <w:sz w:val="16"/>
                <w:szCs w:val="16"/>
                <w:color w:val="auto"/>
              </w:rPr>
              <w:t>Net income</w:t>
            </w:r>
          </w:p>
        </w:tc>
        <w:tc>
          <w:tcPr>
            <w:tcW w:w="26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6"/>
                <w:szCs w:val="16"/>
                <w:color w:val="auto"/>
              </w:rPr>
              <w:t>0.24</w:t>
            </w:r>
          </w:p>
        </w:tc>
        <w:tc>
          <w:tcPr>
            <w:tcW w:w="440" w:type="dxa"/>
            <w:vAlign w:val="bottom"/>
          </w:tcPr>
          <w:p>
            <w:pPr>
              <w:spacing w:after="0"/>
              <w:rPr>
                <w:sz w:val="12"/>
                <w:szCs w:val="12"/>
                <w:color w:val="auto"/>
              </w:rPr>
            </w:pPr>
          </w:p>
        </w:tc>
        <w:tc>
          <w:tcPr>
            <w:tcW w:w="1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6"/>
                <w:szCs w:val="16"/>
                <w:color w:val="auto"/>
              </w:rPr>
              <w:t>0.08</w:t>
            </w:r>
          </w:p>
        </w:tc>
        <w:tc>
          <w:tcPr>
            <w:tcW w:w="460" w:type="dxa"/>
            <w:vAlign w:val="bottom"/>
          </w:tcPr>
          <w:p>
            <w:pPr>
              <w:spacing w:after="0"/>
              <w:rPr>
                <w:sz w:val="12"/>
                <w:szCs w:val="12"/>
                <w:color w:val="auto"/>
              </w:rPr>
            </w:pPr>
          </w:p>
        </w:tc>
        <w:tc>
          <w:tcPr>
            <w:tcW w:w="24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6"/>
                <w:szCs w:val="16"/>
                <w:color w:val="auto"/>
              </w:rPr>
              <w:t>0.55</w:t>
            </w:r>
          </w:p>
        </w:tc>
        <w:tc>
          <w:tcPr>
            <w:tcW w:w="440" w:type="dxa"/>
            <w:vAlign w:val="bottom"/>
            <w:vMerge w:val="restart"/>
          </w:tcPr>
          <w:p>
            <w:pPr>
              <w:jc w:val="right"/>
              <w:ind w:right="126"/>
              <w:spacing w:after="0"/>
              <w:rPr>
                <w:sz w:val="20"/>
                <w:szCs w:val="20"/>
                <w:color w:val="auto"/>
              </w:rPr>
            </w:pPr>
            <w:r>
              <w:rPr>
                <w:rFonts w:ascii="Arial" w:cs="Arial" w:eastAsia="Arial" w:hAnsi="Arial"/>
                <w:sz w:val="11"/>
                <w:szCs w:val="11"/>
                <w:color w:val="auto"/>
              </w:rPr>
              <w:t>(1)</w:t>
            </w:r>
          </w:p>
        </w:tc>
        <w:tc>
          <w:tcPr>
            <w:tcW w:w="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6"/>
                <w:szCs w:val="16"/>
                <w:color w:val="auto"/>
              </w:rPr>
              <w:t>0.14</w:t>
            </w:r>
          </w:p>
        </w:tc>
        <w:tc>
          <w:tcPr>
            <w:tcW w:w="440" w:type="dxa"/>
            <w:vAlign w:val="bottom"/>
            <w:vMerge w:val="restart"/>
          </w:tcPr>
          <w:p>
            <w:pPr>
              <w:jc w:val="right"/>
              <w:ind w:right="12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Borders>
              <w:bottom w:val="single" w:sz="8" w:color="CCEEFF"/>
            </w:tcBorders>
          </w:tcPr>
          <w:p>
            <w:pPr>
              <w:spacing w:after="0"/>
              <w:rPr>
                <w:sz w:val="9"/>
                <w:szCs w:val="9"/>
                <w:color w:val="auto"/>
              </w:rPr>
            </w:pPr>
          </w:p>
        </w:tc>
        <w:tc>
          <w:tcPr>
            <w:tcW w:w="2260" w:type="dxa"/>
            <w:vAlign w:val="bottom"/>
            <w:tcBorders>
              <w:bottom w:val="single" w:sz="8" w:color="CCEEFF"/>
            </w:tcBorders>
          </w:tcPr>
          <w:p>
            <w:pPr>
              <w:spacing w:after="0"/>
              <w:rPr>
                <w:sz w:val="9"/>
                <w:szCs w:val="9"/>
                <w:color w:val="auto"/>
              </w:rPr>
            </w:pPr>
          </w:p>
        </w:tc>
        <w:tc>
          <w:tcPr>
            <w:tcW w:w="270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4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6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4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4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278"/>
        </w:trPr>
        <w:tc>
          <w:tcPr>
            <w:tcW w:w="2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c>
          <w:tcPr>
            <w:tcW w:w="2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980" w:type="dxa"/>
            <w:vAlign w:val="bottom"/>
            <w:gridSpan w:val="3"/>
          </w:tcPr>
          <w:p>
            <w:pPr>
              <w:ind w:left="20"/>
              <w:spacing w:after="0"/>
              <w:rPr>
                <w:sz w:val="20"/>
                <w:szCs w:val="20"/>
                <w:color w:val="auto"/>
              </w:rPr>
            </w:pPr>
            <w:r>
              <w:rPr>
                <w:rFonts w:ascii="Arial" w:cs="Arial" w:eastAsia="Arial" w:hAnsi="Arial"/>
                <w:sz w:val="18"/>
                <w:szCs w:val="18"/>
                <w:b w:val="1"/>
                <w:bCs w:val="1"/>
                <w:color w:val="auto"/>
              </w:rPr>
              <w:t>Year ended October 31, 2015</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4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1,194.5</w:t>
            </w:r>
          </w:p>
        </w:tc>
        <w:tc>
          <w:tcPr>
            <w:tcW w:w="44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1,176.4</w:t>
            </w:r>
          </w:p>
        </w:tc>
        <w:tc>
          <w:tcPr>
            <w:tcW w:w="46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1,249.9</w:t>
            </w:r>
          </w:p>
        </w:tc>
        <w:tc>
          <w:tcPr>
            <w:tcW w:w="44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1,277.0</w:t>
            </w:r>
          </w:p>
        </w:tc>
        <w:tc>
          <w:tcPr>
            <w:tcW w:w="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980" w:type="dxa"/>
            <w:vAlign w:val="bottom"/>
            <w:gridSpan w:val="3"/>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121.5</w:t>
            </w: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123.8</w:t>
            </w: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93.6</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148.9</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14.3</w:t>
            </w:r>
          </w:p>
        </w:tc>
        <w:tc>
          <w:tcPr>
            <w:tcW w:w="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4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22.6</w:t>
            </w:r>
          </w:p>
        </w:tc>
        <w:tc>
          <w:tcPr>
            <w:tcW w:w="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9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Net income from discontinued operations</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w:t>
            </w:r>
          </w:p>
        </w:tc>
        <w:tc>
          <w:tcPr>
            <w:tcW w:w="4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w:t>
            </w:r>
          </w:p>
        </w:tc>
        <w:tc>
          <w:tcPr>
            <w:tcW w:w="46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w:t>
            </w:r>
          </w:p>
        </w:tc>
        <w:tc>
          <w:tcPr>
            <w:tcW w:w="4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16.2</w:t>
            </w:r>
          </w:p>
        </w:tc>
        <w:tc>
          <w:tcPr>
            <w:tcW w:w="4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47"/>
        </w:trPr>
        <w:tc>
          <w:tcPr>
            <w:tcW w:w="4980" w:type="dxa"/>
            <w:vAlign w:val="bottom"/>
            <w:gridSpan w:val="3"/>
            <w:shd w:val="clear" w:color="auto" w:fill="CCEEFF"/>
          </w:tcPr>
          <w:p>
            <w:pPr>
              <w:ind w:left="20"/>
              <w:spacing w:after="0" w:line="147" w:lineRule="exact"/>
              <w:rPr>
                <w:sz w:val="20"/>
                <w:szCs w:val="20"/>
                <w:color w:val="auto"/>
              </w:rPr>
            </w:pPr>
            <w:r>
              <w:rPr>
                <w:rFonts w:ascii="Arial" w:cs="Arial" w:eastAsia="Arial" w:hAnsi="Arial"/>
                <w:sz w:val="17"/>
                <w:szCs w:val="17"/>
                <w:color w:val="auto"/>
              </w:rPr>
              <w:t>Net income</w:t>
            </w:r>
          </w:p>
        </w:tc>
        <w:tc>
          <w:tcPr>
            <w:tcW w:w="260" w:type="dxa"/>
            <w:vAlign w:val="bottom"/>
            <w:shd w:val="clear" w:color="auto" w:fill="CCEEFF"/>
          </w:tcPr>
          <w:p>
            <w:pPr>
              <w:jc w:val="right"/>
              <w:ind w:right="32"/>
              <w:spacing w:after="0" w:line="147"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31"/>
              <w:spacing w:after="0" w:line="147" w:lineRule="exact"/>
              <w:rPr>
                <w:sz w:val="20"/>
                <w:szCs w:val="20"/>
                <w:color w:val="auto"/>
              </w:rPr>
            </w:pPr>
            <w:r>
              <w:rPr>
                <w:rFonts w:ascii="Arial" w:cs="Arial" w:eastAsia="Arial" w:hAnsi="Arial"/>
                <w:sz w:val="17"/>
                <w:szCs w:val="17"/>
                <w:color w:val="auto"/>
              </w:rPr>
              <w:t>17.7</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7" w:lineRule="exact"/>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1"/>
              <w:spacing w:after="0" w:line="147" w:lineRule="exact"/>
              <w:rPr>
                <w:sz w:val="20"/>
                <w:szCs w:val="20"/>
                <w:color w:val="auto"/>
              </w:rPr>
            </w:pPr>
            <w:r>
              <w:rPr>
                <w:rFonts w:ascii="Arial" w:cs="Arial" w:eastAsia="Arial" w:hAnsi="Arial"/>
                <w:sz w:val="17"/>
                <w:szCs w:val="17"/>
                <w:color w:val="auto"/>
              </w:rPr>
              <w:t>18.3</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32"/>
              <w:spacing w:after="0" w:line="147"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1"/>
              <w:spacing w:after="0" w:line="147" w:lineRule="exact"/>
              <w:rPr>
                <w:sz w:val="20"/>
                <w:szCs w:val="20"/>
                <w:color w:val="auto"/>
              </w:rPr>
            </w:pPr>
            <w:r>
              <w:rPr>
                <w:rFonts w:ascii="Arial" w:cs="Arial" w:eastAsia="Arial" w:hAnsi="Arial"/>
                <w:sz w:val="17"/>
                <w:szCs w:val="17"/>
                <w:color w:val="auto"/>
              </w:rPr>
              <w:t>1.5</w:t>
            </w:r>
          </w:p>
        </w:tc>
        <w:tc>
          <w:tcPr>
            <w:tcW w:w="440" w:type="dxa"/>
            <w:vAlign w:val="bottom"/>
            <w:vMerge w:val="restart"/>
            <w:shd w:val="clear" w:color="auto" w:fill="CCEEFF"/>
          </w:tcPr>
          <w:p>
            <w:pPr>
              <w:jc w:val="right"/>
              <w:ind w:right="126"/>
              <w:spacing w:after="0"/>
              <w:rPr>
                <w:sz w:val="20"/>
                <w:szCs w:val="20"/>
                <w:color w:val="auto"/>
              </w:rPr>
            </w:pPr>
            <w:r>
              <w:rPr>
                <w:rFonts w:ascii="Arial" w:cs="Arial" w:eastAsia="Arial" w:hAnsi="Arial"/>
                <w:sz w:val="11"/>
                <w:szCs w:val="11"/>
                <w:color w:val="auto"/>
              </w:rPr>
              <w:t>(3)</w:t>
            </w:r>
          </w:p>
        </w:tc>
        <w:tc>
          <w:tcPr>
            <w:tcW w:w="220" w:type="dxa"/>
            <w:vAlign w:val="bottom"/>
            <w:shd w:val="clear" w:color="auto" w:fill="CCEEFF"/>
          </w:tcPr>
          <w:p>
            <w:pPr>
              <w:jc w:val="right"/>
              <w:spacing w:after="0" w:line="147"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31"/>
              <w:spacing w:after="0" w:line="147" w:lineRule="exact"/>
              <w:rPr>
                <w:sz w:val="20"/>
                <w:szCs w:val="20"/>
                <w:color w:val="auto"/>
              </w:rPr>
            </w:pPr>
            <w:r>
              <w:rPr>
                <w:rFonts w:ascii="Arial" w:cs="Arial" w:eastAsia="Arial" w:hAnsi="Arial"/>
                <w:sz w:val="17"/>
                <w:szCs w:val="17"/>
                <w:color w:val="auto"/>
              </w:rPr>
              <w:t>38.8</w:t>
            </w:r>
          </w:p>
        </w:tc>
        <w:tc>
          <w:tcPr>
            <w:tcW w:w="440" w:type="dxa"/>
            <w:vAlign w:val="bottom"/>
            <w:vMerge w:val="restart"/>
            <w:shd w:val="clear" w:color="auto" w:fill="CCEEFF"/>
          </w:tcPr>
          <w:p>
            <w:pPr>
              <w:jc w:val="right"/>
              <w:ind w:right="12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34"/>
        </w:trPr>
        <w:tc>
          <w:tcPr>
            <w:tcW w:w="2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40" w:type="dxa"/>
            <w:vAlign w:val="bottom"/>
            <w:vMerge w:val="continue"/>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40" w:type="dxa"/>
            <w:vAlign w:val="bottom"/>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
        </w:trPr>
        <w:tc>
          <w:tcPr>
            <w:tcW w:w="20" w:type="dxa"/>
            <w:vAlign w:val="bottom"/>
            <w:tcBorders>
              <w:bottom w:val="single" w:sz="8" w:color="CCEEFF"/>
            </w:tcBorders>
            <w:shd w:val="clear" w:color="auto" w:fill="CCEEFF"/>
          </w:tcPr>
          <w:p>
            <w:pPr>
              <w:spacing w:after="0"/>
              <w:rPr>
                <w:sz w:val="6"/>
                <w:szCs w:val="6"/>
                <w:color w:val="auto"/>
              </w:rPr>
            </w:pPr>
          </w:p>
        </w:tc>
        <w:tc>
          <w:tcPr>
            <w:tcW w:w="2260" w:type="dxa"/>
            <w:vAlign w:val="bottom"/>
            <w:tcBorders>
              <w:bottom w:val="single" w:sz="8" w:color="CCEEFF"/>
            </w:tcBorders>
            <w:shd w:val="clear" w:color="auto" w:fill="CCEEFF"/>
          </w:tcPr>
          <w:p>
            <w:pPr>
              <w:spacing w:after="0"/>
              <w:rPr>
                <w:sz w:val="6"/>
                <w:szCs w:val="6"/>
                <w:color w:val="auto"/>
              </w:rPr>
            </w:pPr>
          </w:p>
        </w:tc>
        <w:tc>
          <w:tcPr>
            <w:tcW w:w="2700" w:type="dxa"/>
            <w:vAlign w:val="bottom"/>
            <w:tcBorders>
              <w:bottom w:val="single" w:sz="8" w:color="CCEEFF"/>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460" w:type="dxa"/>
            <w:vAlign w:val="bottom"/>
            <w:tcBorders>
              <w:bottom w:val="single" w:sz="8" w:color="CCEEFF"/>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CCEEFF"/>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income per common share — Basic</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960" w:type="dxa"/>
            <w:vAlign w:val="bottom"/>
            <w:gridSpan w:val="2"/>
          </w:tcPr>
          <w:p>
            <w:pPr>
              <w:ind w:left="36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0.25</w:t>
            </w:r>
          </w:p>
        </w:tc>
        <w:tc>
          <w:tcPr>
            <w:tcW w:w="4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0.28</w:t>
            </w:r>
          </w:p>
        </w:tc>
        <w:tc>
          <w:tcPr>
            <w:tcW w:w="460" w:type="dxa"/>
            <w:vAlign w:val="bottom"/>
          </w:tcPr>
          <w:p>
            <w:pPr>
              <w:spacing w:after="0"/>
              <w:rPr>
                <w:sz w:val="23"/>
                <w:szCs w:val="23"/>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44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0.39</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from discontinued operations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0.06</w:t>
            </w:r>
          </w:p>
        </w:tc>
        <w:tc>
          <w:tcPr>
            <w:tcW w:w="4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0.04</w:t>
            </w:r>
          </w:p>
        </w:tc>
        <w:tc>
          <w:tcPr>
            <w:tcW w:w="4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4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0.29</w:t>
            </w:r>
          </w:p>
        </w:tc>
        <w:tc>
          <w:tcPr>
            <w:tcW w:w="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5"/>
        </w:trPr>
        <w:tc>
          <w:tcPr>
            <w:tcW w:w="20" w:type="dxa"/>
            <w:vAlign w:val="bottom"/>
            <w:tcBorders>
              <w:bottom w:val="single" w:sz="8" w:color="CCEEFF"/>
            </w:tcBorders>
          </w:tcPr>
          <w:p>
            <w:pPr>
              <w:spacing w:after="0"/>
              <w:rPr>
                <w:sz w:val="24"/>
                <w:szCs w:val="24"/>
                <w:color w:val="auto"/>
              </w:rPr>
            </w:pPr>
          </w:p>
        </w:tc>
        <w:tc>
          <w:tcPr>
            <w:tcW w:w="49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0.31</w:t>
            </w:r>
          </w:p>
        </w:tc>
        <w:tc>
          <w:tcPr>
            <w:tcW w:w="4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0.32</w:t>
            </w:r>
          </w:p>
        </w:tc>
        <w:tc>
          <w:tcPr>
            <w:tcW w:w="4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0.03</w:t>
            </w:r>
          </w:p>
        </w:tc>
        <w:tc>
          <w:tcPr>
            <w:tcW w:w="4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0.68</w:t>
            </w:r>
          </w:p>
        </w:tc>
        <w:tc>
          <w:tcPr>
            <w:tcW w:w="4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c>
          <w:tcPr>
            <w:tcW w:w="2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980" w:type="dxa"/>
            <w:vAlign w:val="bottom"/>
            <w:gridSpan w:val="3"/>
          </w:tcPr>
          <w:p>
            <w:pPr>
              <w:ind w:left="20"/>
              <w:spacing w:after="0"/>
              <w:rPr>
                <w:sz w:val="20"/>
                <w:szCs w:val="20"/>
                <w:color w:val="auto"/>
              </w:rPr>
            </w:pPr>
            <w:r>
              <w:rPr>
                <w:rFonts w:ascii="Arial" w:cs="Arial" w:eastAsia="Arial" w:hAnsi="Arial"/>
                <w:sz w:val="18"/>
                <w:szCs w:val="18"/>
                <w:color w:val="auto"/>
              </w:rPr>
              <w:t>Net income per common share — Diluted</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0" w:type="dxa"/>
            <w:vAlign w:val="bottom"/>
            <w:shd w:val="clear" w:color="auto" w:fill="CCEEFF"/>
          </w:tcPr>
          <w:p>
            <w:pPr>
              <w:spacing w:after="0"/>
              <w:rPr>
                <w:sz w:val="23"/>
                <w:szCs w:val="23"/>
                <w:color w:val="auto"/>
              </w:rPr>
            </w:pPr>
          </w:p>
        </w:tc>
        <w:tc>
          <w:tcPr>
            <w:tcW w:w="4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0.25</w:t>
            </w:r>
          </w:p>
        </w:tc>
        <w:tc>
          <w:tcPr>
            <w:tcW w:w="44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0.28</w:t>
            </w:r>
          </w:p>
        </w:tc>
        <w:tc>
          <w:tcPr>
            <w:tcW w:w="46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c>
          <w:tcPr>
            <w:tcW w:w="44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0.39</w:t>
            </w:r>
          </w:p>
        </w:tc>
        <w:tc>
          <w:tcPr>
            <w:tcW w:w="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Borders>
              <w:bottom w:val="single" w:sz="8" w:color="CCEEFF"/>
            </w:tcBorders>
          </w:tcPr>
          <w:p>
            <w:pPr>
              <w:spacing w:after="0"/>
              <w:rPr>
                <w:sz w:val="23"/>
                <w:szCs w:val="23"/>
                <w:color w:val="auto"/>
              </w:rPr>
            </w:pPr>
          </w:p>
        </w:tc>
        <w:tc>
          <w:tcPr>
            <w:tcW w:w="49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Income from discontinued operations</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0.06</w:t>
            </w:r>
          </w:p>
        </w:tc>
        <w:tc>
          <w:tcPr>
            <w:tcW w:w="4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0.04</w:t>
            </w:r>
          </w:p>
        </w:tc>
        <w:tc>
          <w:tcPr>
            <w:tcW w:w="46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0.01</w:t>
            </w:r>
          </w:p>
        </w:tc>
        <w:tc>
          <w:tcPr>
            <w:tcW w:w="4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0.29</w:t>
            </w:r>
          </w:p>
        </w:tc>
        <w:tc>
          <w:tcPr>
            <w:tcW w:w="4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47"/>
        </w:trPr>
        <w:tc>
          <w:tcPr>
            <w:tcW w:w="20" w:type="dxa"/>
            <w:vAlign w:val="bottom"/>
            <w:shd w:val="clear" w:color="auto" w:fill="CCEEFF"/>
          </w:tcPr>
          <w:p>
            <w:pPr>
              <w:spacing w:after="0"/>
              <w:rPr>
                <w:sz w:val="12"/>
                <w:szCs w:val="12"/>
                <w:color w:val="auto"/>
              </w:rPr>
            </w:pPr>
          </w:p>
        </w:tc>
        <w:tc>
          <w:tcPr>
            <w:tcW w:w="4960" w:type="dxa"/>
            <w:vAlign w:val="bottom"/>
            <w:gridSpan w:val="2"/>
            <w:shd w:val="clear" w:color="auto" w:fill="CCEEFF"/>
          </w:tcPr>
          <w:p>
            <w:pPr>
              <w:ind w:left="360"/>
              <w:spacing w:after="0" w:line="147" w:lineRule="exact"/>
              <w:rPr>
                <w:sz w:val="20"/>
                <w:szCs w:val="20"/>
                <w:color w:val="auto"/>
              </w:rPr>
            </w:pPr>
            <w:r>
              <w:rPr>
                <w:rFonts w:ascii="Arial" w:cs="Arial" w:eastAsia="Arial" w:hAnsi="Arial"/>
                <w:sz w:val="17"/>
                <w:szCs w:val="17"/>
                <w:color w:val="auto"/>
              </w:rPr>
              <w:t>Net income</w:t>
            </w:r>
          </w:p>
        </w:tc>
        <w:tc>
          <w:tcPr>
            <w:tcW w:w="260" w:type="dxa"/>
            <w:vAlign w:val="bottom"/>
            <w:shd w:val="clear" w:color="auto" w:fill="CCEEFF"/>
          </w:tcPr>
          <w:p>
            <w:pPr>
              <w:jc w:val="right"/>
              <w:ind w:right="32"/>
              <w:spacing w:after="0" w:line="147"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31"/>
              <w:spacing w:after="0" w:line="147" w:lineRule="exact"/>
              <w:rPr>
                <w:sz w:val="20"/>
                <w:szCs w:val="20"/>
                <w:color w:val="auto"/>
              </w:rPr>
            </w:pPr>
            <w:r>
              <w:rPr>
                <w:rFonts w:ascii="Arial" w:cs="Arial" w:eastAsia="Arial" w:hAnsi="Arial"/>
                <w:sz w:val="17"/>
                <w:szCs w:val="17"/>
                <w:color w:val="auto"/>
              </w:rPr>
              <w:t>0.31</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7" w:lineRule="exact"/>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1"/>
              <w:spacing w:after="0" w:line="147" w:lineRule="exact"/>
              <w:rPr>
                <w:sz w:val="20"/>
                <w:szCs w:val="20"/>
                <w:color w:val="auto"/>
              </w:rPr>
            </w:pPr>
            <w:r>
              <w:rPr>
                <w:rFonts w:ascii="Arial" w:cs="Arial" w:eastAsia="Arial" w:hAnsi="Arial"/>
                <w:sz w:val="17"/>
                <w:szCs w:val="17"/>
                <w:color w:val="auto"/>
              </w:rPr>
              <w:t>0.32</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32"/>
              <w:spacing w:after="0" w:line="147"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1"/>
              <w:spacing w:after="0" w:line="147" w:lineRule="exact"/>
              <w:rPr>
                <w:sz w:val="20"/>
                <w:szCs w:val="20"/>
                <w:color w:val="auto"/>
              </w:rPr>
            </w:pPr>
            <w:r>
              <w:rPr>
                <w:rFonts w:ascii="Arial" w:cs="Arial" w:eastAsia="Arial" w:hAnsi="Arial"/>
                <w:sz w:val="17"/>
                <w:szCs w:val="17"/>
                <w:color w:val="auto"/>
              </w:rPr>
              <w:t>0.03</w:t>
            </w:r>
          </w:p>
        </w:tc>
        <w:tc>
          <w:tcPr>
            <w:tcW w:w="440" w:type="dxa"/>
            <w:vAlign w:val="bottom"/>
            <w:vMerge w:val="restart"/>
            <w:shd w:val="clear" w:color="auto" w:fill="CCEEFF"/>
          </w:tcPr>
          <w:p>
            <w:pPr>
              <w:jc w:val="right"/>
              <w:ind w:right="126"/>
              <w:spacing w:after="0"/>
              <w:rPr>
                <w:sz w:val="20"/>
                <w:szCs w:val="20"/>
                <w:color w:val="auto"/>
              </w:rPr>
            </w:pPr>
            <w:r>
              <w:rPr>
                <w:rFonts w:ascii="Arial" w:cs="Arial" w:eastAsia="Arial" w:hAnsi="Arial"/>
                <w:sz w:val="11"/>
                <w:szCs w:val="11"/>
                <w:color w:val="auto"/>
              </w:rPr>
              <w:t>(3)</w:t>
            </w:r>
          </w:p>
        </w:tc>
        <w:tc>
          <w:tcPr>
            <w:tcW w:w="220" w:type="dxa"/>
            <w:vAlign w:val="bottom"/>
            <w:shd w:val="clear" w:color="auto" w:fill="CCEEFF"/>
          </w:tcPr>
          <w:p>
            <w:pPr>
              <w:jc w:val="right"/>
              <w:spacing w:after="0" w:line="147"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31"/>
              <w:spacing w:after="0" w:line="147" w:lineRule="exact"/>
              <w:rPr>
                <w:sz w:val="20"/>
                <w:szCs w:val="20"/>
                <w:color w:val="auto"/>
              </w:rPr>
            </w:pPr>
            <w:r>
              <w:rPr>
                <w:rFonts w:ascii="Arial" w:cs="Arial" w:eastAsia="Arial" w:hAnsi="Arial"/>
                <w:sz w:val="17"/>
                <w:szCs w:val="17"/>
                <w:color w:val="auto"/>
              </w:rPr>
              <w:t>0.68</w:t>
            </w:r>
          </w:p>
        </w:tc>
        <w:tc>
          <w:tcPr>
            <w:tcW w:w="440" w:type="dxa"/>
            <w:vAlign w:val="bottom"/>
            <w:vMerge w:val="restart"/>
            <w:shd w:val="clear" w:color="auto" w:fill="CCEEFF"/>
          </w:tcPr>
          <w:p>
            <w:pPr>
              <w:jc w:val="right"/>
              <w:ind w:right="12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34"/>
        </w:trPr>
        <w:tc>
          <w:tcPr>
            <w:tcW w:w="2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40" w:type="dxa"/>
            <w:vAlign w:val="bottom"/>
            <w:vMerge w:val="continue"/>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40" w:type="dxa"/>
            <w:vAlign w:val="bottom"/>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
        </w:trPr>
        <w:tc>
          <w:tcPr>
            <w:tcW w:w="20" w:type="dxa"/>
            <w:vAlign w:val="bottom"/>
            <w:tcBorders>
              <w:bottom w:val="single" w:sz="8" w:color="CCEEFF"/>
            </w:tcBorders>
            <w:shd w:val="clear" w:color="auto" w:fill="CCEEFF"/>
          </w:tcPr>
          <w:p>
            <w:pPr>
              <w:spacing w:after="0"/>
              <w:rPr>
                <w:sz w:val="6"/>
                <w:szCs w:val="6"/>
                <w:color w:val="auto"/>
              </w:rPr>
            </w:pPr>
          </w:p>
        </w:tc>
        <w:tc>
          <w:tcPr>
            <w:tcW w:w="2260" w:type="dxa"/>
            <w:vAlign w:val="bottom"/>
            <w:tcBorders>
              <w:bottom w:val="single" w:sz="8" w:color="CCEEFF"/>
            </w:tcBorders>
            <w:shd w:val="clear" w:color="auto" w:fill="CCEEFF"/>
          </w:tcPr>
          <w:p>
            <w:pPr>
              <w:spacing w:after="0"/>
              <w:rPr>
                <w:sz w:val="6"/>
                <w:szCs w:val="6"/>
                <w:color w:val="auto"/>
              </w:rPr>
            </w:pPr>
          </w:p>
        </w:tc>
        <w:tc>
          <w:tcPr>
            <w:tcW w:w="2700" w:type="dxa"/>
            <w:vAlign w:val="bottom"/>
            <w:tcBorders>
              <w:bottom w:val="single" w:sz="8" w:color="CCEEFF"/>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460" w:type="dxa"/>
            <w:vAlign w:val="bottom"/>
            <w:tcBorders>
              <w:bottom w:val="single" w:sz="8" w:color="CCEEFF"/>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CCEEFF"/>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240" w:hanging="178"/>
        <w:spacing w:after="0"/>
        <w:tabs>
          <w:tab w:leader="none" w:pos="240" w:val="left"/>
        </w:tabs>
        <w:numPr>
          <w:ilvl w:val="0"/>
          <w:numId w:val="46"/>
        </w:numPr>
        <w:rPr>
          <w:rFonts w:ascii="Arial" w:cs="Arial" w:eastAsia="Arial" w:hAnsi="Arial"/>
          <w:sz w:val="21"/>
          <w:szCs w:val="21"/>
          <w:color w:val="auto"/>
          <w:vertAlign w:val="superscript"/>
        </w:rPr>
      </w:pPr>
      <w:r>
        <w:rPr>
          <w:rFonts w:ascii="Arial" w:cs="Arial" w:eastAsia="Arial" w:hAnsi="Arial"/>
          <w:sz w:val="15"/>
          <w:szCs w:val="15"/>
          <w:color w:val="auto"/>
        </w:rPr>
        <w:t>Includes a tax benefit of $19.0 million, or $0.33 per diluted share, related to a lapse of statutes of limitations.</w:t>
      </w:r>
    </w:p>
    <w:p>
      <w:pPr>
        <w:spacing w:after="0" w:line="132" w:lineRule="exact"/>
        <w:rPr>
          <w:rFonts w:ascii="Arial" w:cs="Arial" w:eastAsia="Arial" w:hAnsi="Arial"/>
          <w:sz w:val="21"/>
          <w:szCs w:val="21"/>
          <w:color w:val="auto"/>
          <w:vertAlign w:val="superscript"/>
        </w:rPr>
      </w:pPr>
    </w:p>
    <w:p>
      <w:pPr>
        <w:ind w:left="60" w:right="20" w:firstLine="2"/>
        <w:spacing w:after="0" w:line="223" w:lineRule="auto"/>
        <w:tabs>
          <w:tab w:leader="none" w:pos="267" w:val="left"/>
        </w:tabs>
        <w:numPr>
          <w:ilvl w:val="0"/>
          <w:numId w:val="46"/>
        </w:numPr>
        <w:rPr>
          <w:rFonts w:ascii="Arial" w:cs="Arial" w:eastAsia="Arial" w:hAnsi="Arial"/>
          <w:sz w:val="22"/>
          <w:szCs w:val="22"/>
          <w:color w:val="auto"/>
          <w:vertAlign w:val="superscript"/>
        </w:rPr>
      </w:pPr>
      <w:r>
        <w:rPr>
          <w:rFonts w:ascii="Arial" w:cs="Arial" w:eastAsia="Arial" w:hAnsi="Arial"/>
          <w:sz w:val="16"/>
          <w:szCs w:val="16"/>
          <w:color w:val="auto"/>
        </w:rPr>
        <w:t>Includes goodwill and asset impairment charges of $22.5 million, or $0.40 per diluted share, associated with our held-for-sale Government Services business.</w:t>
      </w:r>
    </w:p>
    <w:p>
      <w:pPr>
        <w:spacing w:after="0" w:line="111" w:lineRule="exact"/>
        <w:rPr>
          <w:rFonts w:ascii="Arial" w:cs="Arial" w:eastAsia="Arial" w:hAnsi="Arial"/>
          <w:sz w:val="22"/>
          <w:szCs w:val="22"/>
          <w:color w:val="auto"/>
          <w:vertAlign w:val="superscript"/>
        </w:rPr>
      </w:pPr>
    </w:p>
    <w:p>
      <w:pPr>
        <w:ind w:left="240" w:hanging="178"/>
        <w:spacing w:after="0"/>
        <w:tabs>
          <w:tab w:leader="none" w:pos="240" w:val="left"/>
        </w:tabs>
        <w:numPr>
          <w:ilvl w:val="0"/>
          <w:numId w:val="46"/>
        </w:numPr>
        <w:rPr>
          <w:rFonts w:ascii="Arial" w:cs="Arial" w:eastAsia="Arial" w:hAnsi="Arial"/>
          <w:sz w:val="21"/>
          <w:szCs w:val="21"/>
          <w:color w:val="auto"/>
          <w:vertAlign w:val="superscript"/>
        </w:rPr>
      </w:pPr>
      <w:r>
        <w:rPr>
          <w:rFonts w:ascii="Arial" w:cs="Arial" w:eastAsia="Arial" w:hAnsi="Arial"/>
          <w:sz w:val="15"/>
          <w:szCs w:val="15"/>
          <w:color w:val="auto"/>
        </w:rPr>
        <w:t>Includes an unfavorable adjustment to our self-insurance reserves for prior year claims of $35.9 million, or $0.62 per diluted share.</w:t>
      </w:r>
    </w:p>
    <w:p>
      <w:pPr>
        <w:spacing w:after="0" w:line="109" w:lineRule="exact"/>
        <w:rPr>
          <w:rFonts w:ascii="Arial" w:cs="Arial" w:eastAsia="Arial" w:hAnsi="Arial"/>
          <w:sz w:val="21"/>
          <w:szCs w:val="21"/>
          <w:color w:val="auto"/>
          <w:vertAlign w:val="superscript"/>
        </w:rPr>
      </w:pPr>
    </w:p>
    <w:p>
      <w:pPr>
        <w:ind w:left="240" w:hanging="178"/>
        <w:spacing w:after="0"/>
        <w:tabs>
          <w:tab w:leader="none" w:pos="240" w:val="left"/>
        </w:tabs>
        <w:numPr>
          <w:ilvl w:val="0"/>
          <w:numId w:val="46"/>
        </w:numPr>
        <w:rPr>
          <w:rFonts w:ascii="Arial" w:cs="Arial" w:eastAsia="Arial" w:hAnsi="Arial"/>
          <w:sz w:val="21"/>
          <w:szCs w:val="21"/>
          <w:color w:val="auto"/>
          <w:vertAlign w:val="superscript"/>
        </w:rPr>
      </w:pPr>
      <w:r>
        <w:rPr>
          <w:rFonts w:ascii="Arial" w:cs="Arial" w:eastAsia="Arial" w:hAnsi="Arial"/>
          <w:sz w:val="15"/>
          <w:szCs w:val="15"/>
          <w:color w:val="auto"/>
        </w:rPr>
        <w:t>Reflects the after-tax gain on sale of our Security business of $14.4 million, or $0.25 per diluted share.</w:t>
      </w:r>
    </w:p>
    <w:p>
      <w:pPr>
        <w:sectPr>
          <w:pgSz w:w="11900" w:h="16838" w:orient="portrait"/>
          <w:cols w:equalWidth="0" w:num="1">
            <w:col w:w="11420"/>
          </w:cols>
          <w:pgMar w:left="240" w:top="520"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520" w:right="239" w:bottom="1440" w:gutter="0" w:footer="0" w:header="0"/>
          <w:type w:val="continuous"/>
        </w:sectPr>
      </w:pPr>
    </w:p>
    <w:bookmarkStart w:id="94" w:name="page95"/>
    <w:bookmarkEnd w:id="94"/>
    <w:p>
      <w:pPr>
        <w:ind w:right="9120" w:firstLine="8"/>
        <w:spacing w:after="0" w:line="439" w:lineRule="auto"/>
        <w:tabs>
          <w:tab w:leader="none" w:pos="3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 Acquisitions</w:t>
      </w:r>
    </w:p>
    <w:p>
      <w:pPr>
        <w:spacing w:after="0" w:line="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8"/>
          <w:szCs w:val="18"/>
          <w:color w:val="auto"/>
        </w:rPr>
        <w:t>Effective December 1, 2016, we acquired all of the outstanding stock of Mechanical Solutions, Inc. (“MSI”) and OFJ Connections Ltd (“OFJ”) for purchase prices of $12.0 million and $6.3 million, respectively. MSI is a provider of specialized HVAC, chiller, and plumbing services. OFJ is a provider of transportation services in the United Kingdom. The purchase price of MSI includes up to $1.0 million of contingent consideration that is subject to the retention of certain customer contracts, as defined. The accounting for these acquisitions was incomplete at the time the Financial Statements were issued.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Future Segment Reporting Under Our </w:t>
      </w:r>
      <w:r>
        <w:rPr>
          <w:rFonts w:ascii="Arial" w:cs="Arial" w:eastAsia="Arial" w:hAnsi="Arial"/>
          <w:sz w:val="18"/>
          <w:szCs w:val="18"/>
          <w:b w:val="1"/>
          <w:bCs w:val="1"/>
          <w:color w:val="FF9900"/>
        </w:rPr>
        <w:t>2020</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0070C0"/>
        </w:rPr>
        <w:t>Vision</w:t>
      </w:r>
    </w:p>
    <w:p>
      <w:pPr>
        <w:spacing w:after="0" w:line="171" w:lineRule="exact"/>
        <w:rPr>
          <w:sz w:val="20"/>
          <w:szCs w:val="20"/>
          <w:color w:val="auto"/>
        </w:rPr>
      </w:pPr>
    </w:p>
    <w:p>
      <w:pPr>
        <w:jc w:val="both"/>
        <w:ind w:right="20" w:firstLine="648"/>
        <w:spacing w:after="0" w:line="294" w:lineRule="auto"/>
        <w:rPr>
          <w:sz w:val="20"/>
          <w:szCs w:val="20"/>
          <w:color w:val="auto"/>
        </w:rPr>
      </w:pPr>
      <w:r>
        <w:rPr>
          <w:rFonts w:ascii="Arial" w:cs="Arial" w:eastAsia="Arial" w:hAnsi="Arial"/>
          <w:sz w:val="18"/>
          <w:szCs w:val="18"/>
          <w:color w:val="auto"/>
        </w:rPr>
        <w:t xml:space="preserve">The changes described above relating to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and our strategic transformation will result in changes to our reportable segments in 2017. These new segments, described below, align with our new organizational structure.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3000" w:type="dxa"/>
            <w:vAlign w:val="bottom"/>
            <w:tcBorders>
              <w:top w:val="single" w:sz="8" w:color="auto"/>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Reportable Segment</w:t>
            </w:r>
          </w:p>
        </w:tc>
        <w:tc>
          <w:tcPr>
            <w:tcW w:w="8440" w:type="dxa"/>
            <w:vAlign w:val="bottom"/>
            <w:tcBorders>
              <w:top w:val="single" w:sz="8" w:color="auto"/>
              <w:bottom w:val="single" w:sz="8" w:color="auto"/>
              <w:right w:val="single" w:sz="8" w:color="auto"/>
            </w:tcBorders>
            <w:shd w:val="clear" w:color="auto" w:fill="CCEEFF"/>
          </w:tcPr>
          <w:p>
            <w:pPr>
              <w:ind w:left="37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1"/>
        </w:trPr>
        <w:tc>
          <w:tcPr>
            <w:tcW w:w="3000" w:type="dxa"/>
            <w:vAlign w:val="bottom"/>
            <w:tcBorders>
              <w:left w:val="single" w:sz="8" w:color="auto"/>
              <w:right w:val="single" w:sz="8" w:color="auto"/>
            </w:tcBorders>
          </w:tcPr>
          <w:p>
            <w:pPr>
              <w:spacing w:after="0"/>
              <w:rPr>
                <w:sz w:val="17"/>
                <w:szCs w:val="17"/>
                <w:color w:val="auto"/>
              </w:rPr>
            </w:pPr>
          </w:p>
        </w:tc>
        <w:tc>
          <w:tcPr>
            <w:tcW w:w="844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B&amp;I represents our largest reportable segment. It encompasses janitorial, facilities engineering, and</w:t>
            </w: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Business &amp; Industry (“B&amp;I”)</w:t>
            </w:r>
          </w:p>
        </w:tc>
        <w:tc>
          <w:tcPr>
            <w:tcW w:w="8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parking services to commercial real estate industries, including sports and entertainment venues as well</w:t>
            </w:r>
          </w:p>
        </w:tc>
        <w:tc>
          <w:tcPr>
            <w:tcW w:w="0" w:type="dxa"/>
            <w:vAlign w:val="bottom"/>
          </w:tcPr>
          <w:p>
            <w:pPr>
              <w:spacing w:after="0"/>
              <w:rPr>
                <w:sz w:val="1"/>
                <w:szCs w:val="1"/>
                <w:color w:val="auto"/>
              </w:rPr>
            </w:pPr>
          </w:p>
        </w:tc>
      </w:tr>
      <w:tr>
        <w:trPr>
          <w:trHeight w:val="248"/>
        </w:trPr>
        <w:tc>
          <w:tcPr>
            <w:tcW w:w="3000" w:type="dxa"/>
            <w:vAlign w:val="bottom"/>
            <w:tcBorders>
              <w:left w:val="single" w:sz="8" w:color="auto"/>
              <w:bottom w:val="single" w:sz="8" w:color="auto"/>
              <w:right w:val="single" w:sz="8" w:color="auto"/>
            </w:tcBorders>
          </w:tcPr>
          <w:p>
            <w:pPr>
              <w:spacing w:after="0"/>
              <w:rPr>
                <w:sz w:val="21"/>
                <w:szCs w:val="21"/>
                <w:color w:val="auto"/>
              </w:rPr>
            </w:pPr>
          </w:p>
        </w:tc>
        <w:tc>
          <w:tcPr>
            <w:tcW w:w="8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 industrial and manufacturing sites.</w:t>
            </w:r>
          </w:p>
        </w:tc>
        <w:tc>
          <w:tcPr>
            <w:tcW w:w="0" w:type="dxa"/>
            <w:vAlign w:val="bottom"/>
          </w:tcPr>
          <w:p>
            <w:pPr>
              <w:spacing w:after="0"/>
              <w:rPr>
                <w:sz w:val="1"/>
                <w:szCs w:val="1"/>
                <w:color w:val="auto"/>
              </w:rPr>
            </w:pPr>
          </w:p>
        </w:tc>
      </w:tr>
      <w:tr>
        <w:trPr>
          <w:trHeight w:val="205"/>
        </w:trPr>
        <w:tc>
          <w:tcPr>
            <w:tcW w:w="3000" w:type="dxa"/>
            <w:vAlign w:val="bottom"/>
            <w:tcBorders>
              <w:left w:val="single" w:sz="8" w:color="auto"/>
              <w:right w:val="single" w:sz="8" w:color="auto"/>
            </w:tcBorders>
          </w:tcPr>
          <w:p>
            <w:pPr>
              <w:spacing w:after="0"/>
              <w:rPr>
                <w:sz w:val="17"/>
                <w:szCs w:val="17"/>
                <w:color w:val="auto"/>
              </w:rPr>
            </w:pPr>
          </w:p>
        </w:tc>
        <w:tc>
          <w:tcPr>
            <w:tcW w:w="844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Aviation includes Air Serv (our Other segment) and our services supporting airlines and airports. A wide</w:t>
            </w: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Aviation</w:t>
            </w:r>
          </w:p>
        </w:tc>
        <w:tc>
          <w:tcPr>
            <w:tcW w:w="8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array of services that support the needs of our clients are included in this segment, ranging from parking</w:t>
            </w:r>
          </w:p>
        </w:tc>
        <w:tc>
          <w:tcPr>
            <w:tcW w:w="0" w:type="dxa"/>
            <w:vAlign w:val="bottom"/>
          </w:tcPr>
          <w:p>
            <w:pPr>
              <w:spacing w:after="0"/>
              <w:rPr>
                <w:sz w:val="1"/>
                <w:szCs w:val="1"/>
                <w:color w:val="auto"/>
              </w:rPr>
            </w:pPr>
          </w:p>
        </w:tc>
      </w:tr>
      <w:tr>
        <w:trPr>
          <w:trHeight w:val="248"/>
        </w:trPr>
        <w:tc>
          <w:tcPr>
            <w:tcW w:w="3000" w:type="dxa"/>
            <w:vAlign w:val="bottom"/>
            <w:tcBorders>
              <w:left w:val="single" w:sz="8" w:color="auto"/>
              <w:bottom w:val="single" w:sz="8" w:color="auto"/>
              <w:right w:val="single" w:sz="8" w:color="auto"/>
            </w:tcBorders>
          </w:tcPr>
          <w:p>
            <w:pPr>
              <w:spacing w:after="0"/>
              <w:rPr>
                <w:sz w:val="21"/>
                <w:szCs w:val="21"/>
                <w:color w:val="auto"/>
              </w:rPr>
            </w:pPr>
          </w:p>
        </w:tc>
        <w:tc>
          <w:tcPr>
            <w:tcW w:w="8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and janitorial to passenger assistance, air cabin maintenance, and transportation.</w:t>
            </w:r>
          </w:p>
        </w:tc>
        <w:tc>
          <w:tcPr>
            <w:tcW w:w="0" w:type="dxa"/>
            <w:vAlign w:val="bottom"/>
          </w:tcPr>
          <w:p>
            <w:pPr>
              <w:spacing w:after="0"/>
              <w:rPr>
                <w:sz w:val="1"/>
                <w:szCs w:val="1"/>
                <w:color w:val="auto"/>
              </w:rPr>
            </w:pPr>
          </w:p>
        </w:tc>
      </w:tr>
      <w:tr>
        <w:trPr>
          <w:trHeight w:val="205"/>
        </w:trPr>
        <w:tc>
          <w:tcPr>
            <w:tcW w:w="30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Emerging Industries Group</w:t>
            </w:r>
          </w:p>
        </w:tc>
        <w:tc>
          <w:tcPr>
            <w:tcW w:w="844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Our Emerging Industries Group encompasses janitorial, facilities engineering, and parking services for</w:t>
            </w:r>
          </w:p>
        </w:tc>
        <w:tc>
          <w:tcPr>
            <w:tcW w:w="0" w:type="dxa"/>
            <w:vAlign w:val="bottom"/>
          </w:tcPr>
          <w:p>
            <w:pPr>
              <w:spacing w:after="0"/>
              <w:rPr>
                <w:sz w:val="1"/>
                <w:szCs w:val="1"/>
                <w:color w:val="auto"/>
              </w:rPr>
            </w:pPr>
          </w:p>
        </w:tc>
      </w:tr>
      <w:tr>
        <w:trPr>
          <w:trHeight w:val="135"/>
        </w:trPr>
        <w:tc>
          <w:tcPr>
            <w:tcW w:w="3000" w:type="dxa"/>
            <w:vAlign w:val="bottom"/>
            <w:tcBorders>
              <w:left w:val="single" w:sz="8" w:color="auto"/>
              <w:right w:val="single" w:sz="8" w:color="auto"/>
            </w:tcBorders>
            <w:vMerge w:val="continue"/>
          </w:tcPr>
          <w:p>
            <w:pPr>
              <w:spacing w:after="0"/>
              <w:rPr>
                <w:sz w:val="11"/>
                <w:szCs w:val="11"/>
                <w:color w:val="auto"/>
              </w:rPr>
            </w:pPr>
          </w:p>
        </w:tc>
        <w:tc>
          <w:tcPr>
            <w:tcW w:w="84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Education, High Tech, and Healthcare industries.</w:t>
            </w:r>
          </w:p>
        </w:tc>
        <w:tc>
          <w:tcPr>
            <w:tcW w:w="0" w:type="dxa"/>
            <w:vAlign w:val="bottom"/>
          </w:tcPr>
          <w:p>
            <w:pPr>
              <w:spacing w:after="0"/>
              <w:rPr>
                <w:sz w:val="1"/>
                <w:szCs w:val="1"/>
                <w:color w:val="auto"/>
              </w:rPr>
            </w:pPr>
          </w:p>
        </w:tc>
      </w:tr>
      <w:tr>
        <w:trPr>
          <w:trHeight w:val="113"/>
        </w:trPr>
        <w:tc>
          <w:tcPr>
            <w:tcW w:w="3000" w:type="dxa"/>
            <w:vAlign w:val="bottom"/>
            <w:tcBorders>
              <w:left w:val="single" w:sz="8" w:color="auto"/>
              <w:bottom w:val="single" w:sz="8" w:color="auto"/>
              <w:right w:val="single" w:sz="8" w:color="auto"/>
            </w:tcBorders>
          </w:tcPr>
          <w:p>
            <w:pPr>
              <w:spacing w:after="0"/>
              <w:rPr>
                <w:sz w:val="9"/>
                <w:szCs w:val="9"/>
                <w:color w:val="auto"/>
              </w:rPr>
            </w:pPr>
          </w:p>
        </w:tc>
        <w:tc>
          <w:tcPr>
            <w:tcW w:w="84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3000" w:type="dxa"/>
            <w:vAlign w:val="bottom"/>
            <w:tcBorders>
              <w:left w:val="single" w:sz="8" w:color="auto"/>
              <w:right w:val="single" w:sz="8" w:color="auto"/>
            </w:tcBorders>
          </w:tcPr>
          <w:p>
            <w:pPr>
              <w:spacing w:after="0"/>
              <w:rPr>
                <w:sz w:val="17"/>
                <w:szCs w:val="17"/>
                <w:color w:val="auto"/>
              </w:rPr>
            </w:pPr>
          </w:p>
        </w:tc>
        <w:tc>
          <w:tcPr>
            <w:tcW w:w="844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Technical Solutions provides specialized mechanical and electrical services. These services can also be</w:t>
            </w: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Technical Solutions</w:t>
            </w:r>
          </w:p>
        </w:tc>
        <w:tc>
          <w:tcPr>
            <w:tcW w:w="8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leveraged for cross-selling within B&amp;I, Aviation, and Emerging Industry Groups, both domestically and</w:t>
            </w:r>
          </w:p>
        </w:tc>
        <w:tc>
          <w:tcPr>
            <w:tcW w:w="0" w:type="dxa"/>
            <w:vAlign w:val="bottom"/>
          </w:tcPr>
          <w:p>
            <w:pPr>
              <w:spacing w:after="0"/>
              <w:rPr>
                <w:sz w:val="1"/>
                <w:szCs w:val="1"/>
                <w:color w:val="auto"/>
              </w:rPr>
            </w:pPr>
          </w:p>
        </w:tc>
      </w:tr>
      <w:tr>
        <w:trPr>
          <w:trHeight w:val="248"/>
        </w:trPr>
        <w:tc>
          <w:tcPr>
            <w:tcW w:w="3000" w:type="dxa"/>
            <w:vAlign w:val="bottom"/>
            <w:tcBorders>
              <w:left w:val="single" w:sz="8" w:color="auto"/>
              <w:bottom w:val="single" w:sz="8" w:color="auto"/>
              <w:right w:val="single" w:sz="8" w:color="auto"/>
            </w:tcBorders>
          </w:tcPr>
          <w:p>
            <w:pPr>
              <w:spacing w:after="0"/>
              <w:rPr>
                <w:sz w:val="21"/>
                <w:szCs w:val="21"/>
                <w:color w:val="auto"/>
              </w:rPr>
            </w:pPr>
          </w:p>
        </w:tc>
        <w:tc>
          <w:tcPr>
            <w:tcW w:w="8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internationally (through our U.K.-based acquisition of Westway).</w:t>
            </w:r>
          </w:p>
        </w:tc>
        <w:tc>
          <w:tcPr>
            <w:tcW w:w="0" w:type="dxa"/>
            <w:vAlign w:val="bottom"/>
          </w:tcPr>
          <w:p>
            <w:pPr>
              <w:spacing w:after="0"/>
              <w:rPr>
                <w:sz w:val="1"/>
                <w:szCs w:val="1"/>
                <w:color w:val="auto"/>
              </w:rPr>
            </w:pPr>
          </w:p>
        </w:tc>
      </w:tr>
      <w:tr>
        <w:trPr>
          <w:trHeight w:val="205"/>
        </w:trPr>
        <w:tc>
          <w:tcPr>
            <w:tcW w:w="3000" w:type="dxa"/>
            <w:vAlign w:val="bottom"/>
            <w:tcBorders>
              <w:left w:val="single" w:sz="8" w:color="auto"/>
              <w:right w:val="single" w:sz="8" w:color="auto"/>
            </w:tcBorders>
          </w:tcPr>
          <w:p>
            <w:pPr>
              <w:spacing w:after="0"/>
              <w:rPr>
                <w:sz w:val="17"/>
                <w:szCs w:val="17"/>
                <w:color w:val="auto"/>
              </w:rPr>
            </w:pPr>
          </w:p>
        </w:tc>
        <w:tc>
          <w:tcPr>
            <w:tcW w:w="844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Our held-for-sale  Government Services business  provides  specialty solutions in support of U.S.</w:t>
            </w: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Government Services</w:t>
            </w:r>
          </w:p>
        </w:tc>
        <w:tc>
          <w:tcPr>
            <w:tcW w:w="8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government entities, such as: construction management; energy efficiency upgrades; healthcare support;</w:t>
            </w:r>
          </w:p>
        </w:tc>
        <w:tc>
          <w:tcPr>
            <w:tcW w:w="0" w:type="dxa"/>
            <w:vAlign w:val="bottom"/>
          </w:tcPr>
          <w:p>
            <w:pPr>
              <w:spacing w:after="0"/>
              <w:rPr>
                <w:sz w:val="1"/>
                <w:szCs w:val="1"/>
                <w:color w:val="auto"/>
              </w:rPr>
            </w:pPr>
          </w:p>
        </w:tc>
      </w:tr>
      <w:tr>
        <w:trPr>
          <w:trHeight w:val="248"/>
        </w:trPr>
        <w:tc>
          <w:tcPr>
            <w:tcW w:w="3000" w:type="dxa"/>
            <w:vAlign w:val="bottom"/>
            <w:tcBorders>
              <w:left w:val="single" w:sz="8" w:color="auto"/>
              <w:bottom w:val="single" w:sz="8" w:color="auto"/>
              <w:right w:val="single" w:sz="8" w:color="auto"/>
            </w:tcBorders>
          </w:tcPr>
          <w:p>
            <w:pPr>
              <w:spacing w:after="0"/>
              <w:rPr>
                <w:sz w:val="21"/>
                <w:szCs w:val="21"/>
                <w:color w:val="auto"/>
              </w:rPr>
            </w:pPr>
          </w:p>
        </w:tc>
        <w:tc>
          <w:tcPr>
            <w:tcW w:w="8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leadership development; military base operations; and other mission support services.</w:t>
            </w:r>
          </w:p>
        </w:tc>
        <w:tc>
          <w:tcPr>
            <w:tcW w:w="0" w:type="dxa"/>
            <w:vAlign w:val="bottom"/>
          </w:tcPr>
          <w:p>
            <w:pPr>
              <w:spacing w:after="0"/>
              <w:rPr>
                <w:sz w:val="1"/>
                <w:szCs w:val="1"/>
                <w:color w:val="auto"/>
              </w:rPr>
            </w:pPr>
          </w:p>
        </w:tc>
      </w:tr>
      <w:tr>
        <w:trPr>
          <w:trHeight w:val="836"/>
        </w:trPr>
        <w:tc>
          <w:tcPr>
            <w:tcW w:w="3000" w:type="dxa"/>
            <w:vAlign w:val="bottom"/>
          </w:tcPr>
          <w:p>
            <w:pPr>
              <w:spacing w:after="0"/>
              <w:rPr>
                <w:sz w:val="24"/>
                <w:szCs w:val="24"/>
                <w:color w:val="auto"/>
              </w:rPr>
            </w:pPr>
          </w:p>
        </w:tc>
        <w:tc>
          <w:tcPr>
            <w:tcW w:w="844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bl>
    <w:p>
      <w:pPr>
        <w:sectPr>
          <w:pgSz w:w="11900" w:h="16838" w:orient="portrait"/>
          <w:cols w:equalWidth="0" w:num="1">
            <w:col w:w="11440"/>
          </w:cols>
          <w:pgMar w:left="240" w:top="520" w:right="21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the end of the period covered by this report, our Principal Executive Officer and Principal Financial Officer evaluated our disclosure controls and procedures, as such term is defined in Rules 13a-15(e) and 15d-15(e) of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Securities and Exchange Commission, and (2) accumulated and communicated to our management, including our Principal Executive Officer and Principal Financial Officer, to allow timely decisions regarding required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Management’s Report on Internal Control Over Financial Reporting.</w:t>
      </w:r>
    </w:p>
    <w:p>
      <w:pPr>
        <w:spacing w:after="0" w:line="1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such term is defined in Rules 13a-15(f) and 15d-15(f) of the Exchange Act. Under the supervision and with the participation of our management, including our Principal Executive Officer and Principal Financial Officer, we conducted an evaluation of the effectiveness of our internal control over financial reporting based upon the framework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Based on that evaluation, our management concluded that our internal control over financial reporting was effective as of October 31, 2016.</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acquired Westway Services Holdings (2014) Ltd. (“Westway”) on December 1, 2015 and 8 Solutions Ltd. (“8 Solutions”) on September 30, 2016. Management excluded these two businesses from its assessment of the effectiveness of the Company’s internal control over financial reporting as of October 31, 2016. Westway and 8 Solutions represented approximately 4% and 1% of the Company’s total consolidated assets and total consolidated revenues, respectively, as of and for the year ended October 31,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Report on Internal Controls over Financial Reporting of the Registered Public Accounting Firm</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KPMG LLP, an independent registered public accounting firm, has audited the consolidated financial statements included in this Annual Report on Form 10-K and, as part of their audit, has issued their report, included herein, on the effectiveness of our internal control over financial reporting.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Changes in Internal Control Over Financial Reporting.</w:t>
      </w:r>
    </w:p>
    <w:p>
      <w:pPr>
        <w:spacing w:after="0" w:line="17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 xml:space="preserve">We are currently migrating many of our financial reporting and processes to our shared services center as part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strategic initiative. We plan to continue migrating such processes during 2017.</w:t>
      </w:r>
    </w:p>
    <w:p>
      <w:pPr>
        <w:spacing w:after="0" w:line="8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There were no other changes in our internal control over financial reporting during the fourth fiscal quarter of 2016 identified in connection with the evaluation required by Rule 13a-15(d) and 15d-15(d) of the Exchange Act that has materially affected, or is reasonably likely to materially affect, our internal control over financial reporting.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520" w:right="239" w:bottom="1440" w:gutter="0" w:footer="0" w:header="0"/>
        </w:sectPr>
      </w:pPr>
    </w:p>
    <w:bookmarkStart w:id="96" w:name="page97"/>
    <w:bookmarkEnd w:id="96"/>
    <w:p>
      <w:pPr>
        <w:ind w:left="538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Information about our executive officers is found in Part I, Item 1 of this Form 10-K under “Executive Officers of Registrant.” Additional information required by this item is set forth under the captions “Proposal No. 1—Election of Directors,” “Corporate Governance and Board Matters,” “Audit-Related Matters,” and “Section 16(a) Beneficial Ownership Reporting Compliance” in our Definitive Proxy Statement for our Annual Meeting of Shareholders scheduled to be held on March 8, 2017 (“2017 Proxy Statement”). This information is incorporated by reference into this Annual Report on Form 10-K. Our 2017 Proxy Statement will be filed with the Securities and Exchange Commission within 120 days after the conclusion of our fiscal year ended October 31, 2016.</w:t>
      </w:r>
    </w:p>
    <w:p>
      <w:pPr>
        <w:spacing w:after="0" w:line="124" w:lineRule="exact"/>
        <w:rPr>
          <w:sz w:val="20"/>
          <w:szCs w:val="20"/>
          <w:color w:val="auto"/>
        </w:rPr>
      </w:pPr>
    </w:p>
    <w:p>
      <w:pPr>
        <w:ind w:right="740" w:firstLine="648"/>
        <w:spacing w:after="0" w:line="438" w:lineRule="auto"/>
        <w:rPr>
          <w:sz w:val="20"/>
          <w:szCs w:val="20"/>
          <w:color w:val="auto"/>
        </w:rPr>
      </w:pPr>
      <w:r>
        <w:rPr>
          <w:rFonts w:ascii="Arial" w:cs="Arial" w:eastAsia="Arial" w:hAnsi="Arial"/>
          <w:sz w:val="18"/>
          <w:szCs w:val="18"/>
          <w:color w:val="auto"/>
        </w:rPr>
        <w:t xml:space="preserve">On April 5, 2016, we filed our Annual CEO Certification as required by Section 303A.12 of the NYSE Listed Company Manual. </w:t>
      </w:r>
      <w:r>
        <w:rPr>
          <w:rFonts w:ascii="Arial" w:cs="Arial" w:eastAsia="Arial" w:hAnsi="Arial"/>
          <w:sz w:val="18"/>
          <w:szCs w:val="18"/>
          <w:b w:val="1"/>
          <w:bCs w:val="1"/>
          <w:color w:val="auto"/>
        </w:rPr>
        <w:t>Code of Business Conduct</w:t>
      </w:r>
    </w:p>
    <w:p>
      <w:pPr>
        <w:spacing w:after="0" w:line="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We have adopted and posted on our website (</w:t>
      </w:r>
      <w:r>
        <w:rPr>
          <w:rFonts w:ascii="Arial" w:cs="Arial" w:eastAsia="Arial" w:hAnsi="Arial"/>
          <w:sz w:val="18"/>
          <w:szCs w:val="18"/>
          <w:u w:val="single" w:color="auto"/>
          <w:color w:val="auto"/>
        </w:rPr>
        <w:t>www.abm.com</w:t>
      </w:r>
      <w:r>
        <w:rPr>
          <w:rFonts w:ascii="Arial" w:cs="Arial" w:eastAsia="Arial" w:hAnsi="Arial"/>
          <w:sz w:val="18"/>
          <w:szCs w:val="18"/>
          <w:color w:val="auto"/>
        </w:rPr>
        <w:t>) the ABM Code of Business Conduct, which applies to all of our directors, officers, and employees, including our Principal Executive Officer, Principal Financial Officer, and Principal Accounting Officer. If any amendments are made to the Code of Business Conduct or if any waiver, including any implicit waiver, from a provision of the Code of Business Conduct is granted to our Principal Executive Officer, Principal Financial Officer, or Principal Accounting Officer, we will disclose the nature of such amendment or waiver on our website at the address specified above.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Information with respect to executive compensation is incorporated by reference from the information set forth under the captions “Director Compensation,” “Executive Compensation,” and “Corporate Governance and Board Matters” in our 2017 Proxy Statement.</w:t>
      </w:r>
    </w:p>
    <w:p>
      <w:pPr>
        <w:spacing w:after="0" w:line="89" w:lineRule="exact"/>
        <w:rPr>
          <w:sz w:val="20"/>
          <w:szCs w:val="20"/>
          <w:color w:val="auto"/>
        </w:rPr>
      </w:pPr>
    </w:p>
    <w:p>
      <w:pPr>
        <w:ind w:right="880"/>
        <w:spacing w:after="0" w:line="303"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Information with respect to security ownership of certain beneficial owners and management and equity compensation plan information and related stockholder matters is incorporated by reference from the information set forth under the captions “Security Ownership of Management,” “Security Ownership of Certain Beneficial Owners,” and “Equity Compensation Plan Information” in our 2017 Proxy Statement.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Information with respect to certain relationships and related transactions and with respect to director independence is incorporated by reference from the information set forth under the captions “Certain Relationships and Transactions with Related Persons” and “Corporate Governance and Board Matters” in our 2017 Proxy Statement.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7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Information with respect to our Audit Committee’s pre-approval policy for audit services and our principal accounting fees and services is incorporated by reference from the information set forth under the caption “Audit-Related Matters” in our 2017 Proxy Statement.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358"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0"/>
        </w:trPr>
        <w:tc>
          <w:tcPr>
            <w:tcW w:w="11200" w:type="dxa"/>
            <w:vAlign w:val="bottom"/>
          </w:tcPr>
          <w:p>
            <w:pPr>
              <w:ind w:left="5340"/>
              <w:spacing w:after="0"/>
              <w:rPr>
                <w:sz w:val="20"/>
                <w:szCs w:val="20"/>
                <w:color w:val="auto"/>
              </w:rPr>
            </w:pPr>
            <w:r>
              <w:rPr>
                <w:rFonts w:ascii="Arial" w:cs="Arial" w:eastAsia="Arial" w:hAnsi="Arial"/>
                <w:sz w:val="18"/>
                <w:szCs w:val="18"/>
                <w:b w:val="1"/>
                <w:bCs w:val="1"/>
                <w:color w:val="auto"/>
              </w:rPr>
              <w:t>PART IV</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3"/>
        </w:trPr>
        <w:tc>
          <w:tcPr>
            <w:tcW w:w="11200" w:type="dxa"/>
            <w:vAlign w:val="bottom"/>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68"/>
        </w:trPr>
        <w:tc>
          <w:tcPr>
            <w:tcW w:w="11200" w:type="dxa"/>
            <w:vAlign w:val="bottom"/>
          </w:tcPr>
          <w:p>
            <w:pPr>
              <w:ind w:left="340"/>
              <w:spacing w:after="0"/>
              <w:rPr>
                <w:sz w:val="20"/>
                <w:szCs w:val="20"/>
                <w:color w:val="auto"/>
              </w:rPr>
            </w:pPr>
            <w:r>
              <w:rPr>
                <w:rFonts w:ascii="Arial" w:cs="Arial" w:eastAsia="Arial" w:hAnsi="Arial"/>
                <w:sz w:val="17"/>
                <w:szCs w:val="17"/>
                <w:color w:val="auto"/>
              </w:rPr>
              <w:t>(a) The following documents are filed as part of this report: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1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70"/>
        </w:trPr>
        <w:tc>
          <w:tcPr>
            <w:tcW w:w="11200" w:type="dxa"/>
            <w:vAlign w:val="bottom"/>
            <w:shd w:val="clear" w:color="auto" w:fill="CCEEFF"/>
          </w:tcPr>
          <w:p>
            <w:pPr>
              <w:ind w:left="40"/>
              <w:spacing w:after="0"/>
              <w:rPr>
                <w:sz w:val="20"/>
                <w:szCs w:val="20"/>
                <w:color w:val="auto"/>
              </w:rPr>
            </w:pPr>
            <w:r>
              <w:rPr>
                <w:rFonts w:ascii="Arial" w:cs="Arial" w:eastAsia="Arial" w:hAnsi="Arial"/>
                <w:sz w:val="17"/>
                <w:szCs w:val="17"/>
                <w:color w:val="auto"/>
              </w:rPr>
              <w:t>1</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Financial Statements</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Index to Consolidated Financial Statements</w:t>
            </w: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11200" w:type="dxa"/>
            <w:vAlign w:val="bottom"/>
          </w:tcPr>
          <w:p>
            <w:pPr>
              <w:ind w:left="320"/>
              <w:spacing w:after="0"/>
              <w:rPr>
                <w:sz w:val="20"/>
                <w:szCs w:val="20"/>
                <w:color w:val="auto"/>
              </w:rPr>
            </w:pPr>
            <w:r>
              <w:rPr>
                <w:rFonts w:ascii="Arial" w:cs="Arial" w:eastAsia="Arial" w:hAnsi="Arial"/>
                <w:sz w:val="17"/>
                <w:szCs w:val="17"/>
                <w:color w:val="auto"/>
              </w:rPr>
              <w:t>Report of Independent Registered Public Accounting Firm</w:t>
            </w:r>
          </w:p>
        </w:tc>
        <w:tc>
          <w:tcPr>
            <w:tcW w:w="200" w:type="dxa"/>
            <w:vAlign w:val="bottom"/>
            <w:tcBorders>
              <w:bottom w:val="single" w:sz="8" w:color="0000FF"/>
            </w:tcBorders>
          </w:tcPr>
          <w:p>
            <w:pPr>
              <w:jc w:val="right"/>
              <w:spacing w:after="0"/>
              <w:rPr>
                <w:rFonts w:ascii="Arial" w:cs="Arial" w:eastAsia="Arial" w:hAnsi="Arial"/>
                <w:sz w:val="17"/>
                <w:szCs w:val="17"/>
                <w:color w:val="0000FF"/>
                <w:w w:val="94"/>
              </w:rPr>
            </w:pPr>
            <w:hyperlink w:anchor="page53">
              <w:r>
                <w:rPr>
                  <w:rFonts w:ascii="Arial" w:cs="Arial" w:eastAsia="Arial" w:hAnsi="Arial"/>
                  <w:sz w:val="17"/>
                  <w:szCs w:val="17"/>
                  <w:color w:val="0000FF"/>
                  <w:w w:val="94"/>
                </w:rPr>
                <w:t>50</w:t>
              </w:r>
            </w:hyperlink>
          </w:p>
        </w:tc>
        <w:tc>
          <w:tcPr>
            <w:tcW w:w="20" w:type="dxa"/>
            <w:vAlign w:val="bottom"/>
          </w:tcPr>
          <w:p>
            <w:pPr>
              <w:spacing w:after="0"/>
              <w:rPr>
                <w:sz w:val="17"/>
                <w:szCs w:val="17"/>
                <w:color w:val="auto"/>
              </w:rPr>
            </w:pPr>
          </w:p>
        </w:tc>
      </w:tr>
      <w:tr>
        <w:trPr>
          <w:trHeight w:val="34"/>
        </w:trPr>
        <w:tc>
          <w:tcPr>
            <w:tcW w:w="1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2"/>
        </w:trPr>
        <w:tc>
          <w:tcPr>
            <w:tcW w:w="112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Consolidated Balance Sheets at October 31, 2016 and 2015</w:t>
            </w:r>
          </w:p>
        </w:tc>
        <w:tc>
          <w:tcPr>
            <w:tcW w:w="200" w:type="dxa"/>
            <w:vAlign w:val="bottom"/>
            <w:tcBorders>
              <w:bottom w:val="single" w:sz="8" w:color="0000EE"/>
            </w:tcBorders>
            <w:shd w:val="clear" w:color="auto" w:fill="CCEEFF"/>
          </w:tcPr>
          <w:p>
            <w:pPr>
              <w:jc w:val="right"/>
              <w:spacing w:after="0"/>
              <w:rPr>
                <w:rFonts w:ascii="Arial" w:cs="Arial" w:eastAsia="Arial" w:hAnsi="Arial"/>
                <w:sz w:val="17"/>
                <w:szCs w:val="17"/>
                <w:color w:val="0000EE"/>
                <w:w w:val="94"/>
              </w:rPr>
            </w:pPr>
            <w:hyperlink w:anchor="page54">
              <w:r>
                <w:rPr>
                  <w:rFonts w:ascii="Arial" w:cs="Arial" w:eastAsia="Arial" w:hAnsi="Arial"/>
                  <w:sz w:val="17"/>
                  <w:szCs w:val="17"/>
                  <w:color w:val="0000EE"/>
                  <w:w w:val="94"/>
                </w:rPr>
                <w:t>51</w:t>
              </w:r>
            </w:hyperlink>
          </w:p>
        </w:tc>
        <w:tc>
          <w:tcPr>
            <w:tcW w:w="20" w:type="dxa"/>
            <w:vAlign w:val="bottom"/>
            <w:tcBorders>
              <w:bottom w:val="single" w:sz="8" w:color="CCEEFF"/>
            </w:tcBorders>
            <w:shd w:val="clear" w:color="auto" w:fill="CCEEFF"/>
          </w:tcPr>
          <w:p>
            <w:pPr>
              <w:spacing w:after="0"/>
              <w:rPr>
                <w:sz w:val="20"/>
                <w:szCs w:val="20"/>
                <w:color w:val="auto"/>
              </w:rPr>
            </w:pPr>
          </w:p>
        </w:tc>
      </w:tr>
      <w:tr>
        <w:trPr>
          <w:trHeight w:val="203"/>
        </w:trPr>
        <w:tc>
          <w:tcPr>
            <w:tcW w:w="11200" w:type="dxa"/>
            <w:vAlign w:val="bottom"/>
            <w:tcBorders>
              <w:top w:val="single" w:sz="8" w:color="CCEEFF"/>
            </w:tcBorders>
          </w:tcPr>
          <w:p>
            <w:pPr>
              <w:ind w:left="320"/>
              <w:spacing w:after="0"/>
              <w:rPr>
                <w:sz w:val="20"/>
                <w:szCs w:val="20"/>
                <w:color w:val="auto"/>
              </w:rPr>
            </w:pPr>
            <w:r>
              <w:rPr>
                <w:rFonts w:ascii="Arial" w:cs="Arial" w:eastAsia="Arial" w:hAnsi="Arial"/>
                <w:sz w:val="17"/>
                <w:szCs w:val="17"/>
                <w:color w:val="auto"/>
              </w:rPr>
              <w:t>Consolidated Statements of Comprehensive Income for the Years Ended October 31, 2016, 2015, and 2014</w:t>
            </w:r>
          </w:p>
        </w:tc>
        <w:tc>
          <w:tcPr>
            <w:tcW w:w="200" w:type="dxa"/>
            <w:vAlign w:val="bottom"/>
            <w:tcBorders>
              <w:top w:val="single" w:sz="8" w:color="CCEEFF"/>
              <w:bottom w:val="single" w:sz="8" w:color="0000FF"/>
            </w:tcBorders>
          </w:tcPr>
          <w:p>
            <w:pPr>
              <w:jc w:val="right"/>
              <w:spacing w:after="0"/>
              <w:rPr>
                <w:rFonts w:ascii="Arial" w:cs="Arial" w:eastAsia="Arial" w:hAnsi="Arial"/>
                <w:sz w:val="17"/>
                <w:szCs w:val="17"/>
                <w:color w:val="0000FF"/>
                <w:w w:val="94"/>
              </w:rPr>
            </w:pPr>
            <w:hyperlink w:anchor="page55">
              <w:r>
                <w:rPr>
                  <w:rFonts w:ascii="Arial" w:cs="Arial" w:eastAsia="Arial" w:hAnsi="Arial"/>
                  <w:sz w:val="17"/>
                  <w:szCs w:val="17"/>
                  <w:color w:val="0000FF"/>
                  <w:w w:val="94"/>
                </w:rPr>
                <w:t>52</w:t>
              </w:r>
            </w:hyperlink>
          </w:p>
        </w:tc>
        <w:tc>
          <w:tcPr>
            <w:tcW w:w="20" w:type="dxa"/>
            <w:vAlign w:val="bottom"/>
            <w:tcBorders>
              <w:top w:val="single" w:sz="8" w:color="CCEEFF"/>
            </w:tcBorders>
          </w:tcPr>
          <w:p>
            <w:pPr>
              <w:spacing w:after="0"/>
              <w:rPr>
                <w:sz w:val="17"/>
                <w:szCs w:val="17"/>
                <w:color w:val="auto"/>
              </w:rPr>
            </w:pPr>
          </w:p>
        </w:tc>
      </w:tr>
      <w:tr>
        <w:trPr>
          <w:trHeight w:val="34"/>
        </w:trPr>
        <w:tc>
          <w:tcPr>
            <w:tcW w:w="1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2"/>
        </w:trPr>
        <w:tc>
          <w:tcPr>
            <w:tcW w:w="112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Consolidated Statements of Stockholders’ Equity for the Years Ended October 31, 2016, 2015, and 2014</w:t>
            </w:r>
          </w:p>
        </w:tc>
        <w:tc>
          <w:tcPr>
            <w:tcW w:w="200" w:type="dxa"/>
            <w:vAlign w:val="bottom"/>
            <w:tcBorders>
              <w:bottom w:val="single" w:sz="8" w:color="0000FF"/>
            </w:tcBorders>
            <w:shd w:val="clear" w:color="auto" w:fill="CCEEFF"/>
          </w:tcPr>
          <w:p>
            <w:pPr>
              <w:jc w:val="right"/>
              <w:spacing w:after="0"/>
              <w:rPr>
                <w:rFonts w:ascii="Arial" w:cs="Arial" w:eastAsia="Arial" w:hAnsi="Arial"/>
                <w:sz w:val="17"/>
                <w:szCs w:val="17"/>
                <w:color w:val="0000FF"/>
                <w:w w:val="94"/>
              </w:rPr>
            </w:pPr>
            <w:hyperlink w:anchor="page56">
              <w:r>
                <w:rPr>
                  <w:rFonts w:ascii="Arial" w:cs="Arial" w:eastAsia="Arial" w:hAnsi="Arial"/>
                  <w:sz w:val="17"/>
                  <w:szCs w:val="17"/>
                  <w:color w:val="0000FF"/>
                  <w:w w:val="94"/>
                </w:rPr>
                <w:t>53</w:t>
              </w:r>
            </w:hyperlink>
          </w:p>
        </w:tc>
        <w:tc>
          <w:tcPr>
            <w:tcW w:w="20" w:type="dxa"/>
            <w:vAlign w:val="bottom"/>
            <w:tcBorders>
              <w:bottom w:val="single" w:sz="8" w:color="CCEEFF"/>
            </w:tcBorders>
            <w:shd w:val="clear" w:color="auto" w:fill="CCEEFF"/>
          </w:tcPr>
          <w:p>
            <w:pPr>
              <w:spacing w:after="0"/>
              <w:rPr>
                <w:sz w:val="20"/>
                <w:szCs w:val="20"/>
                <w:color w:val="auto"/>
              </w:rPr>
            </w:pPr>
          </w:p>
        </w:tc>
      </w:tr>
      <w:tr>
        <w:trPr>
          <w:trHeight w:val="203"/>
        </w:trPr>
        <w:tc>
          <w:tcPr>
            <w:tcW w:w="11200" w:type="dxa"/>
            <w:vAlign w:val="bottom"/>
            <w:tcBorders>
              <w:top w:val="single" w:sz="8" w:color="CCEEFF"/>
            </w:tcBorders>
          </w:tcPr>
          <w:p>
            <w:pPr>
              <w:ind w:left="320"/>
              <w:spacing w:after="0"/>
              <w:rPr>
                <w:sz w:val="20"/>
                <w:szCs w:val="20"/>
                <w:color w:val="auto"/>
              </w:rPr>
            </w:pPr>
            <w:r>
              <w:rPr>
                <w:rFonts w:ascii="Arial" w:cs="Arial" w:eastAsia="Arial" w:hAnsi="Arial"/>
                <w:sz w:val="17"/>
                <w:szCs w:val="17"/>
                <w:color w:val="auto"/>
              </w:rPr>
              <w:t>Consolidated Statements of Cash Flows for the Years Ended October 31, 2016, 2015, and 2014</w:t>
            </w:r>
          </w:p>
        </w:tc>
        <w:tc>
          <w:tcPr>
            <w:tcW w:w="200" w:type="dxa"/>
            <w:vAlign w:val="bottom"/>
            <w:tcBorders>
              <w:top w:val="single" w:sz="8" w:color="CCEEFF"/>
              <w:bottom w:val="single" w:sz="8" w:color="0000FF"/>
            </w:tcBorders>
          </w:tcPr>
          <w:p>
            <w:pPr>
              <w:jc w:val="right"/>
              <w:spacing w:after="0"/>
              <w:rPr>
                <w:rFonts w:ascii="Arial" w:cs="Arial" w:eastAsia="Arial" w:hAnsi="Arial"/>
                <w:sz w:val="17"/>
                <w:szCs w:val="17"/>
                <w:color w:val="0000FF"/>
                <w:w w:val="94"/>
              </w:rPr>
            </w:pPr>
            <w:hyperlink w:anchor="page57">
              <w:r>
                <w:rPr>
                  <w:rFonts w:ascii="Arial" w:cs="Arial" w:eastAsia="Arial" w:hAnsi="Arial"/>
                  <w:sz w:val="17"/>
                  <w:szCs w:val="17"/>
                  <w:color w:val="0000FF"/>
                  <w:w w:val="94"/>
                </w:rPr>
                <w:t>54</w:t>
              </w:r>
            </w:hyperlink>
          </w:p>
        </w:tc>
        <w:tc>
          <w:tcPr>
            <w:tcW w:w="20" w:type="dxa"/>
            <w:vAlign w:val="bottom"/>
            <w:tcBorders>
              <w:top w:val="single" w:sz="8" w:color="CCEEFF"/>
            </w:tcBorders>
          </w:tcPr>
          <w:p>
            <w:pPr>
              <w:spacing w:after="0"/>
              <w:rPr>
                <w:sz w:val="17"/>
                <w:szCs w:val="17"/>
                <w:color w:val="auto"/>
              </w:rPr>
            </w:pPr>
          </w:p>
        </w:tc>
      </w:tr>
      <w:tr>
        <w:trPr>
          <w:trHeight w:val="34"/>
        </w:trPr>
        <w:tc>
          <w:tcPr>
            <w:tcW w:w="1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4"/>
        </w:trPr>
        <w:tc>
          <w:tcPr>
            <w:tcW w:w="11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68"/>
        </w:trPr>
        <w:tc>
          <w:tcPr>
            <w:tcW w:w="11200" w:type="dxa"/>
            <w:vAlign w:val="bottom"/>
          </w:tcPr>
          <w:p>
            <w:pPr>
              <w:ind w:left="40"/>
              <w:spacing w:after="0"/>
              <w:rPr>
                <w:sz w:val="20"/>
                <w:szCs w:val="20"/>
                <w:color w:val="auto"/>
              </w:rPr>
            </w:pPr>
            <w:r>
              <w:rPr>
                <w:rFonts w:ascii="Arial" w:cs="Arial" w:eastAsia="Arial" w:hAnsi="Arial"/>
                <w:sz w:val="17"/>
                <w:szCs w:val="17"/>
                <w:color w:val="auto"/>
              </w:rPr>
              <w:t xml:space="preserve">2. </w:t>
            </w:r>
            <w:r>
              <w:rPr>
                <w:rFonts w:ascii="Arial" w:cs="Arial" w:eastAsia="Arial" w:hAnsi="Arial"/>
                <w:sz w:val="17"/>
                <w:szCs w:val="17"/>
                <w:b w:val="1"/>
                <w:bCs w:val="1"/>
                <w:i w:val="1"/>
                <w:iCs w:val="1"/>
                <w:color w:val="auto"/>
              </w:rPr>
              <w:t>Financial Statement Schedule</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43"/>
        </w:trPr>
        <w:tc>
          <w:tcPr>
            <w:tcW w:w="11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Valuation and Qualifying Accounts for the Years Ended October 31, 2016, 2015, and 2014</w:t>
            </w:r>
          </w:p>
        </w:tc>
        <w:tc>
          <w:tcPr>
            <w:tcW w:w="200" w:type="dxa"/>
            <w:vAlign w:val="bottom"/>
            <w:tcBorders>
              <w:bottom w:val="single" w:sz="8" w:color="0000FF"/>
            </w:tcBorders>
            <w:shd w:val="clear" w:color="auto" w:fill="CCEEFF"/>
          </w:tcPr>
          <w:p>
            <w:pPr>
              <w:jc w:val="right"/>
              <w:spacing w:after="0"/>
              <w:rPr>
                <w:rFonts w:ascii="Arial" w:cs="Arial" w:eastAsia="Arial" w:hAnsi="Arial"/>
                <w:sz w:val="17"/>
                <w:szCs w:val="17"/>
                <w:color w:val="0000FF"/>
                <w:w w:val="94"/>
              </w:rPr>
            </w:pPr>
            <w:hyperlink w:anchor="page100">
              <w:r>
                <w:rPr>
                  <w:rFonts w:ascii="Arial" w:cs="Arial" w:eastAsia="Arial" w:hAnsi="Arial"/>
                  <w:sz w:val="17"/>
                  <w:szCs w:val="17"/>
                  <w:color w:val="0000FF"/>
                  <w:w w:val="94"/>
                </w:rPr>
                <w:t>96</w:t>
              </w:r>
            </w:hyperlink>
          </w:p>
        </w:tc>
        <w:tc>
          <w:tcPr>
            <w:tcW w:w="20" w:type="dxa"/>
            <w:vAlign w:val="bottom"/>
            <w:tcBorders>
              <w:bottom w:val="single" w:sz="8" w:color="CCEEFF"/>
            </w:tcBorders>
            <w:shd w:val="clear" w:color="auto" w:fill="CCEEFF"/>
          </w:tcPr>
          <w:p>
            <w:pPr>
              <w:spacing w:after="0"/>
              <w:rPr>
                <w:sz w:val="20"/>
                <w:szCs w:val="20"/>
                <w:color w:val="auto"/>
              </w:rPr>
            </w:pPr>
          </w:p>
        </w:tc>
      </w:tr>
      <w:tr>
        <w:trPr>
          <w:trHeight w:val="284"/>
        </w:trPr>
        <w:tc>
          <w:tcPr>
            <w:tcW w:w="112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70"/>
        </w:trPr>
        <w:tc>
          <w:tcPr>
            <w:tcW w:w="11200" w:type="dxa"/>
            <w:vAlign w:val="bottom"/>
            <w:shd w:val="clear" w:color="auto" w:fill="CCEEFF"/>
          </w:tcPr>
          <w:p>
            <w:pPr>
              <w:ind w:left="40"/>
              <w:spacing w:after="0"/>
              <w:rPr>
                <w:sz w:val="20"/>
                <w:szCs w:val="20"/>
                <w:color w:val="auto"/>
              </w:rPr>
            </w:pPr>
            <w:r>
              <w:rPr>
                <w:rFonts w:ascii="Arial" w:cs="Arial" w:eastAsia="Arial" w:hAnsi="Arial"/>
                <w:sz w:val="17"/>
                <w:szCs w:val="17"/>
                <w:color w:val="auto"/>
              </w:rPr>
              <w:t xml:space="preserve">3. </w:t>
            </w:r>
            <w:r>
              <w:rPr>
                <w:rFonts w:ascii="Arial" w:cs="Arial" w:eastAsia="Arial" w:hAnsi="Arial"/>
                <w:sz w:val="17"/>
                <w:szCs w:val="17"/>
                <w:b w:val="1"/>
                <w:bCs w:val="1"/>
                <w:i w:val="1"/>
                <w:iCs w:val="1"/>
                <w:color w:val="auto"/>
              </w:rPr>
              <w:t>Exhibits</w:t>
            </w: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11200" w:type="dxa"/>
            <w:vAlign w:val="bottom"/>
          </w:tcPr>
          <w:p>
            <w:pPr>
              <w:ind w:left="320"/>
              <w:spacing w:after="0"/>
              <w:rPr>
                <w:sz w:val="20"/>
                <w:szCs w:val="20"/>
                <w:color w:val="auto"/>
              </w:rPr>
            </w:pPr>
            <w:r>
              <w:rPr>
                <w:rFonts w:ascii="Arial" w:cs="Arial" w:eastAsia="Arial" w:hAnsi="Arial"/>
                <w:sz w:val="17"/>
                <w:szCs w:val="17"/>
                <w:color w:val="auto"/>
              </w:rPr>
              <w:t>See Exhibit Index</w:t>
            </w:r>
          </w:p>
        </w:tc>
        <w:tc>
          <w:tcPr>
            <w:tcW w:w="200" w:type="dxa"/>
            <w:vAlign w:val="bottom"/>
            <w:tcBorders>
              <w:bottom w:val="single" w:sz="8" w:color="0000FF"/>
            </w:tcBorders>
          </w:tcPr>
          <w:p>
            <w:pPr>
              <w:jc w:val="right"/>
              <w:spacing w:after="0"/>
              <w:rPr>
                <w:rFonts w:ascii="Arial" w:cs="Arial" w:eastAsia="Arial" w:hAnsi="Arial"/>
                <w:sz w:val="17"/>
                <w:szCs w:val="17"/>
                <w:color w:val="0000FF"/>
                <w:w w:val="94"/>
              </w:rPr>
            </w:pPr>
            <w:hyperlink w:anchor="page101">
              <w:r>
                <w:rPr>
                  <w:rFonts w:ascii="Arial" w:cs="Arial" w:eastAsia="Arial" w:hAnsi="Arial"/>
                  <w:sz w:val="17"/>
                  <w:szCs w:val="17"/>
                  <w:color w:val="0000FF"/>
                  <w:w w:val="94"/>
                </w:rPr>
                <w:t>97</w:t>
              </w:r>
            </w:hyperlink>
          </w:p>
        </w:tc>
        <w:tc>
          <w:tcPr>
            <w:tcW w:w="20" w:type="dxa"/>
            <w:vAlign w:val="bottom"/>
          </w:tcPr>
          <w:p>
            <w:pPr>
              <w:spacing w:after="0"/>
              <w:rPr>
                <w:sz w:val="17"/>
                <w:szCs w:val="17"/>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20"/>
          </w:cols>
          <w:pgMar w:left="240" w:top="736" w:right="2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46" w:lineRule="exact"/>
        <w:rPr>
          <w:sz w:val="20"/>
          <w:szCs w:val="20"/>
          <w:color w:val="auto"/>
        </w:rPr>
      </w:pPr>
    </w:p>
    <w:p>
      <w:pPr>
        <w:ind w:firstLine="648"/>
        <w:spacing w:after="0" w:line="29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62"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ABM Industries Incorporated</w:t>
      </w:r>
    </w:p>
    <w:p>
      <w:pPr>
        <w:spacing w:after="0" w:line="173" w:lineRule="exact"/>
        <w:rPr>
          <w:sz w:val="20"/>
          <w:szCs w:val="20"/>
          <w:color w:val="auto"/>
        </w:rPr>
      </w:pPr>
    </w:p>
    <w:p>
      <w:pPr>
        <w:ind w:left="1900"/>
        <w:spacing w:after="0"/>
        <w:tabs>
          <w:tab w:leader="none" w:pos="5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Salmirs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37465</wp:posOffset>
            </wp:positionV>
            <wp:extent cx="45624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Scott Salmirs</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President and Chief Executive Officer and Director</w:t>
      </w:r>
    </w:p>
    <w:p>
      <w:pPr>
        <w:spacing w:after="0" w:line="2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December 21, 2016</w:t>
      </w:r>
    </w:p>
    <w:p>
      <w:pPr>
        <w:spacing w:after="0" w:line="171" w:lineRule="exact"/>
        <w:rPr>
          <w:sz w:val="20"/>
          <w:szCs w:val="20"/>
          <w:color w:val="auto"/>
        </w:rPr>
      </w:pPr>
    </w:p>
    <w:p>
      <w:pPr>
        <w:ind w:right="20" w:firstLine="648"/>
        <w:spacing w:after="0" w:line="29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ABM Industries and in the capacities and on the dates indicated.</w:t>
      </w:r>
    </w:p>
    <w:p>
      <w:pPr>
        <w:spacing w:after="0" w:line="91" w:lineRule="exact"/>
        <w:rPr>
          <w:sz w:val="20"/>
          <w:szCs w:val="20"/>
          <w:color w:val="auto"/>
        </w:rPr>
      </w:pPr>
    </w:p>
    <w:p>
      <w:pPr>
        <w:ind w:left="1900"/>
        <w:spacing w:after="0"/>
        <w:tabs>
          <w:tab w:leader="none" w:pos="5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Salmirs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37465</wp:posOffset>
            </wp:positionV>
            <wp:extent cx="45624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Scott Salmirs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President and Chief Executive Officer and Director</w:t>
      </w:r>
    </w:p>
    <w:p>
      <w:pPr>
        <w:jc w:val="center"/>
        <w:ind w:right="-139"/>
        <w:spacing w:after="0"/>
        <w:rPr>
          <w:sz w:val="20"/>
          <w:szCs w:val="20"/>
          <w:color w:val="auto"/>
        </w:rPr>
      </w:pPr>
      <w:r>
        <w:rPr>
          <w:rFonts w:ascii="Arial" w:cs="Arial" w:eastAsia="Arial" w:hAnsi="Arial"/>
          <w:sz w:val="18"/>
          <w:szCs w:val="18"/>
          <w:color w:val="auto"/>
        </w:rPr>
        <w:t>(Principal Executive Officer)</w:t>
      </w:r>
    </w:p>
    <w:p>
      <w:pPr>
        <w:spacing w:after="0" w:line="2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December 21, 2016</w:t>
      </w:r>
    </w:p>
    <w:p>
      <w:pPr>
        <w:sectPr>
          <w:pgSz w:w="11900" w:h="16838" w:orient="portrait"/>
          <w:cols w:equalWidth="0" w:num="1">
            <w:col w:w="11420"/>
          </w:cols>
          <w:pgMar w:left="240" w:top="35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 D. Anthony Scaglione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1216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4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D. Anthony Scaglione</w:t>
      </w:r>
    </w:p>
    <w:p>
      <w:pPr>
        <w:spacing w:after="0" w:line="1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Executive Vice President and Chief</w:t>
      </w:r>
    </w:p>
    <w:p>
      <w:pPr>
        <w:jc w:val="center"/>
        <w:ind w:right="1200"/>
        <w:spacing w:after="0"/>
        <w:rPr>
          <w:sz w:val="20"/>
          <w:szCs w:val="20"/>
          <w:color w:val="auto"/>
        </w:rPr>
      </w:pPr>
      <w:r>
        <w:rPr>
          <w:rFonts w:ascii="Arial" w:cs="Arial" w:eastAsia="Arial" w:hAnsi="Arial"/>
          <w:sz w:val="18"/>
          <w:szCs w:val="18"/>
          <w:color w:val="auto"/>
        </w:rPr>
        <w:t>Financial Officer</w:t>
      </w:r>
    </w:p>
    <w:p>
      <w:pPr>
        <w:spacing w:after="0" w:line="24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(Principal Financial Officer)</w:t>
      </w:r>
    </w:p>
    <w:p>
      <w:pPr>
        <w:spacing w:after="0" w:line="5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December 21, 2016</w:t>
      </w:r>
    </w:p>
    <w:p>
      <w:pPr>
        <w:spacing w:after="0" w:line="38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 Maryellen C. Herringer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1216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4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Maryellen C. Herringer</w:t>
      </w:r>
    </w:p>
    <w:p>
      <w:pPr>
        <w:spacing w:after="0" w:line="63"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Chairman of the Board and Director</w:t>
      </w:r>
    </w:p>
    <w:p>
      <w:pPr>
        <w:spacing w:after="0" w:line="61"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December 21, 2016</w:t>
      </w:r>
    </w:p>
    <w:p>
      <w:pPr>
        <w:spacing w:after="0" w:line="38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 J. Philip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1216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4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J. Philip Ferguson, Director</w:t>
      </w:r>
    </w:p>
    <w:p>
      <w:pPr>
        <w:spacing w:after="0" w:line="50"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December 21, 2016</w:t>
      </w:r>
    </w:p>
    <w:p>
      <w:pPr>
        <w:spacing w:after="0" w:line="38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 Thomas M. Gartland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1216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4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Thomas M. Gartland, Director</w:t>
      </w:r>
    </w:p>
    <w:p>
      <w:pPr>
        <w:spacing w:after="0" w:line="5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December 21, 2016</w:t>
      </w:r>
    </w:p>
    <w:p>
      <w:pPr>
        <w:spacing w:after="0" w:line="387"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/s/ Sudhakar Kesavan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31216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5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Sudhakar Kesavan, Director</w:t>
      </w:r>
    </w:p>
    <w:p>
      <w:pPr>
        <w:spacing w:after="0" w:line="50"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December 21, 2016</w:t>
      </w:r>
    </w:p>
    <w:p>
      <w:pPr>
        <w:spacing w:after="0" w:line="33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 Winifred M.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31216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5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Winifred M. Webb, Director</w:t>
      </w:r>
    </w:p>
    <w:p>
      <w:pPr>
        <w:spacing w:after="0" w:line="50"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December 21,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 Dean A. 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28575</wp:posOffset>
            </wp:positionV>
            <wp:extent cx="31813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Dean A. Chin</w:t>
      </w:r>
    </w:p>
    <w:p>
      <w:pPr>
        <w:spacing w:after="0" w:line="18"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Senior Vice President, Chief Accounting Officer, and</w:t>
      </w:r>
    </w:p>
    <w:p>
      <w:pPr>
        <w:spacing w:after="0" w:line="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Corporate Controller</w:t>
      </w:r>
    </w:p>
    <w:p>
      <w:pPr>
        <w:spacing w:after="0" w:line="24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(Principal Accounting Officer)</w:t>
      </w:r>
    </w:p>
    <w:p>
      <w:pPr>
        <w:spacing w:after="0" w:line="5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December 21, 2016</w:t>
      </w:r>
    </w:p>
    <w:p>
      <w:pPr>
        <w:spacing w:after="0" w:line="38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/s/ Linda Chavez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28575</wp:posOffset>
            </wp:positionV>
            <wp:extent cx="31813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Linda Chavez, Director</w:t>
      </w:r>
    </w:p>
    <w:p>
      <w:pPr>
        <w:spacing w:after="0" w:line="5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December 21, 2016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 Anthony G. Fernandes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28575</wp:posOffset>
            </wp:positionV>
            <wp:extent cx="31813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Anthony G. Fernandes, Director</w:t>
      </w:r>
    </w:p>
    <w:p>
      <w:pPr>
        <w:spacing w:after="0" w:line="5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December 21, 2016</w:t>
      </w:r>
    </w:p>
    <w:p>
      <w:pPr>
        <w:spacing w:after="0" w:line="38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 Luke S. Helms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28575</wp:posOffset>
            </wp:positionV>
            <wp:extent cx="31813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Luke S. Helms, Director</w:t>
      </w:r>
    </w:p>
    <w:p>
      <w:pPr>
        <w:spacing w:after="0" w:line="5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December 21, 2016</w:t>
      </w:r>
    </w:p>
    <w:p>
      <w:pPr>
        <w:spacing w:after="0" w:line="38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 Lauralee E.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37465</wp:posOffset>
            </wp:positionV>
            <wp:extent cx="31813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Lauralee E. Martin, Director</w:t>
      </w:r>
    </w:p>
    <w:p>
      <w:pPr>
        <w:spacing w:after="0" w:line="5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December 21, 2016</w:t>
      </w:r>
    </w:p>
    <w:p>
      <w:pPr>
        <w:spacing w:after="0" w:line="1280" w:lineRule="exact"/>
        <w:rPr>
          <w:sz w:val="20"/>
          <w:szCs w:val="20"/>
          <w:color w:val="auto"/>
        </w:rPr>
      </w:pPr>
    </w:p>
    <w:p>
      <w:pPr>
        <w:sectPr>
          <w:pgSz w:w="11900" w:h="16838" w:orient="portrait"/>
          <w:cols w:equalWidth="0" w:num="2">
            <w:col w:w="6120" w:space="720"/>
            <w:col w:w="4580"/>
          </w:cols>
          <w:pgMar w:left="240" w:top="358" w:right="239" w:bottom="1440" w:gutter="0" w:footer="0" w:header="0"/>
          <w:type w:val="continuous"/>
        </w:sectPr>
      </w:pP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358" w:right="239" w:bottom="1440" w:gutter="0" w:footer="0" w:header="0"/>
          <w:type w:val="continuous"/>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Charges to</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Balance</w:t>
            </w:r>
          </w:p>
        </w:tc>
        <w:tc>
          <w:tcPr>
            <w:tcW w:w="15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Costs and</w:t>
            </w:r>
          </w:p>
        </w:tc>
        <w:tc>
          <w:tcPr>
            <w:tcW w:w="1580" w:type="dxa"/>
            <w:vAlign w:val="bottom"/>
            <w:gridSpan w:val="2"/>
          </w:tcPr>
          <w:p>
            <w:pPr>
              <w:jc w:val="center"/>
              <w:ind w:right="100"/>
              <w:spacing w:after="0" w:line="189" w:lineRule="exact"/>
              <w:rPr>
                <w:sz w:val="20"/>
                <w:szCs w:val="20"/>
                <w:color w:val="auto"/>
              </w:rPr>
            </w:pPr>
            <w:r>
              <w:rPr>
                <w:rFonts w:ascii="Arial" w:cs="Arial" w:eastAsia="Arial" w:hAnsi="Arial"/>
                <w:sz w:val="16"/>
                <w:szCs w:val="16"/>
                <w:b w:val="1"/>
                <w:bCs w:val="1"/>
                <w:color w:val="auto"/>
                <w:w w:val="95"/>
              </w:rPr>
              <w:t>Write-offs</w:t>
            </w:r>
            <w:r>
              <w:rPr>
                <w:rFonts w:ascii="Arial" w:cs="Arial" w:eastAsia="Arial" w:hAnsi="Arial"/>
                <w:sz w:val="21"/>
                <w:szCs w:val="21"/>
                <w:b w:val="1"/>
                <w:bCs w:val="1"/>
                <w:color w:val="auto"/>
                <w:w w:val="95"/>
                <w:vertAlign w:val="superscript"/>
              </w:rPr>
              <w:t>(1)</w:t>
            </w:r>
            <w:r>
              <w:rPr>
                <w:rFonts w:ascii="Arial" w:cs="Arial" w:eastAsia="Arial" w:hAnsi="Arial"/>
                <w:sz w:val="16"/>
                <w:szCs w:val="16"/>
                <w:b w:val="1"/>
                <w:bCs w:val="1"/>
                <w:color w:val="auto"/>
                <w:w w:val="95"/>
              </w:rPr>
              <w:t>/</w:t>
            </w:r>
          </w:p>
        </w:tc>
        <w:tc>
          <w:tcPr>
            <w:tcW w:w="220" w:type="dxa"/>
            <w:vAlign w:val="bottom"/>
          </w:tcPr>
          <w:p>
            <w:pPr>
              <w:spacing w:after="0"/>
              <w:rPr>
                <w:sz w:val="16"/>
                <w:szCs w:val="16"/>
                <w:color w:val="auto"/>
              </w:rPr>
            </w:pPr>
          </w:p>
        </w:tc>
        <w:tc>
          <w:tcPr>
            <w:tcW w:w="1260" w:type="dxa"/>
            <w:vAlign w:val="bottom"/>
          </w:tcPr>
          <w:p>
            <w:pPr>
              <w:jc w:val="right"/>
              <w:ind w:right="339"/>
              <w:spacing w:after="0"/>
              <w:rPr>
                <w:sz w:val="20"/>
                <w:szCs w:val="20"/>
                <w:color w:val="auto"/>
              </w:rPr>
            </w:pPr>
            <w:r>
              <w:rPr>
                <w:rFonts w:ascii="Arial" w:cs="Arial" w:eastAsia="Arial" w:hAnsi="Arial"/>
                <w:sz w:val="16"/>
                <w:szCs w:val="16"/>
                <w:b w:val="1"/>
                <w:bCs w:val="1"/>
                <w:color w:val="auto"/>
              </w:rPr>
              <w:t>Balance</w:t>
            </w:r>
          </w:p>
        </w:tc>
        <w:tc>
          <w:tcPr>
            <w:tcW w:w="0" w:type="dxa"/>
            <w:vAlign w:val="bottom"/>
          </w:tcPr>
          <w:p>
            <w:pPr>
              <w:spacing w:after="0"/>
              <w:rPr>
                <w:sz w:val="1"/>
                <w:szCs w:val="1"/>
                <w:color w:val="auto"/>
              </w:rPr>
            </w:pPr>
          </w:p>
        </w:tc>
      </w:tr>
      <w:tr>
        <w:trPr>
          <w:trHeight w:val="169"/>
        </w:trPr>
        <w:tc>
          <w:tcPr>
            <w:tcW w:w="5160" w:type="dxa"/>
            <w:vAlign w:val="bottom"/>
            <w:gridSpan w:val="3"/>
            <w:vMerge w:val="continue"/>
          </w:tcPr>
          <w:p>
            <w:pPr>
              <w:spacing w:after="0"/>
              <w:rPr>
                <w:sz w:val="14"/>
                <w:szCs w:val="14"/>
                <w:color w:val="auto"/>
              </w:rPr>
            </w:pPr>
          </w:p>
        </w:tc>
        <w:tc>
          <w:tcPr>
            <w:tcW w:w="1620" w:type="dxa"/>
            <w:vAlign w:val="bottom"/>
            <w:gridSpan w:val="3"/>
          </w:tcPr>
          <w:p>
            <w:pPr>
              <w:jc w:val="center"/>
              <w:ind w:right="120"/>
              <w:spacing w:after="0" w:line="148" w:lineRule="exact"/>
              <w:rPr>
                <w:sz w:val="20"/>
                <w:szCs w:val="20"/>
                <w:color w:val="auto"/>
              </w:rPr>
            </w:pPr>
            <w:r>
              <w:rPr>
                <w:rFonts w:ascii="Arial" w:cs="Arial" w:eastAsia="Arial" w:hAnsi="Arial"/>
                <w:sz w:val="16"/>
                <w:szCs w:val="16"/>
                <w:b w:val="1"/>
                <w:bCs w:val="1"/>
                <w:color w:val="auto"/>
              </w:rPr>
              <w:t>Beginning of Year</w:t>
            </w:r>
          </w:p>
        </w:tc>
        <w:tc>
          <w:tcPr>
            <w:tcW w:w="1580" w:type="dxa"/>
            <w:vAlign w:val="bottom"/>
            <w:gridSpan w:val="2"/>
          </w:tcPr>
          <w:p>
            <w:pPr>
              <w:jc w:val="center"/>
              <w:ind w:right="100"/>
              <w:spacing w:after="0" w:line="148" w:lineRule="exact"/>
              <w:rPr>
                <w:sz w:val="20"/>
                <w:szCs w:val="20"/>
                <w:color w:val="auto"/>
              </w:rPr>
            </w:pPr>
            <w:r>
              <w:rPr>
                <w:rFonts w:ascii="Arial" w:cs="Arial" w:eastAsia="Arial" w:hAnsi="Arial"/>
                <w:sz w:val="16"/>
                <w:szCs w:val="16"/>
                <w:b w:val="1"/>
                <w:bCs w:val="1"/>
                <w:color w:val="auto"/>
              </w:rPr>
              <w:t>Expenses</w:t>
            </w:r>
          </w:p>
        </w:tc>
        <w:tc>
          <w:tcPr>
            <w:tcW w:w="1580" w:type="dxa"/>
            <w:vAlign w:val="bottom"/>
            <w:gridSpan w:val="2"/>
          </w:tcPr>
          <w:p>
            <w:pPr>
              <w:jc w:val="center"/>
              <w:ind w:right="80"/>
              <w:spacing w:after="0" w:line="148" w:lineRule="exact"/>
              <w:rPr>
                <w:sz w:val="20"/>
                <w:szCs w:val="20"/>
                <w:color w:val="auto"/>
              </w:rPr>
            </w:pPr>
            <w:r>
              <w:rPr>
                <w:rFonts w:ascii="Arial" w:cs="Arial" w:eastAsia="Arial" w:hAnsi="Arial"/>
                <w:sz w:val="16"/>
                <w:szCs w:val="16"/>
                <w:b w:val="1"/>
                <w:bCs w:val="1"/>
                <w:color w:val="auto"/>
              </w:rPr>
              <w:t>Allowance Taken</w:t>
            </w:r>
          </w:p>
        </w:tc>
        <w:tc>
          <w:tcPr>
            <w:tcW w:w="220" w:type="dxa"/>
            <w:vAlign w:val="bottom"/>
          </w:tcPr>
          <w:p>
            <w:pPr>
              <w:spacing w:after="0"/>
              <w:rPr>
                <w:sz w:val="14"/>
                <w:szCs w:val="14"/>
                <w:color w:val="auto"/>
              </w:rPr>
            </w:pPr>
          </w:p>
        </w:tc>
        <w:tc>
          <w:tcPr>
            <w:tcW w:w="1260" w:type="dxa"/>
            <w:vAlign w:val="bottom"/>
          </w:tcPr>
          <w:p>
            <w:pPr>
              <w:jc w:val="right"/>
              <w:ind w:right="219"/>
              <w:spacing w:after="0" w:line="148" w:lineRule="exact"/>
              <w:rPr>
                <w:sz w:val="20"/>
                <w:szCs w:val="20"/>
                <w:color w:val="auto"/>
              </w:rPr>
            </w:pPr>
            <w:r>
              <w:rPr>
                <w:rFonts w:ascii="Arial" w:cs="Arial" w:eastAsia="Arial" w:hAnsi="Arial"/>
                <w:sz w:val="16"/>
                <w:szCs w:val="16"/>
                <w:b w:val="1"/>
                <w:bCs w:val="1"/>
                <w:color w:val="auto"/>
              </w:rPr>
              <w:t>End of Year</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800" w:type="dxa"/>
            <w:vAlign w:val="bottom"/>
            <w:tcBorders>
              <w:top w:val="single" w:sz="8" w:color="auto"/>
              <w:bottom w:val="single" w:sz="8" w:color="CCEEFF"/>
            </w:tcBorders>
          </w:tcPr>
          <w:p>
            <w:pPr>
              <w:spacing w:after="0"/>
              <w:rPr>
                <w:sz w:val="4"/>
                <w:szCs w:val="4"/>
                <w:color w:val="auto"/>
              </w:rPr>
            </w:pPr>
          </w:p>
        </w:tc>
        <w:tc>
          <w:tcPr>
            <w:tcW w:w="43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8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2016</w:t>
            </w:r>
          </w:p>
        </w:tc>
        <w:tc>
          <w:tcPr>
            <w:tcW w:w="43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120" w:type="dxa"/>
            <w:vAlign w:val="bottom"/>
            <w:gridSpan w:val="2"/>
          </w:tcPr>
          <w:p>
            <w:pPr>
              <w:ind w:left="140"/>
              <w:spacing w:after="0"/>
              <w:rPr>
                <w:sz w:val="20"/>
                <w:szCs w:val="20"/>
                <w:color w:val="auto"/>
              </w:rPr>
            </w:pPr>
            <w:r>
              <w:rPr>
                <w:rFonts w:ascii="Arial" w:cs="Arial" w:eastAsia="Arial" w:hAnsi="Arial"/>
                <w:sz w:val="16"/>
                <w:szCs w:val="16"/>
                <w:color w:val="auto"/>
              </w:rPr>
              <w:t>Accounts receivable and sales allowances</w:t>
            </w:r>
            <w:r>
              <w:rPr>
                <w:rFonts w:ascii="Arial" w:cs="Arial" w:eastAsia="Arial" w:hAnsi="Arial"/>
                <w:sz w:val="21"/>
                <w:szCs w:val="21"/>
                <w:color w:val="auto"/>
                <w:vertAlign w:val="superscript"/>
              </w:rPr>
              <w:t>(2)</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51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Deferred tax asset valuation allowances</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66"/>
        </w:trPr>
        <w:tc>
          <w:tcPr>
            <w:tcW w:w="840" w:type="dxa"/>
            <w:vAlign w:val="bottom"/>
            <w:gridSpan w:val="2"/>
          </w:tcPr>
          <w:p>
            <w:pPr>
              <w:ind w:left="40"/>
              <w:spacing w:after="0"/>
              <w:rPr>
                <w:sz w:val="20"/>
                <w:szCs w:val="20"/>
                <w:color w:val="auto"/>
              </w:rPr>
            </w:pPr>
            <w:r>
              <w:rPr>
                <w:rFonts w:ascii="Arial" w:cs="Arial" w:eastAsia="Arial" w:hAnsi="Arial"/>
                <w:sz w:val="16"/>
                <w:szCs w:val="16"/>
                <w:b w:val="1"/>
                <w:bCs w:val="1"/>
                <w:color w:val="auto"/>
              </w:rPr>
              <w:t>2015</w:t>
            </w:r>
          </w:p>
        </w:tc>
        <w:tc>
          <w:tcPr>
            <w:tcW w:w="4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51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Accounts receivable and sales allowances</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5120" w:type="dxa"/>
            <w:vAlign w:val="bottom"/>
            <w:gridSpan w:val="2"/>
          </w:tcPr>
          <w:p>
            <w:pPr>
              <w:ind w:left="140"/>
              <w:spacing w:after="0"/>
              <w:rPr>
                <w:sz w:val="20"/>
                <w:szCs w:val="20"/>
                <w:color w:val="auto"/>
              </w:rPr>
            </w:pPr>
            <w:r>
              <w:rPr>
                <w:rFonts w:ascii="Arial" w:cs="Arial" w:eastAsia="Arial" w:hAnsi="Arial"/>
                <w:sz w:val="16"/>
                <w:szCs w:val="16"/>
                <w:color w:val="auto"/>
              </w:rPr>
              <w:t>Deferred tax asset valuation allowances</w:t>
            </w:r>
          </w:p>
        </w:tc>
        <w:tc>
          <w:tcPr>
            <w:tcW w:w="2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78"/>
        </w:trPr>
        <w:tc>
          <w:tcPr>
            <w:tcW w:w="8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2014</w:t>
            </w:r>
          </w:p>
        </w:tc>
        <w:tc>
          <w:tcPr>
            <w:tcW w:w="4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5120" w:type="dxa"/>
            <w:vAlign w:val="bottom"/>
            <w:gridSpan w:val="2"/>
          </w:tcPr>
          <w:p>
            <w:pPr>
              <w:ind w:left="140"/>
              <w:spacing w:after="0"/>
              <w:rPr>
                <w:sz w:val="20"/>
                <w:szCs w:val="20"/>
                <w:color w:val="auto"/>
              </w:rPr>
            </w:pPr>
            <w:r>
              <w:rPr>
                <w:rFonts w:ascii="Arial" w:cs="Arial" w:eastAsia="Arial" w:hAnsi="Arial"/>
                <w:sz w:val="16"/>
                <w:szCs w:val="16"/>
                <w:color w:val="auto"/>
              </w:rPr>
              <w:t>Accounts receivable and sales allowances</w:t>
            </w:r>
          </w:p>
        </w:tc>
        <w:tc>
          <w:tcPr>
            <w:tcW w:w="2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78"/>
        </w:trPr>
        <w:tc>
          <w:tcPr>
            <w:tcW w:w="40" w:type="dxa"/>
            <w:vAlign w:val="bottom"/>
            <w:shd w:val="clear" w:color="auto" w:fill="CCEEFF"/>
          </w:tcPr>
          <w:p>
            <w:pPr>
              <w:spacing w:after="0"/>
              <w:rPr>
                <w:sz w:val="24"/>
                <w:szCs w:val="24"/>
                <w:color w:val="auto"/>
              </w:rPr>
            </w:pPr>
          </w:p>
        </w:tc>
        <w:tc>
          <w:tcPr>
            <w:tcW w:w="51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Deferred tax asset valuation allowances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21"/>
          <w:szCs w:val="21"/>
          <w:color w:val="auto"/>
          <w:vertAlign w:val="superscript"/>
        </w:rPr>
      </w:pPr>
      <w:r>
        <w:rPr>
          <w:rFonts w:ascii="Arial" w:cs="Arial" w:eastAsia="Arial" w:hAnsi="Arial"/>
          <w:sz w:val="15"/>
          <w:szCs w:val="15"/>
          <w:color w:val="auto"/>
        </w:rPr>
        <w:t>Write-offs are net of recoveries.</w:t>
      </w:r>
    </w:p>
    <w:p>
      <w:pPr>
        <w:spacing w:after="0" w:line="109"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48"/>
        </w:numPr>
        <w:rPr>
          <w:rFonts w:ascii="Arial" w:cs="Arial" w:eastAsia="Arial" w:hAnsi="Arial"/>
          <w:sz w:val="21"/>
          <w:szCs w:val="21"/>
          <w:color w:val="auto"/>
          <w:vertAlign w:val="superscript"/>
        </w:rPr>
      </w:pPr>
      <w:r>
        <w:rPr>
          <w:rFonts w:ascii="Arial" w:cs="Arial" w:eastAsia="Arial" w:hAnsi="Arial"/>
          <w:sz w:val="15"/>
          <w:szCs w:val="15"/>
          <w:color w:val="auto"/>
        </w:rPr>
        <w:t>Includes amounts that are classified as held for sale.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20"/>
          </w:cols>
          <w:pgMar w:left="240" w:top="817"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53"/>
        </w:trPr>
        <w:tc>
          <w:tcPr>
            <w:tcW w:w="6080" w:type="dxa"/>
            <w:vAlign w:val="bottom"/>
            <w:gridSpan w:val="4"/>
          </w:tcPr>
          <w:p>
            <w:pPr>
              <w:spacing w:after="0"/>
              <w:rPr>
                <w:sz w:val="20"/>
                <w:szCs w:val="20"/>
                <w:color w:val="auto"/>
              </w:rPr>
            </w:pPr>
            <w:r>
              <w:rPr>
                <w:rFonts w:ascii="Arial" w:cs="Arial" w:eastAsia="Arial" w:hAnsi="Arial"/>
                <w:sz w:val="18"/>
                <w:szCs w:val="18"/>
                <w:b w:val="1"/>
                <w:bCs w:val="1"/>
                <w:color w:val="auto"/>
              </w:rPr>
              <w:t>EXHIBIT INDEX</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549"/>
        </w:trPr>
        <w:tc>
          <w:tcPr>
            <w:tcW w:w="1160" w:type="dxa"/>
            <w:vAlign w:val="bottom"/>
          </w:tcPr>
          <w:p>
            <w:pPr>
              <w:ind w:left="28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4800" w:type="dxa"/>
            <w:vAlign w:val="bottom"/>
            <w:gridSpan w:val="2"/>
          </w:tcPr>
          <w:p>
            <w:pPr>
              <w:ind w:left="1520"/>
              <w:spacing w:after="0"/>
              <w:rPr>
                <w:sz w:val="20"/>
                <w:szCs w:val="20"/>
                <w:color w:val="auto"/>
              </w:rPr>
            </w:pPr>
            <w:r>
              <w:rPr>
                <w:rFonts w:ascii="Arial" w:cs="Arial" w:eastAsia="Arial" w:hAnsi="Arial"/>
                <w:sz w:val="18"/>
                <w:szCs w:val="18"/>
                <w:b w:val="1"/>
                <w:bCs w:val="1"/>
                <w:color w:val="auto"/>
              </w:rPr>
              <w:t>Exhibit Description</w:t>
            </w: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gridSpan w:val="5"/>
          </w:tcPr>
          <w:p>
            <w:pPr>
              <w:ind w:left="720"/>
              <w:spacing w:after="0"/>
              <w:rPr>
                <w:sz w:val="20"/>
                <w:szCs w:val="20"/>
                <w:color w:val="auto"/>
              </w:rPr>
            </w:pPr>
            <w:r>
              <w:rPr>
                <w:rFonts w:ascii="Arial" w:cs="Arial" w:eastAsia="Arial" w:hAnsi="Arial"/>
                <w:sz w:val="18"/>
                <w:szCs w:val="18"/>
                <w:b w:val="1"/>
                <w:bCs w:val="1"/>
                <w:color w:val="auto"/>
              </w:rPr>
              <w:t>Incorporated by Reference</w:t>
            </w:r>
          </w:p>
        </w:tc>
      </w:tr>
      <w:tr>
        <w:trPr>
          <w:trHeight w:val="264"/>
        </w:trPr>
        <w:tc>
          <w:tcPr>
            <w:tcW w:w="116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No.</w:t>
            </w:r>
          </w:p>
        </w:tc>
        <w:tc>
          <w:tcPr>
            <w:tcW w:w="120" w:type="dxa"/>
            <w:vAlign w:val="bottom"/>
          </w:tcPr>
          <w:p>
            <w:pPr>
              <w:spacing w:after="0"/>
              <w:rPr>
                <w:sz w:val="22"/>
                <w:szCs w:val="22"/>
                <w:color w:val="auto"/>
              </w:rPr>
            </w:pPr>
          </w:p>
        </w:tc>
        <w:tc>
          <w:tcPr>
            <w:tcW w:w="4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Form</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File No.</w:t>
            </w:r>
          </w:p>
        </w:tc>
        <w:tc>
          <w:tcPr>
            <w:tcW w:w="100" w:type="dxa"/>
            <w:vAlign w:val="bottom"/>
          </w:tcPr>
          <w:p>
            <w:pPr>
              <w:spacing w:after="0"/>
              <w:rPr>
                <w:sz w:val="22"/>
                <w:szCs w:val="22"/>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2"/>
                <w:szCs w:val="22"/>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Filing Date</w:t>
            </w:r>
          </w:p>
        </w:tc>
      </w:tr>
      <w:tr>
        <w:trPr>
          <w:trHeight w:val="207"/>
        </w:trPr>
        <w:tc>
          <w:tcPr>
            <w:tcW w:w="1160" w:type="dxa"/>
            <w:vAlign w:val="bottom"/>
          </w:tcPr>
          <w:p>
            <w:pPr>
              <w:ind w:left="4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7"/>
                <w:szCs w:val="17"/>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Agreement and Plan of Merger, dated December 1, 2010,</w:t>
            </w: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0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December 2, 2010</w:t>
            </w: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by and among ABM Industries Incorporated, Lighting</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43"/>
        </w:trPr>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Services, LLC, The Linc Group, LLC and GI Manager L.P.</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16"/>
        </w:trPr>
        <w:tc>
          <w:tcPr>
            <w:tcW w:w="1160" w:type="dxa"/>
            <w:vAlign w:val="bottom"/>
          </w:tcPr>
          <w:p>
            <w:pPr>
              <w:ind w:left="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Restated Certificate of Incorporation of ABM Industries</w:t>
            </w:r>
          </w:p>
        </w:tc>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rPr>
              <w:t>January 14, 2004</w:t>
            </w:r>
          </w:p>
        </w:tc>
      </w:tr>
      <w:tr>
        <w:trPr>
          <w:trHeight w:val="243"/>
        </w:trPr>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Incorporated, dated November 25, 2003</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57"/>
        </w:trPr>
        <w:tc>
          <w:tcPr>
            <w:tcW w:w="116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Bylaws, as amended September 7, 2016</w:t>
            </w: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rPr>
              <w:t>September 12, 2016</w:t>
            </w:r>
          </w:p>
        </w:tc>
      </w:tr>
      <w:tr>
        <w:trPr>
          <w:trHeight w:val="419"/>
        </w:trPr>
        <w:tc>
          <w:tcPr>
            <w:tcW w:w="116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Credit Agreement, dated as of November 30, 2010,</w:t>
            </w: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December 2, 2010</w:t>
            </w: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among ABM Industries Incorporated, various financial</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institutions and Bank of America, N.A., as Administrative</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43"/>
        </w:trPr>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Agent</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16"/>
        </w:trPr>
        <w:tc>
          <w:tcPr>
            <w:tcW w:w="1160" w:type="dxa"/>
            <w:vAlign w:val="bottom"/>
          </w:tcPr>
          <w:p>
            <w:pPr>
              <w:ind w:left="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First Amendment, dated as of June 3, 2011, to the Credit</w:t>
            </w:r>
          </w:p>
        </w:tc>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September 9, 2011</w:t>
            </w: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Agreement dated as of November 30, 2010, among ABM</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Industries Incorporated, various financial institutions and</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43"/>
        </w:trPr>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Bank of America, N.A., as Administrative Agent</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16"/>
        </w:trPr>
        <w:tc>
          <w:tcPr>
            <w:tcW w:w="1160" w:type="dxa"/>
            <w:vAlign w:val="bottom"/>
          </w:tcPr>
          <w:p>
            <w:pPr>
              <w:ind w:left="4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Repricing Amendment, dated September 8, 2011, to the</w:t>
            </w: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8"/>
              </w:rPr>
              <w:t>September 13, 2011</w:t>
            </w: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Credit Agreement dated as of November 30, 2010, among</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ABM Industries Incorporated, various financial institutions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43"/>
        </w:trPr>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and Bank of America, N.A., as Administrative Agent</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16"/>
        </w:trPr>
        <w:tc>
          <w:tcPr>
            <w:tcW w:w="1160" w:type="dxa"/>
            <w:vAlign w:val="bottom"/>
          </w:tcPr>
          <w:p>
            <w:pPr>
              <w:ind w:left="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Third Amendment, dated as of December 11, 2013, to the</w:t>
            </w: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rPr>
              <w:t>December 12, 2013</w:t>
            </w: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Credit Agreement dated as of November 30, 2010, among</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ABM Industries Incorporated, various financial institutions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43"/>
        </w:trPr>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and Bank of America, N.A., as Administrative Agent</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16"/>
        </w:trPr>
        <w:tc>
          <w:tcPr>
            <w:tcW w:w="1160" w:type="dxa"/>
            <w:vAlign w:val="bottom"/>
          </w:tcPr>
          <w:p>
            <w:pPr>
              <w:ind w:left="4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Fourth Amendment, dated as of December 5, 2014, to the</w:t>
            </w:r>
          </w:p>
        </w:tc>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001-08928</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rPr>
              <w:t>December 17, 2014</w:t>
            </w: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Credit Agreement dated as of November 30, 2010, among</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ABM Industries Incorporated, various financial institutions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43"/>
        </w:trPr>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and Bank of America, N.A., as Administrative Agent</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16"/>
        </w:trPr>
        <w:tc>
          <w:tcPr>
            <w:tcW w:w="1160" w:type="dxa"/>
            <w:vAlign w:val="bottom"/>
          </w:tcPr>
          <w:p>
            <w:pPr>
              <w:ind w:left="4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Fifth Amendment, dated as of February 17, 2015, to the</w:t>
            </w:r>
          </w:p>
        </w:tc>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rPr>
              <w:t>March 4, 2015</w:t>
            </w: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Credit Agreement dated as of November 30, 2010, among</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ABM Industries Incorporated, various financial institutions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43"/>
        </w:trPr>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and Bank of America, N.A., as Administrative Agent</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419"/>
        </w:trPr>
        <w:tc>
          <w:tcPr>
            <w:tcW w:w="1160" w:type="dxa"/>
            <w:vAlign w:val="bottom"/>
          </w:tcPr>
          <w:p>
            <w:pPr>
              <w:ind w:left="4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Sixth Amendment, dated as of September 2, 2015, to the</w:t>
            </w: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September 3, 2015</w:t>
            </w: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Credit Agreement dated as of November 30, 2010, among</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ABM Industries Incorporated, various financial institutions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43"/>
        </w:trPr>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and Bank of America, N.A., as Administrative Agent</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459"/>
        </w:trPr>
        <w:tc>
          <w:tcPr>
            <w:tcW w:w="1160" w:type="dxa"/>
            <w:vAlign w:val="bottom"/>
          </w:tcPr>
          <w:p>
            <w:pPr>
              <w:ind w:left="4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ABM Executive Retiree Healthcare and Dental Plan</w:t>
            </w:r>
          </w:p>
        </w:tc>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7"/>
              </w:rPr>
              <w:t>10.17</w:t>
            </w: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rPr>
              <w:t>January 14, 2005</w:t>
            </w:r>
          </w:p>
        </w:tc>
      </w:tr>
      <w:tr>
        <w:trPr>
          <w:trHeight w:val="230"/>
        </w:trPr>
        <w:tc>
          <w:tcPr>
            <w:tcW w:w="1160" w:type="dxa"/>
            <w:vAlign w:val="bottom"/>
          </w:tcPr>
          <w:p>
            <w:pPr>
              <w:ind w:left="4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Director Retirement Plan Distribution Election Form, as</w:t>
            </w:r>
          </w:p>
        </w:tc>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September 8, 2006</w:t>
            </w:r>
          </w:p>
        </w:tc>
      </w:tr>
      <w:tr>
        <w:trPr>
          <w:trHeight w:val="243"/>
        </w:trPr>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revised June 16, 2006</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16"/>
        </w:trPr>
        <w:tc>
          <w:tcPr>
            <w:tcW w:w="1160" w:type="dxa"/>
            <w:vAlign w:val="bottom"/>
          </w:tcPr>
          <w:p>
            <w:pPr>
              <w:ind w:left="4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8"/>
                <w:szCs w:val="18"/>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Deferred Compensation Plan for Non-Employee</w:t>
            </w:r>
          </w:p>
        </w:tc>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rPr>
              <w:t>December 23, 2010</w:t>
            </w:r>
          </w:p>
        </w:tc>
      </w:tr>
      <w:tr>
        <w:trPr>
          <w:trHeight w:val="243"/>
        </w:trPr>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Directors, as amended and restated December 13, 2010</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57"/>
        </w:trPr>
        <w:tc>
          <w:tcPr>
            <w:tcW w:w="1160" w:type="dxa"/>
            <w:vAlign w:val="bottom"/>
          </w:tcPr>
          <w:p>
            <w:pPr>
              <w:ind w:left="4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2"/>
                <w:szCs w:val="22"/>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Form of Director’s Indemnification Agreement</w:t>
            </w: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September 4, 2015</w:t>
            </w:r>
          </w:p>
        </w:tc>
      </w:tr>
      <w:tr>
        <w:trPr>
          <w:trHeight w:val="482"/>
        </w:trPr>
        <w:tc>
          <w:tcPr>
            <w:tcW w:w="1160" w:type="dxa"/>
            <w:vAlign w:val="bottom"/>
          </w:tcPr>
          <w:p>
            <w:pPr>
              <w:spacing w:after="0"/>
              <w:rPr>
                <w:sz w:val="24"/>
                <w:szCs w:val="24"/>
                <w:color w:val="auto"/>
              </w:rPr>
            </w:pPr>
          </w:p>
        </w:tc>
        <w:tc>
          <w:tcPr>
            <w:tcW w:w="4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ectPr>
          <w:pgSz w:w="11900" w:h="16838" w:orient="portrait"/>
          <w:cols w:equalWidth="0" w:num="1">
            <w:col w:w="11420"/>
          </w:cols>
          <w:pgMar w:left="240" w:top="520" w:right="239" w:bottom="144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auto"/>
              </w:rPr>
              <w:t>10.12*</w:t>
            </w:r>
          </w:p>
        </w:tc>
        <w:tc>
          <w:tcPr>
            <w:tcW w:w="4940" w:type="dxa"/>
            <w:vAlign w:val="bottom"/>
          </w:tcPr>
          <w:p>
            <w:pPr>
              <w:ind w:left="320"/>
              <w:spacing w:after="0"/>
              <w:rPr>
                <w:sz w:val="20"/>
                <w:szCs w:val="20"/>
                <w:color w:val="auto"/>
              </w:rPr>
            </w:pPr>
            <w:r>
              <w:rPr>
                <w:rFonts w:ascii="Arial" w:cs="Arial" w:eastAsia="Arial" w:hAnsi="Arial"/>
                <w:sz w:val="18"/>
                <w:szCs w:val="18"/>
                <w:color w:val="auto"/>
              </w:rPr>
              <w:t>ABM Executive Officer Incentive Plan, as amended and</w:t>
            </w:r>
          </w:p>
        </w:tc>
      </w:tr>
      <w:tr>
        <w:trPr>
          <w:trHeight w:val="243"/>
        </w:trPr>
        <w:tc>
          <w:tcPr>
            <w:tcW w:w="940" w:type="dxa"/>
            <w:vAlign w:val="bottom"/>
          </w:tcPr>
          <w:p>
            <w:pPr>
              <w:spacing w:after="0"/>
              <w:rPr>
                <w:sz w:val="21"/>
                <w:szCs w:val="21"/>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restated June 3, 2008</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10.13*‡</w:t>
            </w:r>
          </w:p>
        </w:tc>
        <w:tc>
          <w:tcPr>
            <w:tcW w:w="4940" w:type="dxa"/>
            <w:vAlign w:val="bottom"/>
          </w:tcPr>
          <w:p>
            <w:pPr>
              <w:ind w:left="320"/>
              <w:spacing w:after="0"/>
              <w:rPr>
                <w:sz w:val="20"/>
                <w:szCs w:val="20"/>
                <w:color w:val="auto"/>
              </w:rPr>
            </w:pPr>
            <w:r>
              <w:rPr>
                <w:rFonts w:ascii="Arial" w:cs="Arial" w:eastAsia="Arial" w:hAnsi="Arial"/>
                <w:sz w:val="18"/>
                <w:szCs w:val="18"/>
                <w:color w:val="auto"/>
              </w:rPr>
              <w:t>2006 Equity Incentive Plan, as amended and restated</w:t>
            </w:r>
          </w:p>
        </w:tc>
      </w:tr>
      <w:tr>
        <w:trPr>
          <w:trHeight w:val="243"/>
        </w:trPr>
        <w:tc>
          <w:tcPr>
            <w:tcW w:w="940" w:type="dxa"/>
            <w:vAlign w:val="bottom"/>
          </w:tcPr>
          <w:p>
            <w:pPr>
              <w:spacing w:after="0"/>
              <w:rPr>
                <w:sz w:val="21"/>
                <w:szCs w:val="21"/>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October 20, 2016</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10.14*</w:t>
            </w:r>
          </w:p>
        </w:tc>
        <w:tc>
          <w:tcPr>
            <w:tcW w:w="4940" w:type="dxa"/>
            <w:vAlign w:val="bottom"/>
          </w:tcPr>
          <w:p>
            <w:pPr>
              <w:ind w:left="320"/>
              <w:spacing w:after="0"/>
              <w:rPr>
                <w:sz w:val="20"/>
                <w:szCs w:val="20"/>
                <w:color w:val="auto"/>
              </w:rPr>
            </w:pPr>
            <w:r>
              <w:rPr>
                <w:rFonts w:ascii="Arial" w:cs="Arial" w:eastAsia="Arial" w:hAnsi="Arial"/>
                <w:sz w:val="18"/>
                <w:szCs w:val="18"/>
                <w:color w:val="auto"/>
                <w:w w:val="99"/>
              </w:rPr>
              <w:t>Statement of Terms and Conditions Applicable to Options,</w:t>
            </w:r>
          </w:p>
        </w:tc>
      </w:tr>
      <w:tr>
        <w:trPr>
          <w:trHeight w:val="203"/>
        </w:trPr>
        <w:tc>
          <w:tcPr>
            <w:tcW w:w="940" w:type="dxa"/>
            <w:vAlign w:val="bottom"/>
          </w:tcPr>
          <w:p>
            <w:pPr>
              <w:spacing w:after="0"/>
              <w:rPr>
                <w:sz w:val="17"/>
                <w:szCs w:val="17"/>
                <w:color w:val="auto"/>
              </w:rPr>
            </w:pPr>
          </w:p>
        </w:tc>
        <w:tc>
          <w:tcPr>
            <w:tcW w:w="4940" w:type="dxa"/>
            <w:vAlign w:val="bottom"/>
          </w:tcPr>
          <w:p>
            <w:pPr>
              <w:ind w:left="320"/>
              <w:spacing w:after="0" w:line="202" w:lineRule="exact"/>
              <w:rPr>
                <w:sz w:val="20"/>
                <w:szCs w:val="20"/>
                <w:color w:val="auto"/>
              </w:rPr>
            </w:pPr>
            <w:r>
              <w:rPr>
                <w:rFonts w:ascii="Arial" w:cs="Arial" w:eastAsia="Arial" w:hAnsi="Arial"/>
                <w:sz w:val="18"/>
                <w:szCs w:val="18"/>
                <w:color w:val="auto"/>
              </w:rPr>
              <w:t>Restricted Stock, and Restricted Stock Units, and</w:t>
            </w:r>
          </w:p>
        </w:tc>
      </w:tr>
      <w:tr>
        <w:trPr>
          <w:trHeight w:val="203"/>
        </w:trPr>
        <w:tc>
          <w:tcPr>
            <w:tcW w:w="940" w:type="dxa"/>
            <w:vAlign w:val="bottom"/>
          </w:tcPr>
          <w:p>
            <w:pPr>
              <w:spacing w:after="0"/>
              <w:rPr>
                <w:sz w:val="17"/>
                <w:szCs w:val="17"/>
                <w:color w:val="auto"/>
              </w:rPr>
            </w:pPr>
          </w:p>
        </w:tc>
        <w:tc>
          <w:tcPr>
            <w:tcW w:w="4940" w:type="dxa"/>
            <w:vAlign w:val="bottom"/>
          </w:tcPr>
          <w:p>
            <w:pPr>
              <w:ind w:left="320"/>
              <w:spacing w:after="0" w:line="202" w:lineRule="exact"/>
              <w:rPr>
                <w:sz w:val="20"/>
                <w:szCs w:val="20"/>
                <w:color w:val="auto"/>
              </w:rPr>
            </w:pPr>
            <w:r>
              <w:rPr>
                <w:rFonts w:ascii="Arial" w:cs="Arial" w:eastAsia="Arial" w:hAnsi="Arial"/>
                <w:sz w:val="18"/>
                <w:szCs w:val="18"/>
                <w:color w:val="auto"/>
              </w:rPr>
              <w:t>Performance Shares Granted to Employees Pursuant to</w:t>
            </w:r>
          </w:p>
        </w:tc>
      </w:tr>
      <w:tr>
        <w:trPr>
          <w:trHeight w:val="203"/>
        </w:trPr>
        <w:tc>
          <w:tcPr>
            <w:tcW w:w="940" w:type="dxa"/>
            <w:vAlign w:val="bottom"/>
          </w:tcPr>
          <w:p>
            <w:pPr>
              <w:spacing w:after="0"/>
              <w:rPr>
                <w:sz w:val="17"/>
                <w:szCs w:val="17"/>
                <w:color w:val="auto"/>
              </w:rPr>
            </w:pPr>
          </w:p>
        </w:tc>
        <w:tc>
          <w:tcPr>
            <w:tcW w:w="4940" w:type="dxa"/>
            <w:vAlign w:val="bottom"/>
          </w:tcPr>
          <w:p>
            <w:pPr>
              <w:ind w:left="320"/>
              <w:spacing w:after="0" w:line="202" w:lineRule="exact"/>
              <w:rPr>
                <w:sz w:val="20"/>
                <w:szCs w:val="20"/>
                <w:color w:val="auto"/>
              </w:rPr>
            </w:pPr>
            <w:r>
              <w:rPr>
                <w:rFonts w:ascii="Arial" w:cs="Arial" w:eastAsia="Arial" w:hAnsi="Arial"/>
                <w:sz w:val="18"/>
                <w:szCs w:val="18"/>
                <w:color w:val="auto"/>
              </w:rPr>
              <w:t>the 2006 Equity Incentive Plan, as amended and restated</w:t>
            </w:r>
          </w:p>
        </w:tc>
      </w:tr>
      <w:tr>
        <w:trPr>
          <w:trHeight w:val="243"/>
        </w:trPr>
        <w:tc>
          <w:tcPr>
            <w:tcW w:w="940" w:type="dxa"/>
            <w:vAlign w:val="bottom"/>
          </w:tcPr>
          <w:p>
            <w:pPr>
              <w:spacing w:after="0"/>
              <w:rPr>
                <w:sz w:val="21"/>
                <w:szCs w:val="21"/>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December 9, 2013</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10.15*</w:t>
            </w:r>
          </w:p>
        </w:tc>
        <w:tc>
          <w:tcPr>
            <w:tcW w:w="4940" w:type="dxa"/>
            <w:vAlign w:val="bottom"/>
          </w:tcPr>
          <w:p>
            <w:pPr>
              <w:ind w:left="320"/>
              <w:spacing w:after="0"/>
              <w:rPr>
                <w:sz w:val="20"/>
                <w:szCs w:val="20"/>
                <w:color w:val="auto"/>
              </w:rPr>
            </w:pPr>
            <w:r>
              <w:rPr>
                <w:rFonts w:ascii="Arial" w:cs="Arial" w:eastAsia="Arial" w:hAnsi="Arial"/>
                <w:sz w:val="18"/>
                <w:szCs w:val="18"/>
                <w:color w:val="auto"/>
                <w:w w:val="99"/>
              </w:rPr>
              <w:t>Statement of Terms and Conditions Applicable to Options,</w:t>
            </w:r>
          </w:p>
        </w:tc>
      </w:tr>
      <w:tr>
        <w:trPr>
          <w:trHeight w:val="203"/>
        </w:trPr>
        <w:tc>
          <w:tcPr>
            <w:tcW w:w="940" w:type="dxa"/>
            <w:vAlign w:val="bottom"/>
          </w:tcPr>
          <w:p>
            <w:pPr>
              <w:spacing w:after="0"/>
              <w:rPr>
                <w:sz w:val="17"/>
                <w:szCs w:val="17"/>
                <w:color w:val="auto"/>
              </w:rPr>
            </w:pPr>
          </w:p>
        </w:tc>
        <w:tc>
          <w:tcPr>
            <w:tcW w:w="4940" w:type="dxa"/>
            <w:vAlign w:val="bottom"/>
          </w:tcPr>
          <w:p>
            <w:pPr>
              <w:ind w:left="320"/>
              <w:spacing w:after="0" w:line="202" w:lineRule="exact"/>
              <w:rPr>
                <w:sz w:val="20"/>
                <w:szCs w:val="20"/>
                <w:color w:val="auto"/>
              </w:rPr>
            </w:pPr>
            <w:r>
              <w:rPr>
                <w:rFonts w:ascii="Arial" w:cs="Arial" w:eastAsia="Arial" w:hAnsi="Arial"/>
                <w:sz w:val="18"/>
                <w:szCs w:val="18"/>
                <w:color w:val="auto"/>
              </w:rPr>
              <w:t>Restricted Stock, and Restricted Stock Units, and</w:t>
            </w:r>
          </w:p>
        </w:tc>
      </w:tr>
      <w:tr>
        <w:trPr>
          <w:trHeight w:val="203"/>
        </w:trPr>
        <w:tc>
          <w:tcPr>
            <w:tcW w:w="940" w:type="dxa"/>
            <w:vAlign w:val="bottom"/>
          </w:tcPr>
          <w:p>
            <w:pPr>
              <w:spacing w:after="0"/>
              <w:rPr>
                <w:sz w:val="17"/>
                <w:szCs w:val="17"/>
                <w:color w:val="auto"/>
              </w:rPr>
            </w:pPr>
          </w:p>
        </w:tc>
        <w:tc>
          <w:tcPr>
            <w:tcW w:w="4940" w:type="dxa"/>
            <w:vAlign w:val="bottom"/>
          </w:tcPr>
          <w:p>
            <w:pPr>
              <w:ind w:left="320"/>
              <w:spacing w:after="0" w:line="202" w:lineRule="exact"/>
              <w:rPr>
                <w:sz w:val="20"/>
                <w:szCs w:val="20"/>
                <w:color w:val="auto"/>
              </w:rPr>
            </w:pPr>
            <w:r>
              <w:rPr>
                <w:rFonts w:ascii="Arial" w:cs="Arial" w:eastAsia="Arial" w:hAnsi="Arial"/>
                <w:sz w:val="18"/>
                <w:szCs w:val="18"/>
                <w:color w:val="auto"/>
              </w:rPr>
              <w:t>Performance Shares Granted to Employees Pursuant to</w:t>
            </w:r>
          </w:p>
        </w:tc>
      </w:tr>
      <w:tr>
        <w:trPr>
          <w:trHeight w:val="203"/>
        </w:trPr>
        <w:tc>
          <w:tcPr>
            <w:tcW w:w="940" w:type="dxa"/>
            <w:vAlign w:val="bottom"/>
          </w:tcPr>
          <w:p>
            <w:pPr>
              <w:spacing w:after="0"/>
              <w:rPr>
                <w:sz w:val="17"/>
                <w:szCs w:val="17"/>
                <w:color w:val="auto"/>
              </w:rPr>
            </w:pPr>
          </w:p>
        </w:tc>
        <w:tc>
          <w:tcPr>
            <w:tcW w:w="4940" w:type="dxa"/>
            <w:vAlign w:val="bottom"/>
          </w:tcPr>
          <w:p>
            <w:pPr>
              <w:ind w:left="320"/>
              <w:spacing w:after="0" w:line="202" w:lineRule="exact"/>
              <w:rPr>
                <w:sz w:val="20"/>
                <w:szCs w:val="20"/>
                <w:color w:val="auto"/>
              </w:rPr>
            </w:pPr>
            <w:r>
              <w:rPr>
                <w:rFonts w:ascii="Arial" w:cs="Arial" w:eastAsia="Arial" w:hAnsi="Arial"/>
                <w:sz w:val="18"/>
                <w:szCs w:val="18"/>
                <w:color w:val="auto"/>
              </w:rPr>
              <w:t>the 2006 Equity Incentive Plan, for Awards Granted on or</w:t>
            </w:r>
          </w:p>
        </w:tc>
      </w:tr>
      <w:tr>
        <w:trPr>
          <w:trHeight w:val="243"/>
        </w:trPr>
        <w:tc>
          <w:tcPr>
            <w:tcW w:w="940" w:type="dxa"/>
            <w:vAlign w:val="bottom"/>
          </w:tcPr>
          <w:p>
            <w:pPr>
              <w:spacing w:after="0"/>
              <w:rPr>
                <w:sz w:val="21"/>
                <w:szCs w:val="21"/>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after March 4, 2015</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10.16*</w:t>
            </w:r>
          </w:p>
        </w:tc>
        <w:tc>
          <w:tcPr>
            <w:tcW w:w="4940" w:type="dxa"/>
            <w:vAlign w:val="bottom"/>
          </w:tcPr>
          <w:p>
            <w:pPr>
              <w:ind w:left="320"/>
              <w:spacing w:after="0"/>
              <w:rPr>
                <w:sz w:val="20"/>
                <w:szCs w:val="20"/>
                <w:color w:val="auto"/>
              </w:rPr>
            </w:pPr>
            <w:r>
              <w:rPr>
                <w:rFonts w:ascii="Arial" w:cs="Arial" w:eastAsia="Arial" w:hAnsi="Arial"/>
                <w:sz w:val="18"/>
                <w:szCs w:val="18"/>
                <w:color w:val="auto"/>
                <w:w w:val="99"/>
              </w:rPr>
              <w:t>Statement of Terms and Conditions Applicable to Options,</w:t>
            </w:r>
          </w:p>
        </w:tc>
      </w:tr>
      <w:tr>
        <w:trPr>
          <w:trHeight w:val="203"/>
        </w:trPr>
        <w:tc>
          <w:tcPr>
            <w:tcW w:w="940" w:type="dxa"/>
            <w:vAlign w:val="bottom"/>
          </w:tcPr>
          <w:p>
            <w:pPr>
              <w:spacing w:after="0"/>
              <w:rPr>
                <w:sz w:val="17"/>
                <w:szCs w:val="17"/>
                <w:color w:val="auto"/>
              </w:rPr>
            </w:pPr>
          </w:p>
        </w:tc>
        <w:tc>
          <w:tcPr>
            <w:tcW w:w="4940" w:type="dxa"/>
            <w:vAlign w:val="bottom"/>
          </w:tcPr>
          <w:p>
            <w:pPr>
              <w:ind w:left="320"/>
              <w:spacing w:after="0" w:line="202" w:lineRule="exact"/>
              <w:rPr>
                <w:sz w:val="20"/>
                <w:szCs w:val="20"/>
                <w:color w:val="auto"/>
              </w:rPr>
            </w:pPr>
            <w:r>
              <w:rPr>
                <w:rFonts w:ascii="Arial" w:cs="Arial" w:eastAsia="Arial" w:hAnsi="Arial"/>
                <w:sz w:val="18"/>
                <w:szCs w:val="18"/>
                <w:color w:val="auto"/>
              </w:rPr>
              <w:t>Restricted Stock, and Restricted Stock Units Granted to</w:t>
            </w:r>
          </w:p>
        </w:tc>
      </w:tr>
      <w:tr>
        <w:trPr>
          <w:trHeight w:val="203"/>
        </w:trPr>
        <w:tc>
          <w:tcPr>
            <w:tcW w:w="940" w:type="dxa"/>
            <w:vAlign w:val="bottom"/>
          </w:tcPr>
          <w:p>
            <w:pPr>
              <w:spacing w:after="0"/>
              <w:rPr>
                <w:sz w:val="17"/>
                <w:szCs w:val="17"/>
                <w:color w:val="auto"/>
              </w:rPr>
            </w:pPr>
          </w:p>
        </w:tc>
        <w:tc>
          <w:tcPr>
            <w:tcW w:w="4940" w:type="dxa"/>
            <w:vAlign w:val="bottom"/>
          </w:tcPr>
          <w:p>
            <w:pPr>
              <w:ind w:left="320"/>
              <w:spacing w:after="0" w:line="202" w:lineRule="exact"/>
              <w:rPr>
                <w:sz w:val="20"/>
                <w:szCs w:val="20"/>
                <w:color w:val="auto"/>
              </w:rPr>
            </w:pPr>
            <w:r>
              <w:rPr>
                <w:rFonts w:ascii="Arial" w:cs="Arial" w:eastAsia="Arial" w:hAnsi="Arial"/>
                <w:sz w:val="18"/>
                <w:szCs w:val="18"/>
                <w:color w:val="auto"/>
              </w:rPr>
              <w:t>Directors Pursuant to the 2006 Equity Incentive Plan, as</w:t>
            </w:r>
          </w:p>
        </w:tc>
      </w:tr>
      <w:tr>
        <w:trPr>
          <w:trHeight w:val="243"/>
        </w:trPr>
        <w:tc>
          <w:tcPr>
            <w:tcW w:w="940" w:type="dxa"/>
            <w:vAlign w:val="bottom"/>
          </w:tcPr>
          <w:p>
            <w:pPr>
              <w:spacing w:after="0"/>
              <w:rPr>
                <w:sz w:val="21"/>
                <w:szCs w:val="21"/>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amended and restated December 9, 2013</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10.17*</w:t>
            </w:r>
          </w:p>
        </w:tc>
        <w:tc>
          <w:tcPr>
            <w:tcW w:w="4940" w:type="dxa"/>
            <w:vAlign w:val="bottom"/>
          </w:tcPr>
          <w:p>
            <w:pPr>
              <w:ind w:left="320"/>
              <w:spacing w:after="0"/>
              <w:rPr>
                <w:sz w:val="20"/>
                <w:szCs w:val="20"/>
                <w:color w:val="auto"/>
              </w:rPr>
            </w:pPr>
            <w:r>
              <w:rPr>
                <w:rFonts w:ascii="Arial" w:cs="Arial" w:eastAsia="Arial" w:hAnsi="Arial"/>
                <w:sz w:val="18"/>
                <w:szCs w:val="18"/>
                <w:color w:val="auto"/>
                <w:w w:val="99"/>
              </w:rPr>
              <w:t>Statement of Terms and Conditions Applicable to Options,</w:t>
            </w:r>
          </w:p>
        </w:tc>
      </w:tr>
      <w:tr>
        <w:trPr>
          <w:trHeight w:val="203"/>
        </w:trPr>
        <w:tc>
          <w:tcPr>
            <w:tcW w:w="940" w:type="dxa"/>
            <w:vAlign w:val="bottom"/>
          </w:tcPr>
          <w:p>
            <w:pPr>
              <w:spacing w:after="0"/>
              <w:rPr>
                <w:sz w:val="17"/>
                <w:szCs w:val="17"/>
                <w:color w:val="auto"/>
              </w:rPr>
            </w:pPr>
          </w:p>
        </w:tc>
        <w:tc>
          <w:tcPr>
            <w:tcW w:w="4940" w:type="dxa"/>
            <w:vAlign w:val="bottom"/>
          </w:tcPr>
          <w:p>
            <w:pPr>
              <w:ind w:left="320"/>
              <w:spacing w:after="0" w:line="202" w:lineRule="exact"/>
              <w:rPr>
                <w:sz w:val="20"/>
                <w:szCs w:val="20"/>
                <w:color w:val="auto"/>
              </w:rPr>
            </w:pPr>
            <w:r>
              <w:rPr>
                <w:rFonts w:ascii="Arial" w:cs="Arial" w:eastAsia="Arial" w:hAnsi="Arial"/>
                <w:sz w:val="18"/>
                <w:szCs w:val="18"/>
                <w:color w:val="auto"/>
              </w:rPr>
              <w:t>Restricted Stock, and Restricted Stock Units Granted to</w:t>
            </w:r>
          </w:p>
        </w:tc>
      </w:tr>
      <w:tr>
        <w:trPr>
          <w:trHeight w:val="203"/>
        </w:trPr>
        <w:tc>
          <w:tcPr>
            <w:tcW w:w="940" w:type="dxa"/>
            <w:vAlign w:val="bottom"/>
          </w:tcPr>
          <w:p>
            <w:pPr>
              <w:spacing w:after="0"/>
              <w:rPr>
                <w:sz w:val="17"/>
                <w:szCs w:val="17"/>
                <w:color w:val="auto"/>
              </w:rPr>
            </w:pPr>
          </w:p>
        </w:tc>
        <w:tc>
          <w:tcPr>
            <w:tcW w:w="4940" w:type="dxa"/>
            <w:vAlign w:val="bottom"/>
          </w:tcPr>
          <w:p>
            <w:pPr>
              <w:ind w:left="320"/>
              <w:spacing w:after="0" w:line="202" w:lineRule="exact"/>
              <w:rPr>
                <w:sz w:val="20"/>
                <w:szCs w:val="20"/>
                <w:color w:val="auto"/>
              </w:rPr>
            </w:pPr>
            <w:r>
              <w:rPr>
                <w:rFonts w:ascii="Arial" w:cs="Arial" w:eastAsia="Arial" w:hAnsi="Arial"/>
                <w:sz w:val="18"/>
                <w:szCs w:val="18"/>
                <w:color w:val="auto"/>
              </w:rPr>
              <w:t>Directors Pursuant to the 2006 Equity Incentive Plan, for</w:t>
            </w:r>
          </w:p>
        </w:tc>
      </w:tr>
      <w:tr>
        <w:trPr>
          <w:trHeight w:val="243"/>
        </w:trPr>
        <w:tc>
          <w:tcPr>
            <w:tcW w:w="940" w:type="dxa"/>
            <w:vAlign w:val="bottom"/>
          </w:tcPr>
          <w:p>
            <w:pPr>
              <w:spacing w:after="0"/>
              <w:rPr>
                <w:sz w:val="21"/>
                <w:szCs w:val="21"/>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Awards Granted on or after March 4, 2015</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10.18*</w:t>
            </w:r>
          </w:p>
        </w:tc>
        <w:tc>
          <w:tcPr>
            <w:tcW w:w="4940" w:type="dxa"/>
            <w:vAlign w:val="bottom"/>
          </w:tcPr>
          <w:p>
            <w:pPr>
              <w:ind w:left="320"/>
              <w:spacing w:after="0"/>
              <w:rPr>
                <w:sz w:val="20"/>
                <w:szCs w:val="20"/>
                <w:color w:val="auto"/>
              </w:rPr>
            </w:pPr>
            <w:r>
              <w:rPr>
                <w:rFonts w:ascii="Arial" w:cs="Arial" w:eastAsia="Arial" w:hAnsi="Arial"/>
                <w:sz w:val="18"/>
                <w:szCs w:val="18"/>
                <w:color w:val="auto"/>
              </w:rPr>
              <w:t>Statement of Terms and Conditions Applicable to</w:t>
            </w:r>
          </w:p>
        </w:tc>
      </w:tr>
      <w:tr>
        <w:trPr>
          <w:trHeight w:val="203"/>
        </w:trPr>
        <w:tc>
          <w:tcPr>
            <w:tcW w:w="940" w:type="dxa"/>
            <w:vAlign w:val="bottom"/>
          </w:tcPr>
          <w:p>
            <w:pPr>
              <w:spacing w:after="0"/>
              <w:rPr>
                <w:sz w:val="17"/>
                <w:szCs w:val="17"/>
                <w:color w:val="auto"/>
              </w:rPr>
            </w:pPr>
          </w:p>
        </w:tc>
        <w:tc>
          <w:tcPr>
            <w:tcW w:w="4940" w:type="dxa"/>
            <w:vAlign w:val="bottom"/>
          </w:tcPr>
          <w:p>
            <w:pPr>
              <w:ind w:left="320"/>
              <w:spacing w:after="0" w:line="202" w:lineRule="exact"/>
              <w:rPr>
                <w:sz w:val="20"/>
                <w:szCs w:val="20"/>
                <w:color w:val="auto"/>
              </w:rPr>
            </w:pPr>
            <w:r>
              <w:rPr>
                <w:rFonts w:ascii="Arial" w:cs="Arial" w:eastAsia="Arial" w:hAnsi="Arial"/>
                <w:sz w:val="18"/>
                <w:szCs w:val="18"/>
                <w:color w:val="auto"/>
              </w:rPr>
              <w:t>Restricted Stock Units Granted Pursuant to the 2006</w:t>
            </w:r>
          </w:p>
        </w:tc>
      </w:tr>
      <w:tr>
        <w:trPr>
          <w:trHeight w:val="203"/>
        </w:trPr>
        <w:tc>
          <w:tcPr>
            <w:tcW w:w="940" w:type="dxa"/>
            <w:vAlign w:val="bottom"/>
          </w:tcPr>
          <w:p>
            <w:pPr>
              <w:spacing w:after="0"/>
              <w:rPr>
                <w:sz w:val="17"/>
                <w:szCs w:val="17"/>
                <w:color w:val="auto"/>
              </w:rPr>
            </w:pPr>
          </w:p>
        </w:tc>
        <w:tc>
          <w:tcPr>
            <w:tcW w:w="4940" w:type="dxa"/>
            <w:vAlign w:val="bottom"/>
          </w:tcPr>
          <w:p>
            <w:pPr>
              <w:ind w:left="320"/>
              <w:spacing w:after="0" w:line="202" w:lineRule="exact"/>
              <w:rPr>
                <w:sz w:val="20"/>
                <w:szCs w:val="20"/>
                <w:color w:val="auto"/>
              </w:rPr>
            </w:pPr>
            <w:r>
              <w:rPr>
                <w:rFonts w:ascii="Arial" w:cs="Arial" w:eastAsia="Arial" w:hAnsi="Arial"/>
                <w:sz w:val="18"/>
                <w:szCs w:val="18"/>
                <w:color w:val="auto"/>
                <w:w w:val="99"/>
              </w:rPr>
              <w:t>Equity Incentive Plan to Directors Who Elect to Relinquish</w:t>
            </w:r>
          </w:p>
        </w:tc>
      </w:tr>
      <w:tr>
        <w:trPr>
          <w:trHeight w:val="203"/>
        </w:trPr>
        <w:tc>
          <w:tcPr>
            <w:tcW w:w="940" w:type="dxa"/>
            <w:vAlign w:val="bottom"/>
          </w:tcPr>
          <w:p>
            <w:pPr>
              <w:spacing w:after="0"/>
              <w:rPr>
                <w:sz w:val="17"/>
                <w:szCs w:val="17"/>
                <w:color w:val="auto"/>
              </w:rPr>
            </w:pPr>
          </w:p>
        </w:tc>
        <w:tc>
          <w:tcPr>
            <w:tcW w:w="4940" w:type="dxa"/>
            <w:vAlign w:val="bottom"/>
          </w:tcPr>
          <w:p>
            <w:pPr>
              <w:ind w:left="320"/>
              <w:spacing w:after="0" w:line="202" w:lineRule="exact"/>
              <w:rPr>
                <w:sz w:val="20"/>
                <w:szCs w:val="20"/>
                <w:color w:val="auto"/>
              </w:rPr>
            </w:pPr>
            <w:r>
              <w:rPr>
                <w:rFonts w:ascii="Arial" w:cs="Arial" w:eastAsia="Arial" w:hAnsi="Arial"/>
                <w:sz w:val="18"/>
                <w:szCs w:val="18"/>
                <w:color w:val="auto"/>
              </w:rPr>
              <w:t>Their Benefits Effective November 1, 2006, as amended</w:t>
            </w:r>
          </w:p>
        </w:tc>
      </w:tr>
      <w:tr>
        <w:trPr>
          <w:trHeight w:val="243"/>
        </w:trPr>
        <w:tc>
          <w:tcPr>
            <w:tcW w:w="940" w:type="dxa"/>
            <w:vAlign w:val="bottom"/>
          </w:tcPr>
          <w:p>
            <w:pPr>
              <w:spacing w:after="0"/>
              <w:rPr>
                <w:sz w:val="21"/>
                <w:szCs w:val="21"/>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and restated September 8, 2010</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10.19*</w:t>
            </w:r>
          </w:p>
        </w:tc>
        <w:tc>
          <w:tcPr>
            <w:tcW w:w="4940" w:type="dxa"/>
            <w:vAlign w:val="bottom"/>
          </w:tcPr>
          <w:p>
            <w:pPr>
              <w:ind w:left="320"/>
              <w:spacing w:after="0"/>
              <w:rPr>
                <w:sz w:val="20"/>
                <w:szCs w:val="20"/>
                <w:color w:val="auto"/>
              </w:rPr>
            </w:pPr>
            <w:r>
              <w:rPr>
                <w:rFonts w:ascii="Arial" w:cs="Arial" w:eastAsia="Arial" w:hAnsi="Arial"/>
                <w:sz w:val="18"/>
                <w:szCs w:val="18"/>
                <w:color w:val="auto"/>
              </w:rPr>
              <w:t>Form of Non-Qualified Stock Option Agreement – 2006</w:t>
            </w:r>
          </w:p>
        </w:tc>
      </w:tr>
      <w:tr>
        <w:trPr>
          <w:trHeight w:val="243"/>
        </w:trPr>
        <w:tc>
          <w:tcPr>
            <w:tcW w:w="940" w:type="dxa"/>
            <w:vAlign w:val="bottom"/>
          </w:tcPr>
          <w:p>
            <w:pPr>
              <w:spacing w:after="0"/>
              <w:rPr>
                <w:sz w:val="21"/>
                <w:szCs w:val="21"/>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Equity Plan</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10.20*</w:t>
            </w:r>
          </w:p>
        </w:tc>
        <w:tc>
          <w:tcPr>
            <w:tcW w:w="4940" w:type="dxa"/>
            <w:vAlign w:val="bottom"/>
          </w:tcPr>
          <w:p>
            <w:pPr>
              <w:ind w:left="320"/>
              <w:spacing w:after="0"/>
              <w:rPr>
                <w:sz w:val="20"/>
                <w:szCs w:val="20"/>
                <w:color w:val="auto"/>
              </w:rPr>
            </w:pPr>
            <w:r>
              <w:rPr>
                <w:rFonts w:ascii="Arial" w:cs="Arial" w:eastAsia="Arial" w:hAnsi="Arial"/>
                <w:sz w:val="18"/>
                <w:szCs w:val="18"/>
                <w:color w:val="auto"/>
              </w:rPr>
              <w:t>Form of Restricted Stock Unit Agreement – 2006 Equity</w:t>
            </w:r>
          </w:p>
        </w:tc>
      </w:tr>
      <w:tr>
        <w:trPr>
          <w:trHeight w:val="243"/>
        </w:trPr>
        <w:tc>
          <w:tcPr>
            <w:tcW w:w="940" w:type="dxa"/>
            <w:vAlign w:val="bottom"/>
          </w:tcPr>
          <w:p>
            <w:pPr>
              <w:spacing w:after="0"/>
              <w:rPr>
                <w:sz w:val="21"/>
                <w:szCs w:val="21"/>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Plan</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10.21*</w:t>
            </w:r>
          </w:p>
        </w:tc>
        <w:tc>
          <w:tcPr>
            <w:tcW w:w="4940" w:type="dxa"/>
            <w:vAlign w:val="bottom"/>
          </w:tcPr>
          <w:p>
            <w:pPr>
              <w:ind w:left="320"/>
              <w:spacing w:after="0"/>
              <w:rPr>
                <w:sz w:val="20"/>
                <w:szCs w:val="20"/>
                <w:color w:val="auto"/>
              </w:rPr>
            </w:pPr>
            <w:r>
              <w:rPr>
                <w:rFonts w:ascii="Arial" w:cs="Arial" w:eastAsia="Arial" w:hAnsi="Arial"/>
                <w:sz w:val="18"/>
                <w:szCs w:val="18"/>
                <w:color w:val="auto"/>
              </w:rPr>
              <w:t>Form of Performance Share Agreement – 2006 Equity</w:t>
            </w:r>
          </w:p>
        </w:tc>
      </w:tr>
      <w:tr>
        <w:trPr>
          <w:trHeight w:val="243"/>
        </w:trPr>
        <w:tc>
          <w:tcPr>
            <w:tcW w:w="940" w:type="dxa"/>
            <w:vAlign w:val="bottom"/>
          </w:tcPr>
          <w:p>
            <w:pPr>
              <w:spacing w:after="0"/>
              <w:rPr>
                <w:sz w:val="21"/>
                <w:szCs w:val="21"/>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Plan</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10.22*</w:t>
            </w:r>
          </w:p>
        </w:tc>
        <w:tc>
          <w:tcPr>
            <w:tcW w:w="4940" w:type="dxa"/>
            <w:vAlign w:val="bottom"/>
          </w:tcPr>
          <w:p>
            <w:pPr>
              <w:ind w:left="320"/>
              <w:spacing w:after="0"/>
              <w:rPr>
                <w:sz w:val="20"/>
                <w:szCs w:val="20"/>
                <w:color w:val="auto"/>
              </w:rPr>
            </w:pPr>
            <w:r>
              <w:rPr>
                <w:rFonts w:ascii="Arial" w:cs="Arial" w:eastAsia="Arial" w:hAnsi="Arial"/>
                <w:sz w:val="18"/>
                <w:szCs w:val="18"/>
                <w:color w:val="auto"/>
              </w:rPr>
              <w:t>Form of Performance Share Agreement for Awards to</w:t>
            </w:r>
          </w:p>
        </w:tc>
      </w:tr>
      <w:tr>
        <w:trPr>
          <w:trHeight w:val="243"/>
        </w:trPr>
        <w:tc>
          <w:tcPr>
            <w:tcW w:w="940" w:type="dxa"/>
            <w:vAlign w:val="bottom"/>
          </w:tcPr>
          <w:p>
            <w:pPr>
              <w:spacing w:after="0"/>
              <w:rPr>
                <w:sz w:val="21"/>
                <w:szCs w:val="21"/>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Certain Executive Officers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10.23*</w:t>
            </w:r>
          </w:p>
        </w:tc>
        <w:tc>
          <w:tcPr>
            <w:tcW w:w="4940" w:type="dxa"/>
            <w:vAlign w:val="bottom"/>
          </w:tcPr>
          <w:p>
            <w:pPr>
              <w:ind w:left="320"/>
              <w:spacing w:after="0"/>
              <w:rPr>
                <w:sz w:val="20"/>
                <w:szCs w:val="20"/>
                <w:color w:val="auto"/>
              </w:rPr>
            </w:pPr>
            <w:r>
              <w:rPr>
                <w:rFonts w:ascii="Arial" w:cs="Arial" w:eastAsia="Arial" w:hAnsi="Arial"/>
                <w:sz w:val="18"/>
                <w:szCs w:val="18"/>
                <w:color w:val="auto"/>
              </w:rPr>
              <w:t>Executive Stock Option Plan (aka Age-Vested Career</w:t>
            </w:r>
          </w:p>
        </w:tc>
      </w:tr>
      <w:tr>
        <w:trPr>
          <w:trHeight w:val="203"/>
        </w:trPr>
        <w:tc>
          <w:tcPr>
            <w:tcW w:w="940" w:type="dxa"/>
            <w:vAlign w:val="bottom"/>
          </w:tcPr>
          <w:p>
            <w:pPr>
              <w:spacing w:after="0"/>
              <w:rPr>
                <w:sz w:val="17"/>
                <w:szCs w:val="17"/>
                <w:color w:val="auto"/>
              </w:rPr>
            </w:pPr>
          </w:p>
        </w:tc>
        <w:tc>
          <w:tcPr>
            <w:tcW w:w="4940" w:type="dxa"/>
            <w:vAlign w:val="bottom"/>
          </w:tcPr>
          <w:p>
            <w:pPr>
              <w:ind w:left="320"/>
              <w:spacing w:after="0" w:line="202" w:lineRule="exact"/>
              <w:rPr>
                <w:sz w:val="20"/>
                <w:szCs w:val="20"/>
                <w:color w:val="auto"/>
              </w:rPr>
            </w:pPr>
            <w:r>
              <w:rPr>
                <w:rFonts w:ascii="Arial" w:cs="Arial" w:eastAsia="Arial" w:hAnsi="Arial"/>
                <w:sz w:val="18"/>
                <w:szCs w:val="18"/>
                <w:color w:val="auto"/>
              </w:rPr>
              <w:t>Stock Option Plan), as amended and restated June 4,</w:t>
            </w:r>
          </w:p>
        </w:tc>
      </w:tr>
      <w:tr>
        <w:trPr>
          <w:trHeight w:val="243"/>
        </w:trPr>
        <w:tc>
          <w:tcPr>
            <w:tcW w:w="940" w:type="dxa"/>
            <w:vAlign w:val="bottom"/>
          </w:tcPr>
          <w:p>
            <w:pPr>
              <w:spacing w:after="0"/>
              <w:rPr>
                <w:sz w:val="21"/>
                <w:szCs w:val="21"/>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2012</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10.24*</w:t>
            </w:r>
          </w:p>
        </w:tc>
        <w:tc>
          <w:tcPr>
            <w:tcW w:w="4940" w:type="dxa"/>
            <w:vAlign w:val="bottom"/>
          </w:tcPr>
          <w:p>
            <w:pPr>
              <w:ind w:left="320"/>
              <w:spacing w:after="0"/>
              <w:rPr>
                <w:sz w:val="20"/>
                <w:szCs w:val="20"/>
                <w:color w:val="auto"/>
              </w:rPr>
            </w:pPr>
            <w:r>
              <w:rPr>
                <w:rFonts w:ascii="Arial" w:cs="Arial" w:eastAsia="Arial" w:hAnsi="Arial"/>
                <w:sz w:val="18"/>
                <w:szCs w:val="18"/>
                <w:color w:val="auto"/>
              </w:rPr>
              <w:t>Time-Vested Incentive Stock Option Plan, as amended</w:t>
            </w:r>
          </w:p>
        </w:tc>
      </w:tr>
      <w:tr>
        <w:trPr>
          <w:trHeight w:val="243"/>
        </w:trPr>
        <w:tc>
          <w:tcPr>
            <w:tcW w:w="940" w:type="dxa"/>
            <w:vAlign w:val="bottom"/>
          </w:tcPr>
          <w:p>
            <w:pPr>
              <w:spacing w:after="0"/>
              <w:rPr>
                <w:sz w:val="21"/>
                <w:szCs w:val="21"/>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and restated September 4, 2007</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10.25*</w:t>
            </w:r>
          </w:p>
        </w:tc>
        <w:tc>
          <w:tcPr>
            <w:tcW w:w="4940" w:type="dxa"/>
            <w:vAlign w:val="bottom"/>
          </w:tcPr>
          <w:p>
            <w:pPr>
              <w:ind w:left="320"/>
              <w:spacing w:after="0"/>
              <w:rPr>
                <w:sz w:val="20"/>
                <w:szCs w:val="20"/>
                <w:color w:val="auto"/>
              </w:rPr>
            </w:pPr>
            <w:r>
              <w:rPr>
                <w:rFonts w:ascii="Arial" w:cs="Arial" w:eastAsia="Arial" w:hAnsi="Arial"/>
                <w:sz w:val="18"/>
                <w:szCs w:val="18"/>
                <w:color w:val="auto"/>
              </w:rPr>
              <w:t>1996 Price-Vested Performance Stock Option Plan, as</w:t>
            </w:r>
          </w:p>
        </w:tc>
      </w:tr>
      <w:tr>
        <w:trPr>
          <w:trHeight w:val="243"/>
        </w:trPr>
        <w:tc>
          <w:tcPr>
            <w:tcW w:w="940" w:type="dxa"/>
            <w:vAlign w:val="bottom"/>
          </w:tcPr>
          <w:p>
            <w:pPr>
              <w:spacing w:after="0"/>
              <w:rPr>
                <w:sz w:val="21"/>
                <w:szCs w:val="21"/>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amended and restated September 4, 2007</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10.26*</w:t>
            </w:r>
          </w:p>
        </w:tc>
        <w:tc>
          <w:tcPr>
            <w:tcW w:w="4940" w:type="dxa"/>
            <w:vAlign w:val="bottom"/>
          </w:tcPr>
          <w:p>
            <w:pPr>
              <w:ind w:left="320"/>
              <w:spacing w:after="0"/>
              <w:rPr>
                <w:sz w:val="20"/>
                <w:szCs w:val="20"/>
                <w:color w:val="auto"/>
              </w:rPr>
            </w:pPr>
            <w:r>
              <w:rPr>
                <w:rFonts w:ascii="Arial" w:cs="Arial" w:eastAsia="Arial" w:hAnsi="Arial"/>
                <w:sz w:val="18"/>
                <w:szCs w:val="18"/>
                <w:color w:val="auto"/>
              </w:rPr>
              <w:t>2002 Price-Vested Performance Stock Option Plan, as</w:t>
            </w:r>
          </w:p>
        </w:tc>
      </w:tr>
      <w:tr>
        <w:trPr>
          <w:trHeight w:val="243"/>
        </w:trPr>
        <w:tc>
          <w:tcPr>
            <w:tcW w:w="940" w:type="dxa"/>
            <w:vAlign w:val="bottom"/>
          </w:tcPr>
          <w:p>
            <w:pPr>
              <w:spacing w:after="0"/>
              <w:rPr>
                <w:sz w:val="21"/>
                <w:szCs w:val="21"/>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amended and restated September 4, 2007</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10.27*</w:t>
            </w:r>
          </w:p>
        </w:tc>
        <w:tc>
          <w:tcPr>
            <w:tcW w:w="4940" w:type="dxa"/>
            <w:vAlign w:val="bottom"/>
          </w:tcPr>
          <w:p>
            <w:pPr>
              <w:ind w:left="320"/>
              <w:spacing w:after="0"/>
              <w:rPr>
                <w:sz w:val="20"/>
                <w:szCs w:val="20"/>
                <w:color w:val="auto"/>
              </w:rPr>
            </w:pPr>
            <w:r>
              <w:rPr>
                <w:rFonts w:ascii="Arial" w:cs="Arial" w:eastAsia="Arial" w:hAnsi="Arial"/>
                <w:sz w:val="18"/>
                <w:szCs w:val="18"/>
                <w:color w:val="auto"/>
              </w:rPr>
              <w:t>Deferred Compensation Plan for Executives, amended</w:t>
            </w:r>
          </w:p>
        </w:tc>
      </w:tr>
      <w:tr>
        <w:trPr>
          <w:trHeight w:val="243"/>
        </w:trPr>
        <w:tc>
          <w:tcPr>
            <w:tcW w:w="940" w:type="dxa"/>
            <w:vAlign w:val="bottom"/>
          </w:tcPr>
          <w:p>
            <w:pPr>
              <w:spacing w:after="0"/>
              <w:rPr>
                <w:sz w:val="21"/>
                <w:szCs w:val="21"/>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and restated October 25, 2010</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10.28*</w:t>
            </w:r>
          </w:p>
        </w:tc>
        <w:tc>
          <w:tcPr>
            <w:tcW w:w="4940" w:type="dxa"/>
            <w:vAlign w:val="bottom"/>
          </w:tcPr>
          <w:p>
            <w:pPr>
              <w:ind w:left="320"/>
              <w:spacing w:after="0"/>
              <w:rPr>
                <w:sz w:val="20"/>
                <w:szCs w:val="20"/>
                <w:color w:val="auto"/>
              </w:rPr>
            </w:pPr>
            <w:r>
              <w:rPr>
                <w:rFonts w:ascii="Arial" w:cs="Arial" w:eastAsia="Arial" w:hAnsi="Arial"/>
                <w:sz w:val="18"/>
                <w:szCs w:val="18"/>
                <w:color w:val="auto"/>
              </w:rPr>
              <w:t>Form of Stock Option Agreement dated March 31, 2010</w:t>
            </w:r>
          </w:p>
        </w:tc>
      </w:tr>
      <w:tr>
        <w:trPr>
          <w:trHeight w:val="243"/>
        </w:trPr>
        <w:tc>
          <w:tcPr>
            <w:tcW w:w="940" w:type="dxa"/>
            <w:vAlign w:val="bottom"/>
          </w:tcPr>
          <w:p>
            <w:pPr>
              <w:spacing w:after="0"/>
              <w:rPr>
                <w:sz w:val="21"/>
                <w:szCs w:val="21"/>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for Awards to Certain Executive Officers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10.29*</w:t>
            </w:r>
          </w:p>
        </w:tc>
        <w:tc>
          <w:tcPr>
            <w:tcW w:w="4940" w:type="dxa"/>
            <w:vAlign w:val="bottom"/>
          </w:tcPr>
          <w:p>
            <w:pPr>
              <w:ind w:left="320"/>
              <w:spacing w:after="0"/>
              <w:rPr>
                <w:sz w:val="20"/>
                <w:szCs w:val="20"/>
                <w:color w:val="auto"/>
              </w:rPr>
            </w:pPr>
            <w:r>
              <w:rPr>
                <w:rFonts w:ascii="Arial" w:cs="Arial" w:eastAsia="Arial" w:hAnsi="Arial"/>
                <w:sz w:val="18"/>
                <w:szCs w:val="18"/>
                <w:color w:val="auto"/>
              </w:rPr>
              <w:t>Supplemental Executive Retirement Plan, as amended</w:t>
            </w:r>
          </w:p>
        </w:tc>
      </w:tr>
      <w:tr>
        <w:trPr>
          <w:trHeight w:val="243"/>
        </w:trPr>
        <w:tc>
          <w:tcPr>
            <w:tcW w:w="940" w:type="dxa"/>
            <w:vAlign w:val="bottom"/>
          </w:tcPr>
          <w:p>
            <w:pPr>
              <w:spacing w:after="0"/>
              <w:rPr>
                <w:sz w:val="21"/>
                <w:szCs w:val="21"/>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and restated June 3, 2008</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10.30*</w:t>
            </w:r>
          </w:p>
        </w:tc>
        <w:tc>
          <w:tcPr>
            <w:tcW w:w="4940" w:type="dxa"/>
            <w:vAlign w:val="bottom"/>
          </w:tcPr>
          <w:p>
            <w:pPr>
              <w:ind w:left="320"/>
              <w:spacing w:after="0"/>
              <w:rPr>
                <w:sz w:val="20"/>
                <w:szCs w:val="20"/>
                <w:color w:val="auto"/>
              </w:rPr>
            </w:pPr>
            <w:r>
              <w:rPr>
                <w:rFonts w:ascii="Arial" w:cs="Arial" w:eastAsia="Arial" w:hAnsi="Arial"/>
                <w:sz w:val="18"/>
                <w:szCs w:val="18"/>
                <w:color w:val="auto"/>
              </w:rPr>
              <w:t>Service Award Benefit Plan, as amended and restated</w:t>
            </w:r>
          </w:p>
        </w:tc>
      </w:tr>
      <w:tr>
        <w:trPr>
          <w:trHeight w:val="243"/>
        </w:trPr>
        <w:tc>
          <w:tcPr>
            <w:tcW w:w="940" w:type="dxa"/>
            <w:vAlign w:val="bottom"/>
          </w:tcPr>
          <w:p>
            <w:pPr>
              <w:spacing w:after="0"/>
              <w:rPr>
                <w:sz w:val="21"/>
                <w:szCs w:val="21"/>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June 3, 2008</w:t>
            </w:r>
          </w:p>
        </w:tc>
      </w:tr>
      <w:tr>
        <w:trPr>
          <w:trHeight w:val="469"/>
        </w:trPr>
        <w:tc>
          <w:tcPr>
            <w:tcW w:w="940" w:type="dxa"/>
            <w:vAlign w:val="bottom"/>
          </w:tcPr>
          <w:p>
            <w:pPr>
              <w:spacing w:after="0"/>
              <w:rPr>
                <w:sz w:val="24"/>
                <w:szCs w:val="24"/>
                <w:color w:val="auto"/>
              </w:rPr>
            </w:pPr>
          </w:p>
        </w:tc>
        <w:tc>
          <w:tcPr>
            <w:tcW w:w="4940" w:type="dxa"/>
            <w:vAlign w:val="bottom"/>
          </w:tcPr>
          <w:p>
            <w:pPr>
              <w:ind w:left="4640"/>
              <w:spacing w:after="0"/>
              <w:rPr>
                <w:sz w:val="20"/>
                <w:szCs w:val="20"/>
                <w:color w:val="auto"/>
              </w:rPr>
            </w:pPr>
            <w:r>
              <w:rPr>
                <w:rFonts w:ascii="Times New Roman" w:cs="Times New Roman" w:eastAsia="Times New Roman" w:hAnsi="Times New Roman"/>
                <w:sz w:val="18"/>
                <w:szCs w:val="18"/>
                <w:color w:val="auto"/>
              </w:rPr>
              <w:t>98</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10.6</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w w:val="99"/>
              </w:rPr>
              <w:t>September 8, 2008</w:t>
            </w:r>
          </w:p>
        </w:tc>
      </w:tr>
      <w:tr>
        <w:trPr>
          <w:trHeight w:val="918"/>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10.1</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rPr>
              <w:t>December 12, 2013</w:t>
            </w:r>
          </w:p>
        </w:tc>
      </w:tr>
      <w:tr>
        <w:trPr>
          <w:trHeight w:val="1067"/>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10.2</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w w:val="99"/>
              </w:rPr>
              <w:t>June 3, 2015</w:t>
            </w:r>
          </w:p>
        </w:tc>
      </w:tr>
      <w:tr>
        <w:trPr>
          <w:trHeight w:val="1067"/>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10.16</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rPr>
              <w:t>December 18, 2013</w:t>
            </w:r>
          </w:p>
        </w:tc>
      </w:tr>
      <w:tr>
        <w:trPr>
          <w:trHeight w:val="864"/>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10.3</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w w:val="99"/>
              </w:rPr>
              <w:t>June 3, 2015</w:t>
            </w:r>
          </w:p>
        </w:tc>
      </w:tr>
      <w:tr>
        <w:trPr>
          <w:trHeight w:val="864"/>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10.13</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rPr>
              <w:t>December 23, 2010</w:t>
            </w:r>
          </w:p>
        </w:tc>
      </w:tr>
      <w:tr>
        <w:trPr>
          <w:trHeight w:val="1067"/>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10.4</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w w:val="99"/>
              </w:rPr>
              <w:t>June 4, 2010</w:t>
            </w:r>
          </w:p>
        </w:tc>
      </w:tr>
      <w:tr>
        <w:trPr>
          <w:trHeight w:val="459"/>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10.5</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w w:val="99"/>
              </w:rPr>
              <w:t>June 4, 2010</w:t>
            </w:r>
          </w:p>
        </w:tc>
      </w:tr>
      <w:tr>
        <w:trPr>
          <w:trHeight w:val="459"/>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10.20</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rPr>
              <w:t>December 18, 2013</w:t>
            </w:r>
          </w:p>
        </w:tc>
      </w:tr>
      <w:tr>
        <w:trPr>
          <w:trHeight w:val="459"/>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10.5</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rPr>
              <w:t>January 16, 2015</w:t>
            </w:r>
          </w:p>
        </w:tc>
      </w:tr>
      <w:tr>
        <w:trPr>
          <w:trHeight w:val="459"/>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10.1</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w w:val="99"/>
              </w:rPr>
              <w:t>September 6, 2012</w:t>
            </w:r>
          </w:p>
        </w:tc>
      </w:tr>
      <w:tr>
        <w:trPr>
          <w:trHeight w:val="662"/>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10.2</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rPr>
              <w:t>September 10, 2007</w:t>
            </w:r>
          </w:p>
        </w:tc>
      </w:tr>
      <w:tr>
        <w:trPr>
          <w:trHeight w:val="459"/>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10.3</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rPr>
              <w:t>September 10, 2007</w:t>
            </w:r>
          </w:p>
        </w:tc>
      </w:tr>
      <w:tr>
        <w:trPr>
          <w:trHeight w:val="459"/>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10.4</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rPr>
              <w:t>September 10, 2007</w:t>
            </w:r>
          </w:p>
        </w:tc>
      </w:tr>
      <w:tr>
        <w:trPr>
          <w:trHeight w:val="459"/>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10.22</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rPr>
              <w:t>December 23, 2010</w:t>
            </w:r>
          </w:p>
        </w:tc>
      </w:tr>
      <w:tr>
        <w:trPr>
          <w:trHeight w:val="459"/>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10.3</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w w:val="98"/>
              </w:rPr>
              <w:t>April 2, 2010</w:t>
            </w:r>
          </w:p>
        </w:tc>
      </w:tr>
      <w:tr>
        <w:trPr>
          <w:trHeight w:val="459"/>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10.4</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w w:val="99"/>
              </w:rPr>
              <w:t>September 8, 2008</w:t>
            </w:r>
          </w:p>
        </w:tc>
      </w:tr>
      <w:tr>
        <w:trPr>
          <w:trHeight w:val="459"/>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10.5</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w w:val="99"/>
              </w:rPr>
              <w:t>September 8, 2008</w:t>
            </w:r>
          </w:p>
        </w:tc>
      </w:tr>
    </w:tbl>
    <w:p>
      <w:pPr>
        <w:sectPr>
          <w:pgSz w:w="11900" w:h="16838" w:orient="portrait"/>
          <w:cols w:equalWidth="0" w:num="2">
            <w:col w:w="5880" w:space="300"/>
            <w:col w:w="4940"/>
          </w:cols>
          <w:pgMar w:left="280" w:top="517" w:right="49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10.31*</w:t>
            </w:r>
          </w:p>
        </w:tc>
        <w:tc>
          <w:tcPr>
            <w:tcW w:w="5120" w:type="dxa"/>
            <w:vAlign w:val="bottom"/>
          </w:tcPr>
          <w:p>
            <w:pPr>
              <w:ind w:left="360"/>
              <w:spacing w:after="0"/>
              <w:rPr>
                <w:sz w:val="20"/>
                <w:szCs w:val="20"/>
                <w:color w:val="auto"/>
              </w:rPr>
            </w:pPr>
            <w:r>
              <w:rPr>
                <w:rFonts w:ascii="Arial" w:cs="Arial" w:eastAsia="Arial" w:hAnsi="Arial"/>
                <w:sz w:val="18"/>
                <w:szCs w:val="18"/>
                <w:color w:val="auto"/>
              </w:rPr>
              <w:t>Executive Severance Pay Policy, as amended and</w:t>
            </w:r>
          </w:p>
        </w:tc>
        <w:tc>
          <w:tcPr>
            <w:tcW w:w="820" w:type="dxa"/>
            <w:vAlign w:val="bottom"/>
          </w:tcPr>
          <w:p>
            <w:pPr>
              <w:jc w:val="center"/>
              <w:spacing w:after="0"/>
              <w:rPr>
                <w:sz w:val="20"/>
                <w:szCs w:val="20"/>
                <w:color w:val="auto"/>
              </w:rPr>
            </w:pPr>
            <w:r>
              <w:rPr>
                <w:rFonts w:ascii="Arial" w:cs="Arial" w:eastAsia="Arial" w:hAnsi="Arial"/>
                <w:sz w:val="18"/>
                <w:szCs w:val="18"/>
                <w:color w:val="auto"/>
              </w:rPr>
              <w:t>10-Q</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10.1</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w w:val="99"/>
              </w:rPr>
              <w:t>March 10, 2011</w:t>
            </w:r>
          </w:p>
        </w:tc>
      </w:tr>
      <w:tr>
        <w:trPr>
          <w:trHeight w:val="243"/>
        </w:trPr>
        <w:tc>
          <w:tcPr>
            <w:tcW w:w="900" w:type="dxa"/>
            <w:vAlign w:val="bottom"/>
          </w:tcPr>
          <w:p>
            <w:pPr>
              <w:spacing w:after="0"/>
              <w:rPr>
                <w:sz w:val="21"/>
                <w:szCs w:val="21"/>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restated March 7, 2011</w:t>
            </w: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16"/>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10.32*</w:t>
            </w:r>
          </w:p>
        </w:tc>
        <w:tc>
          <w:tcPr>
            <w:tcW w:w="5120" w:type="dxa"/>
            <w:vAlign w:val="bottom"/>
          </w:tcPr>
          <w:p>
            <w:pPr>
              <w:ind w:left="360"/>
              <w:spacing w:after="0"/>
              <w:rPr>
                <w:sz w:val="20"/>
                <w:szCs w:val="20"/>
                <w:color w:val="auto"/>
              </w:rPr>
            </w:pPr>
            <w:r>
              <w:rPr>
                <w:rFonts w:ascii="Arial" w:cs="Arial" w:eastAsia="Arial" w:hAnsi="Arial"/>
                <w:sz w:val="18"/>
                <w:szCs w:val="18"/>
                <w:color w:val="auto"/>
              </w:rPr>
              <w:t>Amended and Restated Employment Agreement dated</w:t>
            </w: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10.1</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July 18, 2013</w:t>
            </w:r>
          </w:p>
        </w:tc>
      </w:tr>
      <w:tr>
        <w:trPr>
          <w:trHeight w:val="203"/>
        </w:trPr>
        <w:tc>
          <w:tcPr>
            <w:tcW w:w="900" w:type="dxa"/>
            <w:vAlign w:val="bottom"/>
          </w:tcPr>
          <w:p>
            <w:pPr>
              <w:spacing w:after="0"/>
              <w:rPr>
                <w:sz w:val="17"/>
                <w:szCs w:val="17"/>
                <w:color w:val="auto"/>
              </w:rPr>
            </w:pPr>
          </w:p>
        </w:tc>
        <w:tc>
          <w:tcPr>
            <w:tcW w:w="5120" w:type="dxa"/>
            <w:vAlign w:val="bottom"/>
          </w:tcPr>
          <w:p>
            <w:pPr>
              <w:ind w:left="360"/>
              <w:spacing w:after="0" w:line="202" w:lineRule="exact"/>
              <w:rPr>
                <w:sz w:val="20"/>
                <w:szCs w:val="20"/>
                <w:color w:val="auto"/>
              </w:rPr>
            </w:pPr>
            <w:r>
              <w:rPr>
                <w:rFonts w:ascii="Arial" w:cs="Arial" w:eastAsia="Arial" w:hAnsi="Arial"/>
                <w:sz w:val="18"/>
                <w:szCs w:val="18"/>
                <w:color w:val="auto"/>
              </w:rPr>
              <w:t>July 16, 2013 by and between ABM Industries</w:t>
            </w: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43"/>
        </w:trPr>
        <w:tc>
          <w:tcPr>
            <w:tcW w:w="900" w:type="dxa"/>
            <w:vAlign w:val="bottom"/>
          </w:tcPr>
          <w:p>
            <w:pPr>
              <w:spacing w:after="0"/>
              <w:rPr>
                <w:sz w:val="21"/>
                <w:szCs w:val="21"/>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Incorporated and Henrik C. Slipsager</w:t>
            </w: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16"/>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10.33*</w:t>
            </w:r>
          </w:p>
        </w:tc>
        <w:tc>
          <w:tcPr>
            <w:tcW w:w="5120" w:type="dxa"/>
            <w:vAlign w:val="bottom"/>
          </w:tcPr>
          <w:p>
            <w:pPr>
              <w:ind w:left="360"/>
              <w:spacing w:after="0"/>
              <w:rPr>
                <w:sz w:val="20"/>
                <w:szCs w:val="20"/>
                <w:color w:val="auto"/>
              </w:rPr>
            </w:pPr>
            <w:r>
              <w:rPr>
                <w:rFonts w:ascii="Arial" w:cs="Arial" w:eastAsia="Arial" w:hAnsi="Arial"/>
                <w:sz w:val="18"/>
                <w:szCs w:val="18"/>
                <w:color w:val="auto"/>
              </w:rPr>
              <w:t>Form of Executive Employment Agreement with James S.</w:t>
            </w: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10.1</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October 22, 2014</w:t>
            </w:r>
          </w:p>
        </w:tc>
      </w:tr>
      <w:tr>
        <w:trPr>
          <w:trHeight w:val="203"/>
        </w:trPr>
        <w:tc>
          <w:tcPr>
            <w:tcW w:w="900" w:type="dxa"/>
            <w:vAlign w:val="bottom"/>
          </w:tcPr>
          <w:p>
            <w:pPr>
              <w:spacing w:after="0"/>
              <w:rPr>
                <w:sz w:val="17"/>
                <w:szCs w:val="17"/>
                <w:color w:val="auto"/>
              </w:rPr>
            </w:pPr>
          </w:p>
        </w:tc>
        <w:tc>
          <w:tcPr>
            <w:tcW w:w="5120" w:type="dxa"/>
            <w:vAlign w:val="bottom"/>
          </w:tcPr>
          <w:p>
            <w:pPr>
              <w:ind w:left="360"/>
              <w:spacing w:after="0" w:line="202" w:lineRule="exact"/>
              <w:rPr>
                <w:sz w:val="20"/>
                <w:szCs w:val="20"/>
                <w:color w:val="auto"/>
              </w:rPr>
            </w:pPr>
            <w:r>
              <w:rPr>
                <w:rFonts w:ascii="Arial" w:cs="Arial" w:eastAsia="Arial" w:hAnsi="Arial"/>
                <w:sz w:val="18"/>
                <w:szCs w:val="18"/>
                <w:color w:val="auto"/>
              </w:rPr>
              <w:t>Lusk, James P. McClure, Sarah H. McConnell, and Tracy</w:t>
            </w: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43"/>
        </w:trPr>
        <w:tc>
          <w:tcPr>
            <w:tcW w:w="900" w:type="dxa"/>
            <w:vAlign w:val="bottom"/>
          </w:tcPr>
          <w:p>
            <w:pPr>
              <w:spacing w:after="0"/>
              <w:rPr>
                <w:sz w:val="21"/>
                <w:szCs w:val="21"/>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K. Price</w:t>
            </w: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459"/>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10.34*</w:t>
            </w:r>
          </w:p>
        </w:tc>
        <w:tc>
          <w:tcPr>
            <w:tcW w:w="5120" w:type="dxa"/>
            <w:vAlign w:val="bottom"/>
          </w:tcPr>
          <w:p>
            <w:pPr>
              <w:ind w:left="360"/>
              <w:spacing w:after="0"/>
              <w:rPr>
                <w:sz w:val="20"/>
                <w:szCs w:val="20"/>
                <w:color w:val="auto"/>
              </w:rPr>
            </w:pPr>
            <w:r>
              <w:rPr>
                <w:rFonts w:ascii="Arial" w:cs="Arial" w:eastAsia="Arial" w:hAnsi="Arial"/>
                <w:sz w:val="18"/>
                <w:szCs w:val="18"/>
                <w:color w:val="auto"/>
              </w:rPr>
              <w:t>Form of Executive Employment Agreement (with term)</w:t>
            </w: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10.1</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October 22, 2014</w:t>
            </w:r>
          </w:p>
        </w:tc>
      </w:tr>
      <w:tr>
        <w:trPr>
          <w:trHeight w:val="270"/>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10.35*</w:t>
            </w:r>
          </w:p>
        </w:tc>
        <w:tc>
          <w:tcPr>
            <w:tcW w:w="5120" w:type="dxa"/>
            <w:vAlign w:val="bottom"/>
          </w:tcPr>
          <w:p>
            <w:pPr>
              <w:ind w:left="360"/>
              <w:spacing w:after="0"/>
              <w:rPr>
                <w:sz w:val="20"/>
                <w:szCs w:val="20"/>
                <w:color w:val="auto"/>
              </w:rPr>
            </w:pPr>
            <w:r>
              <w:rPr>
                <w:rFonts w:ascii="Arial" w:cs="Arial" w:eastAsia="Arial" w:hAnsi="Arial"/>
                <w:sz w:val="18"/>
                <w:szCs w:val="18"/>
                <w:color w:val="auto"/>
              </w:rPr>
              <w:t>Form of Executive Employment Agreement (without term)</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10.34</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December 30, 2012</w:t>
            </w:r>
          </w:p>
        </w:tc>
      </w:tr>
      <w:tr>
        <w:trPr>
          <w:trHeight w:val="230"/>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10.36*</w:t>
            </w:r>
          </w:p>
        </w:tc>
        <w:tc>
          <w:tcPr>
            <w:tcW w:w="5120" w:type="dxa"/>
            <w:vAlign w:val="bottom"/>
          </w:tcPr>
          <w:p>
            <w:pPr>
              <w:ind w:left="360"/>
              <w:spacing w:after="0"/>
              <w:rPr>
                <w:sz w:val="20"/>
                <w:szCs w:val="20"/>
                <w:color w:val="auto"/>
              </w:rPr>
            </w:pPr>
            <w:r>
              <w:rPr>
                <w:rFonts w:ascii="Arial" w:cs="Arial" w:eastAsia="Arial" w:hAnsi="Arial"/>
                <w:sz w:val="18"/>
                <w:szCs w:val="18"/>
                <w:color w:val="auto"/>
              </w:rPr>
              <w:t>Form of Amended and Restated Executive Change in</w:t>
            </w: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10.1</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December 31, 2008</w:t>
            </w:r>
          </w:p>
        </w:tc>
      </w:tr>
      <w:tr>
        <w:trPr>
          <w:trHeight w:val="203"/>
        </w:trPr>
        <w:tc>
          <w:tcPr>
            <w:tcW w:w="900" w:type="dxa"/>
            <w:vAlign w:val="bottom"/>
          </w:tcPr>
          <w:p>
            <w:pPr>
              <w:spacing w:after="0"/>
              <w:rPr>
                <w:sz w:val="17"/>
                <w:szCs w:val="17"/>
                <w:color w:val="auto"/>
              </w:rPr>
            </w:pPr>
          </w:p>
        </w:tc>
        <w:tc>
          <w:tcPr>
            <w:tcW w:w="5120" w:type="dxa"/>
            <w:vAlign w:val="bottom"/>
          </w:tcPr>
          <w:p>
            <w:pPr>
              <w:ind w:left="360"/>
              <w:spacing w:after="0" w:line="202" w:lineRule="exact"/>
              <w:rPr>
                <w:sz w:val="20"/>
                <w:szCs w:val="20"/>
                <w:color w:val="auto"/>
              </w:rPr>
            </w:pPr>
            <w:r>
              <w:rPr>
                <w:rFonts w:ascii="Arial" w:cs="Arial" w:eastAsia="Arial" w:hAnsi="Arial"/>
                <w:sz w:val="18"/>
                <w:szCs w:val="18"/>
                <w:color w:val="auto"/>
              </w:rPr>
              <w:t>Control Agreement with Henrik C. Slipsager, James S.</w:t>
            </w: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43"/>
        </w:trPr>
        <w:tc>
          <w:tcPr>
            <w:tcW w:w="900" w:type="dxa"/>
            <w:vAlign w:val="bottom"/>
          </w:tcPr>
          <w:p>
            <w:pPr>
              <w:spacing w:after="0"/>
              <w:rPr>
                <w:sz w:val="21"/>
                <w:szCs w:val="21"/>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Lusk, and James P. McClure</w:t>
            </w: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16"/>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10.37*</w:t>
            </w:r>
          </w:p>
        </w:tc>
        <w:tc>
          <w:tcPr>
            <w:tcW w:w="5120" w:type="dxa"/>
            <w:vAlign w:val="bottom"/>
          </w:tcPr>
          <w:p>
            <w:pPr>
              <w:ind w:left="360"/>
              <w:spacing w:after="0"/>
              <w:rPr>
                <w:sz w:val="20"/>
                <w:szCs w:val="20"/>
                <w:color w:val="auto"/>
              </w:rPr>
            </w:pPr>
            <w:r>
              <w:rPr>
                <w:rFonts w:ascii="Arial" w:cs="Arial" w:eastAsia="Arial" w:hAnsi="Arial"/>
                <w:sz w:val="18"/>
                <w:szCs w:val="18"/>
                <w:color w:val="auto"/>
              </w:rPr>
              <w:t>Annex A for Change in Control Agreement for Henrik C.</w:t>
            </w:r>
          </w:p>
        </w:tc>
        <w:tc>
          <w:tcPr>
            <w:tcW w:w="820" w:type="dxa"/>
            <w:vAlign w:val="bottom"/>
          </w:tcPr>
          <w:p>
            <w:pPr>
              <w:jc w:val="center"/>
              <w:spacing w:after="0"/>
              <w:rPr>
                <w:sz w:val="20"/>
                <w:szCs w:val="20"/>
                <w:color w:val="auto"/>
              </w:rPr>
            </w:pPr>
            <w:r>
              <w:rPr>
                <w:rFonts w:ascii="Arial" w:cs="Arial" w:eastAsia="Arial" w:hAnsi="Arial"/>
                <w:sz w:val="18"/>
                <w:szCs w:val="18"/>
                <w:color w:val="auto"/>
              </w:rPr>
              <w:t>8-K/A</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10.1</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w w:val="99"/>
              </w:rPr>
              <w:t>January 5, 2009</w:t>
            </w:r>
          </w:p>
        </w:tc>
      </w:tr>
      <w:tr>
        <w:trPr>
          <w:trHeight w:val="243"/>
        </w:trPr>
        <w:tc>
          <w:tcPr>
            <w:tcW w:w="900" w:type="dxa"/>
            <w:vAlign w:val="bottom"/>
          </w:tcPr>
          <w:p>
            <w:pPr>
              <w:spacing w:after="0"/>
              <w:rPr>
                <w:sz w:val="21"/>
                <w:szCs w:val="21"/>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Slipsager</w:t>
            </w: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16"/>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10.38*</w:t>
            </w:r>
          </w:p>
        </w:tc>
        <w:tc>
          <w:tcPr>
            <w:tcW w:w="5120" w:type="dxa"/>
            <w:vAlign w:val="bottom"/>
          </w:tcPr>
          <w:p>
            <w:pPr>
              <w:ind w:left="360"/>
              <w:spacing w:after="0"/>
              <w:rPr>
                <w:sz w:val="20"/>
                <w:szCs w:val="20"/>
                <w:color w:val="auto"/>
              </w:rPr>
            </w:pPr>
            <w:r>
              <w:rPr>
                <w:rFonts w:ascii="Arial" w:cs="Arial" w:eastAsia="Arial" w:hAnsi="Arial"/>
                <w:sz w:val="18"/>
                <w:szCs w:val="18"/>
                <w:color w:val="auto"/>
              </w:rPr>
              <w:t>Form of Amended Executive Employment Agreement with</w:t>
            </w: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10.4</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January 16, 2015</w:t>
            </w:r>
          </w:p>
        </w:tc>
      </w:tr>
      <w:tr>
        <w:trPr>
          <w:trHeight w:val="243"/>
        </w:trPr>
        <w:tc>
          <w:tcPr>
            <w:tcW w:w="900" w:type="dxa"/>
            <w:vAlign w:val="bottom"/>
          </w:tcPr>
          <w:p>
            <w:pPr>
              <w:spacing w:after="0"/>
              <w:rPr>
                <w:sz w:val="21"/>
                <w:szCs w:val="21"/>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James P. McClure and Tracy K. Price</w:t>
            </w: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419"/>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10.39*</w:t>
            </w:r>
          </w:p>
        </w:tc>
        <w:tc>
          <w:tcPr>
            <w:tcW w:w="5120" w:type="dxa"/>
            <w:vAlign w:val="bottom"/>
          </w:tcPr>
          <w:p>
            <w:pPr>
              <w:ind w:left="360"/>
              <w:spacing w:after="0"/>
              <w:rPr>
                <w:sz w:val="20"/>
                <w:szCs w:val="20"/>
                <w:color w:val="auto"/>
              </w:rPr>
            </w:pPr>
            <w:r>
              <w:rPr>
                <w:rFonts w:ascii="Arial" w:cs="Arial" w:eastAsia="Arial" w:hAnsi="Arial"/>
                <w:sz w:val="18"/>
                <w:szCs w:val="18"/>
                <w:color w:val="auto"/>
              </w:rPr>
              <w:t>Executive Change in Control Agreement with Sarah H.</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10.32</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December 22, 2009</w:t>
            </w:r>
          </w:p>
        </w:tc>
      </w:tr>
      <w:tr>
        <w:trPr>
          <w:trHeight w:val="243"/>
        </w:trPr>
        <w:tc>
          <w:tcPr>
            <w:tcW w:w="900" w:type="dxa"/>
            <w:vAlign w:val="bottom"/>
          </w:tcPr>
          <w:p>
            <w:pPr>
              <w:spacing w:after="0"/>
              <w:rPr>
                <w:sz w:val="21"/>
                <w:szCs w:val="21"/>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McConnell</w:t>
            </w: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16"/>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10.40*</w:t>
            </w:r>
          </w:p>
        </w:tc>
        <w:tc>
          <w:tcPr>
            <w:tcW w:w="5120" w:type="dxa"/>
            <w:vAlign w:val="bottom"/>
          </w:tcPr>
          <w:p>
            <w:pPr>
              <w:ind w:left="360"/>
              <w:spacing w:after="0"/>
              <w:rPr>
                <w:sz w:val="20"/>
                <w:szCs w:val="20"/>
                <w:color w:val="auto"/>
              </w:rPr>
            </w:pPr>
            <w:r>
              <w:rPr>
                <w:rFonts w:ascii="Arial" w:cs="Arial" w:eastAsia="Arial" w:hAnsi="Arial"/>
                <w:sz w:val="18"/>
                <w:szCs w:val="18"/>
                <w:color w:val="auto"/>
              </w:rPr>
              <w:t>Executive Change in Control Agreement with Tracy K.</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10.37</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w w:val="98"/>
              </w:rPr>
              <w:t>December 23, 2011</w:t>
            </w:r>
          </w:p>
        </w:tc>
      </w:tr>
      <w:tr>
        <w:trPr>
          <w:trHeight w:val="243"/>
        </w:trPr>
        <w:tc>
          <w:tcPr>
            <w:tcW w:w="900" w:type="dxa"/>
            <w:vAlign w:val="bottom"/>
          </w:tcPr>
          <w:p>
            <w:pPr>
              <w:spacing w:after="0"/>
              <w:rPr>
                <w:sz w:val="21"/>
                <w:szCs w:val="21"/>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Price</w:t>
            </w: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16"/>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10.41*</w:t>
            </w:r>
          </w:p>
        </w:tc>
        <w:tc>
          <w:tcPr>
            <w:tcW w:w="5120" w:type="dxa"/>
            <w:vAlign w:val="bottom"/>
          </w:tcPr>
          <w:p>
            <w:pPr>
              <w:ind w:left="360"/>
              <w:spacing w:after="0"/>
              <w:rPr>
                <w:sz w:val="20"/>
                <w:szCs w:val="20"/>
                <w:color w:val="auto"/>
              </w:rPr>
            </w:pPr>
            <w:r>
              <w:rPr>
                <w:rFonts w:ascii="Arial" w:cs="Arial" w:eastAsia="Arial" w:hAnsi="Arial"/>
                <w:sz w:val="18"/>
                <w:szCs w:val="18"/>
                <w:color w:val="auto"/>
              </w:rPr>
              <w:t>Letter Agreement, dated as of January 12, 2015, by and</w:t>
            </w: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10.1</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January 16, 2015</w:t>
            </w:r>
          </w:p>
        </w:tc>
      </w:tr>
      <w:tr>
        <w:trPr>
          <w:trHeight w:val="203"/>
        </w:trPr>
        <w:tc>
          <w:tcPr>
            <w:tcW w:w="900" w:type="dxa"/>
            <w:vAlign w:val="bottom"/>
          </w:tcPr>
          <w:p>
            <w:pPr>
              <w:spacing w:after="0"/>
              <w:rPr>
                <w:sz w:val="17"/>
                <w:szCs w:val="17"/>
                <w:color w:val="auto"/>
              </w:rPr>
            </w:pPr>
          </w:p>
        </w:tc>
        <w:tc>
          <w:tcPr>
            <w:tcW w:w="5120" w:type="dxa"/>
            <w:vAlign w:val="bottom"/>
          </w:tcPr>
          <w:p>
            <w:pPr>
              <w:ind w:left="360"/>
              <w:spacing w:after="0" w:line="202" w:lineRule="exact"/>
              <w:rPr>
                <w:sz w:val="20"/>
                <w:szCs w:val="20"/>
                <w:color w:val="auto"/>
              </w:rPr>
            </w:pPr>
            <w:r>
              <w:rPr>
                <w:rFonts w:ascii="Arial" w:cs="Arial" w:eastAsia="Arial" w:hAnsi="Arial"/>
                <w:sz w:val="18"/>
                <w:szCs w:val="18"/>
                <w:color w:val="auto"/>
              </w:rPr>
              <w:t>between ABM Industries Incorporated and Henrik C.</w:t>
            </w: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43"/>
        </w:trPr>
        <w:tc>
          <w:tcPr>
            <w:tcW w:w="900" w:type="dxa"/>
            <w:vAlign w:val="bottom"/>
          </w:tcPr>
          <w:p>
            <w:pPr>
              <w:spacing w:after="0"/>
              <w:rPr>
                <w:sz w:val="21"/>
                <w:szCs w:val="21"/>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Slipsager</w:t>
            </w: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16"/>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10.42*</w:t>
            </w:r>
          </w:p>
        </w:tc>
        <w:tc>
          <w:tcPr>
            <w:tcW w:w="5120" w:type="dxa"/>
            <w:vAlign w:val="bottom"/>
          </w:tcPr>
          <w:p>
            <w:pPr>
              <w:ind w:left="360"/>
              <w:spacing w:after="0"/>
              <w:rPr>
                <w:sz w:val="20"/>
                <w:szCs w:val="20"/>
                <w:color w:val="auto"/>
              </w:rPr>
            </w:pPr>
            <w:r>
              <w:rPr>
                <w:rFonts w:ascii="Arial" w:cs="Arial" w:eastAsia="Arial" w:hAnsi="Arial"/>
                <w:sz w:val="18"/>
                <w:szCs w:val="18"/>
                <w:color w:val="auto"/>
              </w:rPr>
              <w:t>Executive Employment Agreement, dated as of January</w:t>
            </w: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10.2</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January 16, 2015</w:t>
            </w:r>
          </w:p>
        </w:tc>
      </w:tr>
      <w:tr>
        <w:trPr>
          <w:trHeight w:val="203"/>
        </w:trPr>
        <w:tc>
          <w:tcPr>
            <w:tcW w:w="900" w:type="dxa"/>
            <w:vAlign w:val="bottom"/>
          </w:tcPr>
          <w:p>
            <w:pPr>
              <w:spacing w:after="0"/>
              <w:rPr>
                <w:sz w:val="17"/>
                <w:szCs w:val="17"/>
                <w:color w:val="auto"/>
              </w:rPr>
            </w:pPr>
          </w:p>
        </w:tc>
        <w:tc>
          <w:tcPr>
            <w:tcW w:w="5120" w:type="dxa"/>
            <w:vAlign w:val="bottom"/>
          </w:tcPr>
          <w:p>
            <w:pPr>
              <w:ind w:left="360"/>
              <w:spacing w:after="0" w:line="202" w:lineRule="exact"/>
              <w:rPr>
                <w:sz w:val="20"/>
                <w:szCs w:val="20"/>
                <w:color w:val="auto"/>
              </w:rPr>
            </w:pPr>
            <w:r>
              <w:rPr>
                <w:rFonts w:ascii="Arial" w:cs="Arial" w:eastAsia="Arial" w:hAnsi="Arial"/>
                <w:sz w:val="18"/>
                <w:szCs w:val="18"/>
                <w:color w:val="auto"/>
              </w:rPr>
              <w:t>12, 2015, by and between ABM Industries Incorporated</w:t>
            </w: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43"/>
        </w:trPr>
        <w:tc>
          <w:tcPr>
            <w:tcW w:w="900" w:type="dxa"/>
            <w:vAlign w:val="bottom"/>
          </w:tcPr>
          <w:p>
            <w:pPr>
              <w:spacing w:after="0"/>
              <w:rPr>
                <w:sz w:val="21"/>
                <w:szCs w:val="21"/>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and Scott Salmirs</w:t>
            </w: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16"/>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10.43*</w:t>
            </w:r>
          </w:p>
        </w:tc>
        <w:tc>
          <w:tcPr>
            <w:tcW w:w="5120" w:type="dxa"/>
            <w:vAlign w:val="bottom"/>
          </w:tcPr>
          <w:p>
            <w:pPr>
              <w:ind w:left="360"/>
              <w:spacing w:after="0"/>
              <w:rPr>
                <w:sz w:val="20"/>
                <w:szCs w:val="20"/>
                <w:color w:val="auto"/>
              </w:rPr>
            </w:pPr>
            <w:r>
              <w:rPr>
                <w:rFonts w:ascii="Arial" w:cs="Arial" w:eastAsia="Arial" w:hAnsi="Arial"/>
                <w:sz w:val="18"/>
                <w:szCs w:val="18"/>
                <w:color w:val="auto"/>
              </w:rPr>
              <w:t>Change in Control Agreement, dated as of January 12,</w:t>
            </w: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10.3</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January 16, 2015</w:t>
            </w:r>
          </w:p>
        </w:tc>
      </w:tr>
      <w:tr>
        <w:trPr>
          <w:trHeight w:val="203"/>
        </w:trPr>
        <w:tc>
          <w:tcPr>
            <w:tcW w:w="900" w:type="dxa"/>
            <w:vAlign w:val="bottom"/>
          </w:tcPr>
          <w:p>
            <w:pPr>
              <w:spacing w:after="0"/>
              <w:rPr>
                <w:sz w:val="17"/>
                <w:szCs w:val="17"/>
                <w:color w:val="auto"/>
              </w:rPr>
            </w:pPr>
          </w:p>
        </w:tc>
        <w:tc>
          <w:tcPr>
            <w:tcW w:w="5120" w:type="dxa"/>
            <w:vAlign w:val="bottom"/>
          </w:tcPr>
          <w:p>
            <w:pPr>
              <w:ind w:left="360"/>
              <w:spacing w:after="0" w:line="202" w:lineRule="exact"/>
              <w:rPr>
                <w:sz w:val="20"/>
                <w:szCs w:val="20"/>
                <w:color w:val="auto"/>
              </w:rPr>
            </w:pPr>
            <w:r>
              <w:rPr>
                <w:rFonts w:ascii="Arial" w:cs="Arial" w:eastAsia="Arial" w:hAnsi="Arial"/>
                <w:sz w:val="18"/>
                <w:szCs w:val="18"/>
                <w:color w:val="auto"/>
              </w:rPr>
              <w:t>2015 by and between ABM Industries Incorporated and</w:t>
            </w: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43"/>
        </w:trPr>
        <w:tc>
          <w:tcPr>
            <w:tcW w:w="900" w:type="dxa"/>
            <w:vAlign w:val="bottom"/>
          </w:tcPr>
          <w:p>
            <w:pPr>
              <w:spacing w:after="0"/>
              <w:rPr>
                <w:sz w:val="21"/>
                <w:szCs w:val="21"/>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Scott Salmirs</w:t>
            </w: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16"/>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10.44*</w:t>
            </w:r>
          </w:p>
        </w:tc>
        <w:tc>
          <w:tcPr>
            <w:tcW w:w="5120" w:type="dxa"/>
            <w:vAlign w:val="bottom"/>
          </w:tcPr>
          <w:p>
            <w:pPr>
              <w:ind w:left="360"/>
              <w:spacing w:after="0"/>
              <w:rPr>
                <w:sz w:val="20"/>
                <w:szCs w:val="20"/>
                <w:color w:val="auto"/>
              </w:rPr>
            </w:pPr>
            <w:r>
              <w:rPr>
                <w:rFonts w:ascii="Arial" w:cs="Arial" w:eastAsia="Arial" w:hAnsi="Arial"/>
                <w:sz w:val="18"/>
                <w:szCs w:val="18"/>
                <w:color w:val="auto"/>
              </w:rPr>
              <w:t>Amended Executive Employment Agreement, dated as of</w:t>
            </w:r>
          </w:p>
        </w:tc>
        <w:tc>
          <w:tcPr>
            <w:tcW w:w="820" w:type="dxa"/>
            <w:vAlign w:val="bottom"/>
          </w:tcPr>
          <w:p>
            <w:pPr>
              <w:jc w:val="center"/>
              <w:spacing w:after="0"/>
              <w:rPr>
                <w:sz w:val="20"/>
                <w:szCs w:val="20"/>
                <w:color w:val="auto"/>
              </w:rPr>
            </w:pPr>
            <w:r>
              <w:rPr>
                <w:rFonts w:ascii="Arial" w:cs="Arial" w:eastAsia="Arial" w:hAnsi="Arial"/>
                <w:sz w:val="18"/>
                <w:szCs w:val="18"/>
                <w:color w:val="auto"/>
              </w:rPr>
              <w:t>10-Q</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10.2</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March 4, 2015</w:t>
            </w:r>
          </w:p>
        </w:tc>
      </w:tr>
      <w:tr>
        <w:trPr>
          <w:trHeight w:val="203"/>
        </w:trPr>
        <w:tc>
          <w:tcPr>
            <w:tcW w:w="900" w:type="dxa"/>
            <w:vAlign w:val="bottom"/>
          </w:tcPr>
          <w:p>
            <w:pPr>
              <w:spacing w:after="0"/>
              <w:rPr>
                <w:sz w:val="17"/>
                <w:szCs w:val="17"/>
                <w:color w:val="auto"/>
              </w:rPr>
            </w:pPr>
          </w:p>
        </w:tc>
        <w:tc>
          <w:tcPr>
            <w:tcW w:w="5120" w:type="dxa"/>
            <w:vAlign w:val="bottom"/>
          </w:tcPr>
          <w:p>
            <w:pPr>
              <w:ind w:left="360"/>
              <w:spacing w:after="0" w:line="202" w:lineRule="exact"/>
              <w:rPr>
                <w:sz w:val="20"/>
                <w:szCs w:val="20"/>
                <w:color w:val="auto"/>
              </w:rPr>
            </w:pPr>
            <w:r>
              <w:rPr>
                <w:rFonts w:ascii="Arial" w:cs="Arial" w:eastAsia="Arial" w:hAnsi="Arial"/>
                <w:sz w:val="18"/>
                <w:szCs w:val="18"/>
                <w:color w:val="auto"/>
              </w:rPr>
              <w:t>January 13, 2015, by and between ABM Industries</w:t>
            </w: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43"/>
        </w:trPr>
        <w:tc>
          <w:tcPr>
            <w:tcW w:w="900" w:type="dxa"/>
            <w:vAlign w:val="bottom"/>
          </w:tcPr>
          <w:p>
            <w:pPr>
              <w:spacing w:after="0"/>
              <w:rPr>
                <w:sz w:val="21"/>
                <w:szCs w:val="21"/>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Incorporated and James P. McClure</w:t>
            </w: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16"/>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10.45*</w:t>
            </w:r>
          </w:p>
        </w:tc>
        <w:tc>
          <w:tcPr>
            <w:tcW w:w="5120" w:type="dxa"/>
            <w:vAlign w:val="bottom"/>
          </w:tcPr>
          <w:p>
            <w:pPr>
              <w:ind w:left="360"/>
              <w:spacing w:after="0"/>
              <w:rPr>
                <w:sz w:val="20"/>
                <w:szCs w:val="20"/>
                <w:color w:val="auto"/>
              </w:rPr>
            </w:pPr>
            <w:r>
              <w:rPr>
                <w:rFonts w:ascii="Arial" w:cs="Arial" w:eastAsia="Arial" w:hAnsi="Arial"/>
                <w:sz w:val="18"/>
                <w:szCs w:val="18"/>
                <w:color w:val="auto"/>
              </w:rPr>
              <w:t>Amended Executive Employment Agreement, dated as of</w:t>
            </w:r>
          </w:p>
        </w:tc>
        <w:tc>
          <w:tcPr>
            <w:tcW w:w="820" w:type="dxa"/>
            <w:vAlign w:val="bottom"/>
          </w:tcPr>
          <w:p>
            <w:pPr>
              <w:jc w:val="center"/>
              <w:spacing w:after="0"/>
              <w:rPr>
                <w:sz w:val="20"/>
                <w:szCs w:val="20"/>
                <w:color w:val="auto"/>
              </w:rPr>
            </w:pPr>
            <w:r>
              <w:rPr>
                <w:rFonts w:ascii="Arial" w:cs="Arial" w:eastAsia="Arial" w:hAnsi="Arial"/>
                <w:sz w:val="18"/>
                <w:szCs w:val="18"/>
                <w:color w:val="auto"/>
              </w:rPr>
              <w:t>10-Q</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10.3</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March 4, 2015</w:t>
            </w:r>
          </w:p>
        </w:tc>
      </w:tr>
      <w:tr>
        <w:trPr>
          <w:trHeight w:val="203"/>
        </w:trPr>
        <w:tc>
          <w:tcPr>
            <w:tcW w:w="900" w:type="dxa"/>
            <w:vAlign w:val="bottom"/>
          </w:tcPr>
          <w:p>
            <w:pPr>
              <w:spacing w:after="0"/>
              <w:rPr>
                <w:sz w:val="17"/>
                <w:szCs w:val="17"/>
                <w:color w:val="auto"/>
              </w:rPr>
            </w:pPr>
          </w:p>
        </w:tc>
        <w:tc>
          <w:tcPr>
            <w:tcW w:w="5120" w:type="dxa"/>
            <w:vAlign w:val="bottom"/>
          </w:tcPr>
          <w:p>
            <w:pPr>
              <w:ind w:left="360"/>
              <w:spacing w:after="0" w:line="202" w:lineRule="exact"/>
              <w:rPr>
                <w:sz w:val="20"/>
                <w:szCs w:val="20"/>
                <w:color w:val="auto"/>
              </w:rPr>
            </w:pPr>
            <w:r>
              <w:rPr>
                <w:rFonts w:ascii="Arial" w:cs="Arial" w:eastAsia="Arial" w:hAnsi="Arial"/>
                <w:sz w:val="18"/>
                <w:szCs w:val="18"/>
                <w:color w:val="auto"/>
              </w:rPr>
              <w:t>January 13, 2015, by and between ABM Industries</w:t>
            </w: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43"/>
        </w:trPr>
        <w:tc>
          <w:tcPr>
            <w:tcW w:w="900" w:type="dxa"/>
            <w:vAlign w:val="bottom"/>
          </w:tcPr>
          <w:p>
            <w:pPr>
              <w:spacing w:after="0"/>
              <w:rPr>
                <w:sz w:val="21"/>
                <w:szCs w:val="21"/>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Incorporated and Tracy K. Price</w:t>
            </w: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16"/>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10.46*</w:t>
            </w:r>
          </w:p>
        </w:tc>
        <w:tc>
          <w:tcPr>
            <w:tcW w:w="5120" w:type="dxa"/>
            <w:vAlign w:val="bottom"/>
          </w:tcPr>
          <w:p>
            <w:pPr>
              <w:ind w:left="360"/>
              <w:spacing w:after="0"/>
              <w:rPr>
                <w:sz w:val="20"/>
                <w:szCs w:val="20"/>
                <w:color w:val="auto"/>
              </w:rPr>
            </w:pPr>
            <w:r>
              <w:rPr>
                <w:rFonts w:ascii="Arial" w:cs="Arial" w:eastAsia="Arial" w:hAnsi="Arial"/>
                <w:sz w:val="18"/>
                <w:szCs w:val="18"/>
                <w:color w:val="auto"/>
              </w:rPr>
              <w:t>Executive Employment Agreement, dated as of April 6,</w:t>
            </w: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10.1</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April 10, 2015</w:t>
            </w:r>
          </w:p>
        </w:tc>
      </w:tr>
      <w:tr>
        <w:trPr>
          <w:trHeight w:val="203"/>
        </w:trPr>
        <w:tc>
          <w:tcPr>
            <w:tcW w:w="900" w:type="dxa"/>
            <w:vAlign w:val="bottom"/>
          </w:tcPr>
          <w:p>
            <w:pPr>
              <w:spacing w:after="0"/>
              <w:rPr>
                <w:sz w:val="17"/>
                <w:szCs w:val="17"/>
                <w:color w:val="auto"/>
              </w:rPr>
            </w:pPr>
          </w:p>
        </w:tc>
        <w:tc>
          <w:tcPr>
            <w:tcW w:w="5120" w:type="dxa"/>
            <w:vAlign w:val="bottom"/>
          </w:tcPr>
          <w:p>
            <w:pPr>
              <w:ind w:left="360"/>
              <w:spacing w:after="0" w:line="202" w:lineRule="exact"/>
              <w:rPr>
                <w:sz w:val="20"/>
                <w:szCs w:val="20"/>
                <w:color w:val="auto"/>
              </w:rPr>
            </w:pPr>
            <w:r>
              <w:rPr>
                <w:rFonts w:ascii="Arial" w:cs="Arial" w:eastAsia="Arial" w:hAnsi="Arial"/>
                <w:sz w:val="18"/>
                <w:szCs w:val="18"/>
                <w:color w:val="auto"/>
              </w:rPr>
              <w:t>2015, by and between ABM Industries Incorporated and</w:t>
            </w: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43"/>
        </w:trPr>
        <w:tc>
          <w:tcPr>
            <w:tcW w:w="900" w:type="dxa"/>
            <w:vAlign w:val="bottom"/>
          </w:tcPr>
          <w:p>
            <w:pPr>
              <w:spacing w:after="0"/>
              <w:rPr>
                <w:sz w:val="21"/>
                <w:szCs w:val="21"/>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D. Anthony Scaglione</w:t>
            </w: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16"/>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10.47*</w:t>
            </w:r>
          </w:p>
        </w:tc>
        <w:tc>
          <w:tcPr>
            <w:tcW w:w="5120" w:type="dxa"/>
            <w:vAlign w:val="bottom"/>
          </w:tcPr>
          <w:p>
            <w:pPr>
              <w:ind w:left="360"/>
              <w:spacing w:after="0"/>
              <w:rPr>
                <w:sz w:val="20"/>
                <w:szCs w:val="20"/>
                <w:color w:val="auto"/>
              </w:rPr>
            </w:pPr>
            <w:r>
              <w:rPr>
                <w:rFonts w:ascii="Arial" w:cs="Arial" w:eastAsia="Arial" w:hAnsi="Arial"/>
                <w:sz w:val="18"/>
                <w:szCs w:val="18"/>
                <w:color w:val="auto"/>
              </w:rPr>
              <w:t>Change in Control Agreement, dated as of April 6, 2015</w:t>
            </w: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10.2</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April 10, 2015</w:t>
            </w:r>
          </w:p>
        </w:tc>
      </w:tr>
      <w:tr>
        <w:trPr>
          <w:trHeight w:val="203"/>
        </w:trPr>
        <w:tc>
          <w:tcPr>
            <w:tcW w:w="900" w:type="dxa"/>
            <w:vAlign w:val="bottom"/>
          </w:tcPr>
          <w:p>
            <w:pPr>
              <w:spacing w:after="0"/>
              <w:rPr>
                <w:sz w:val="17"/>
                <w:szCs w:val="17"/>
                <w:color w:val="auto"/>
              </w:rPr>
            </w:pPr>
          </w:p>
        </w:tc>
        <w:tc>
          <w:tcPr>
            <w:tcW w:w="5120" w:type="dxa"/>
            <w:vAlign w:val="bottom"/>
          </w:tcPr>
          <w:p>
            <w:pPr>
              <w:ind w:left="360"/>
              <w:spacing w:after="0" w:line="202" w:lineRule="exact"/>
              <w:rPr>
                <w:sz w:val="20"/>
                <w:szCs w:val="20"/>
                <w:color w:val="auto"/>
              </w:rPr>
            </w:pPr>
            <w:r>
              <w:rPr>
                <w:rFonts w:ascii="Arial" w:cs="Arial" w:eastAsia="Arial" w:hAnsi="Arial"/>
                <w:sz w:val="18"/>
                <w:szCs w:val="18"/>
                <w:color w:val="auto"/>
              </w:rPr>
              <w:t>by and between ABM Industries Incorporated and D.</w:t>
            </w: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43"/>
        </w:trPr>
        <w:tc>
          <w:tcPr>
            <w:tcW w:w="900" w:type="dxa"/>
            <w:vAlign w:val="bottom"/>
          </w:tcPr>
          <w:p>
            <w:pPr>
              <w:spacing w:after="0"/>
              <w:rPr>
                <w:sz w:val="21"/>
                <w:szCs w:val="21"/>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Anthony Scaglione</w:t>
            </w: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16"/>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10.48*</w:t>
            </w:r>
          </w:p>
        </w:tc>
        <w:tc>
          <w:tcPr>
            <w:tcW w:w="5120" w:type="dxa"/>
            <w:vAlign w:val="bottom"/>
          </w:tcPr>
          <w:p>
            <w:pPr>
              <w:ind w:left="360"/>
              <w:spacing w:after="0"/>
              <w:rPr>
                <w:sz w:val="20"/>
                <w:szCs w:val="20"/>
                <w:color w:val="auto"/>
              </w:rPr>
            </w:pPr>
            <w:r>
              <w:rPr>
                <w:rFonts w:ascii="Arial" w:cs="Arial" w:eastAsia="Arial" w:hAnsi="Arial"/>
                <w:sz w:val="18"/>
                <w:szCs w:val="18"/>
                <w:color w:val="auto"/>
              </w:rPr>
              <w:t>Letter Agreement by and between ABM Industries</w:t>
            </w:r>
          </w:p>
        </w:tc>
        <w:tc>
          <w:tcPr>
            <w:tcW w:w="820" w:type="dxa"/>
            <w:vAlign w:val="bottom"/>
          </w:tcPr>
          <w:p>
            <w:pPr>
              <w:jc w:val="center"/>
              <w:spacing w:after="0"/>
              <w:rPr>
                <w:sz w:val="20"/>
                <w:szCs w:val="20"/>
                <w:color w:val="auto"/>
              </w:rPr>
            </w:pPr>
            <w:r>
              <w:rPr>
                <w:rFonts w:ascii="Arial" w:cs="Arial" w:eastAsia="Arial" w:hAnsi="Arial"/>
                <w:sz w:val="18"/>
                <w:szCs w:val="18"/>
                <w:color w:val="auto"/>
              </w:rPr>
              <w:t>10-Q</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10.6</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w w:val="99"/>
              </w:rPr>
              <w:t>June 3, 2015</w:t>
            </w:r>
          </w:p>
        </w:tc>
      </w:tr>
      <w:tr>
        <w:trPr>
          <w:trHeight w:val="203"/>
        </w:trPr>
        <w:tc>
          <w:tcPr>
            <w:tcW w:w="900" w:type="dxa"/>
            <w:vAlign w:val="bottom"/>
          </w:tcPr>
          <w:p>
            <w:pPr>
              <w:spacing w:after="0"/>
              <w:rPr>
                <w:sz w:val="17"/>
                <w:szCs w:val="17"/>
                <w:color w:val="auto"/>
              </w:rPr>
            </w:pPr>
          </w:p>
        </w:tc>
        <w:tc>
          <w:tcPr>
            <w:tcW w:w="5120" w:type="dxa"/>
            <w:vAlign w:val="bottom"/>
          </w:tcPr>
          <w:p>
            <w:pPr>
              <w:ind w:left="360"/>
              <w:spacing w:after="0" w:line="202" w:lineRule="exact"/>
              <w:rPr>
                <w:sz w:val="20"/>
                <w:szCs w:val="20"/>
                <w:color w:val="auto"/>
              </w:rPr>
            </w:pPr>
            <w:r>
              <w:rPr>
                <w:rFonts w:ascii="Arial" w:cs="Arial" w:eastAsia="Arial" w:hAnsi="Arial"/>
                <w:sz w:val="18"/>
                <w:szCs w:val="18"/>
                <w:color w:val="auto"/>
              </w:rPr>
              <w:t>Incorporated and James S. Lusk, executed on April 27,</w:t>
            </w: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43"/>
        </w:trPr>
        <w:tc>
          <w:tcPr>
            <w:tcW w:w="900" w:type="dxa"/>
            <w:vAlign w:val="bottom"/>
          </w:tcPr>
          <w:p>
            <w:pPr>
              <w:spacing w:after="0"/>
              <w:rPr>
                <w:sz w:val="21"/>
                <w:szCs w:val="21"/>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2015</w:t>
            </w: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16"/>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10.49*</w:t>
            </w:r>
          </w:p>
        </w:tc>
        <w:tc>
          <w:tcPr>
            <w:tcW w:w="5120" w:type="dxa"/>
            <w:vAlign w:val="bottom"/>
          </w:tcPr>
          <w:p>
            <w:pPr>
              <w:ind w:left="360"/>
              <w:spacing w:after="0"/>
              <w:rPr>
                <w:sz w:val="20"/>
                <w:szCs w:val="20"/>
                <w:color w:val="auto"/>
              </w:rPr>
            </w:pPr>
            <w:r>
              <w:rPr>
                <w:rFonts w:ascii="Arial" w:cs="Arial" w:eastAsia="Arial" w:hAnsi="Arial"/>
                <w:sz w:val="18"/>
                <w:szCs w:val="18"/>
                <w:color w:val="auto"/>
              </w:rPr>
              <w:t>Separation and Transition Services Agreement by and</w:t>
            </w: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10.1</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w w:val="99"/>
              </w:rPr>
              <w:t>October 1, 2015</w:t>
            </w:r>
          </w:p>
        </w:tc>
      </w:tr>
      <w:tr>
        <w:trPr>
          <w:trHeight w:val="203"/>
        </w:trPr>
        <w:tc>
          <w:tcPr>
            <w:tcW w:w="900" w:type="dxa"/>
            <w:vAlign w:val="bottom"/>
          </w:tcPr>
          <w:p>
            <w:pPr>
              <w:spacing w:after="0"/>
              <w:rPr>
                <w:sz w:val="17"/>
                <w:szCs w:val="17"/>
                <w:color w:val="auto"/>
              </w:rPr>
            </w:pPr>
          </w:p>
        </w:tc>
        <w:tc>
          <w:tcPr>
            <w:tcW w:w="5120" w:type="dxa"/>
            <w:vAlign w:val="bottom"/>
          </w:tcPr>
          <w:p>
            <w:pPr>
              <w:ind w:left="360"/>
              <w:spacing w:after="0" w:line="202" w:lineRule="exact"/>
              <w:rPr>
                <w:sz w:val="20"/>
                <w:szCs w:val="20"/>
                <w:color w:val="auto"/>
              </w:rPr>
            </w:pPr>
            <w:r>
              <w:rPr>
                <w:rFonts w:ascii="Arial" w:cs="Arial" w:eastAsia="Arial" w:hAnsi="Arial"/>
                <w:sz w:val="18"/>
                <w:szCs w:val="18"/>
                <w:color w:val="auto"/>
              </w:rPr>
              <w:t>between Tracy K. Price and ABM Industries Incorporated,</w:t>
            </w: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43"/>
        </w:trPr>
        <w:tc>
          <w:tcPr>
            <w:tcW w:w="900" w:type="dxa"/>
            <w:vAlign w:val="bottom"/>
          </w:tcPr>
          <w:p>
            <w:pPr>
              <w:spacing w:after="0"/>
              <w:rPr>
                <w:sz w:val="21"/>
                <w:szCs w:val="21"/>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executed on September 25, 2015</w:t>
            </w: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469"/>
        </w:trPr>
        <w:tc>
          <w:tcPr>
            <w:tcW w:w="900" w:type="dxa"/>
            <w:vAlign w:val="bottom"/>
          </w:tcPr>
          <w:p>
            <w:pPr>
              <w:spacing w:after="0"/>
              <w:rPr>
                <w:sz w:val="24"/>
                <w:szCs w:val="24"/>
                <w:color w:val="auto"/>
              </w:rPr>
            </w:pPr>
          </w:p>
        </w:tc>
        <w:tc>
          <w:tcPr>
            <w:tcW w:w="5120" w:type="dxa"/>
            <w:vAlign w:val="bottom"/>
          </w:tcPr>
          <w:p>
            <w:pPr>
              <w:ind w:left="4680"/>
              <w:spacing w:after="0"/>
              <w:rPr>
                <w:sz w:val="20"/>
                <w:szCs w:val="20"/>
                <w:color w:val="auto"/>
              </w:rPr>
            </w:pPr>
            <w:r>
              <w:rPr>
                <w:rFonts w:ascii="Times New Roman" w:cs="Times New Roman" w:eastAsia="Times New Roman" w:hAnsi="Times New Roman"/>
                <w:sz w:val="18"/>
                <w:szCs w:val="18"/>
                <w:color w:val="auto"/>
              </w:rPr>
              <w:t>99</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1100"/>
          </w:cols>
          <w:pgMar w:left="280" w:top="517" w:right="519" w:bottom="1440" w:gutter="0" w:footer="0" w:header="0"/>
        </w:sectPr>
      </w:pPr>
    </w:p>
    <w:bookmarkStart w:id="103" w:name="page104"/>
    <w:bookmarkEnd w:id="103"/>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10.50*</w:t>
            </w:r>
          </w:p>
        </w:tc>
        <w:tc>
          <w:tcPr>
            <w:tcW w:w="4880" w:type="dxa"/>
            <w:vAlign w:val="bottom"/>
          </w:tcPr>
          <w:p>
            <w:pPr>
              <w:ind w:left="180"/>
              <w:spacing w:after="0"/>
              <w:rPr>
                <w:sz w:val="20"/>
                <w:szCs w:val="20"/>
                <w:color w:val="auto"/>
              </w:rPr>
            </w:pPr>
            <w:r>
              <w:rPr>
                <w:rFonts w:ascii="Arial" w:cs="Arial" w:eastAsia="Arial" w:hAnsi="Arial"/>
                <w:sz w:val="18"/>
                <w:szCs w:val="18"/>
                <w:color w:val="auto"/>
              </w:rPr>
              <w:t>Change in Control Agreement, dated as of March 9,</w:t>
            </w:r>
          </w:p>
        </w:tc>
        <w:tc>
          <w:tcPr>
            <w:tcW w:w="820" w:type="dxa"/>
            <w:vAlign w:val="bottom"/>
          </w:tcPr>
          <w:p>
            <w:pPr>
              <w:ind w:left="180"/>
              <w:spacing w:after="0"/>
              <w:rPr>
                <w:sz w:val="20"/>
                <w:szCs w:val="20"/>
                <w:color w:val="auto"/>
              </w:rPr>
            </w:pPr>
            <w:r>
              <w:rPr>
                <w:rFonts w:ascii="Arial" w:cs="Arial" w:eastAsia="Arial" w:hAnsi="Arial"/>
                <w:sz w:val="18"/>
                <w:szCs w:val="18"/>
                <w:color w:val="auto"/>
              </w:rPr>
              <w:t>10-Q</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001-08929</w:t>
            </w: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10.1</w:t>
            </w:r>
          </w:p>
        </w:tc>
        <w:tc>
          <w:tcPr>
            <w:tcW w:w="1620" w:type="dxa"/>
            <w:vAlign w:val="bottom"/>
          </w:tcPr>
          <w:p>
            <w:pPr>
              <w:ind w:left="480"/>
              <w:spacing w:after="0"/>
              <w:rPr>
                <w:sz w:val="20"/>
                <w:szCs w:val="20"/>
                <w:color w:val="auto"/>
              </w:rPr>
            </w:pPr>
            <w:r>
              <w:rPr>
                <w:rFonts w:ascii="Arial" w:cs="Arial" w:eastAsia="Arial" w:hAnsi="Arial"/>
                <w:sz w:val="18"/>
                <w:szCs w:val="18"/>
                <w:color w:val="auto"/>
                <w:w w:val="97"/>
              </w:rPr>
              <w:t>March 9, 2016</w:t>
            </w:r>
          </w:p>
        </w:tc>
      </w:tr>
      <w:tr>
        <w:trPr>
          <w:trHeight w:val="203"/>
        </w:trPr>
        <w:tc>
          <w:tcPr>
            <w:tcW w:w="1040" w:type="dxa"/>
            <w:vAlign w:val="bottom"/>
          </w:tcPr>
          <w:p>
            <w:pPr>
              <w:spacing w:after="0"/>
              <w:rPr>
                <w:sz w:val="17"/>
                <w:szCs w:val="17"/>
                <w:color w:val="auto"/>
              </w:rPr>
            </w:pPr>
          </w:p>
        </w:tc>
        <w:tc>
          <w:tcPr>
            <w:tcW w:w="4880" w:type="dxa"/>
            <w:vAlign w:val="bottom"/>
          </w:tcPr>
          <w:p>
            <w:pPr>
              <w:ind w:left="180"/>
              <w:spacing w:after="0" w:line="202" w:lineRule="exact"/>
              <w:rPr>
                <w:sz w:val="20"/>
                <w:szCs w:val="20"/>
                <w:color w:val="auto"/>
              </w:rPr>
            </w:pPr>
            <w:r>
              <w:rPr>
                <w:rFonts w:ascii="Arial" w:cs="Arial" w:eastAsia="Arial" w:hAnsi="Arial"/>
                <w:sz w:val="18"/>
                <w:szCs w:val="18"/>
                <w:color w:val="auto"/>
              </w:rPr>
              <w:t>2016 by and between ABM Industries Incorporated and</w:t>
            </w: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43"/>
        </w:trPr>
        <w:tc>
          <w:tcPr>
            <w:tcW w:w="1040" w:type="dxa"/>
            <w:vAlign w:val="bottom"/>
          </w:tcPr>
          <w:p>
            <w:pPr>
              <w:spacing w:after="0"/>
              <w:rPr>
                <w:sz w:val="21"/>
                <w:szCs w:val="21"/>
                <w:color w:val="auto"/>
              </w:rPr>
            </w:pPr>
          </w:p>
        </w:tc>
        <w:tc>
          <w:tcPr>
            <w:tcW w:w="4880" w:type="dxa"/>
            <w:vAlign w:val="bottom"/>
          </w:tcPr>
          <w:p>
            <w:pPr>
              <w:ind w:left="180"/>
              <w:spacing w:after="0"/>
              <w:rPr>
                <w:sz w:val="20"/>
                <w:szCs w:val="20"/>
                <w:color w:val="auto"/>
              </w:rPr>
            </w:pPr>
            <w:r>
              <w:rPr>
                <w:rFonts w:ascii="Arial" w:cs="Arial" w:eastAsia="Arial" w:hAnsi="Arial"/>
                <w:sz w:val="18"/>
                <w:szCs w:val="18"/>
                <w:color w:val="auto"/>
              </w:rPr>
              <w:t>Dean A. Chin</w:t>
            </w:r>
          </w:p>
        </w:tc>
        <w:tc>
          <w:tcPr>
            <w:tcW w:w="8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10.51*</w:t>
            </w:r>
          </w:p>
        </w:tc>
        <w:tc>
          <w:tcPr>
            <w:tcW w:w="4880" w:type="dxa"/>
            <w:vAlign w:val="bottom"/>
          </w:tcPr>
          <w:p>
            <w:pPr>
              <w:ind w:left="180"/>
              <w:spacing w:after="0"/>
              <w:rPr>
                <w:sz w:val="20"/>
                <w:szCs w:val="20"/>
                <w:color w:val="auto"/>
              </w:rPr>
            </w:pPr>
            <w:r>
              <w:rPr>
                <w:rFonts w:ascii="Arial" w:cs="Arial" w:eastAsia="Arial" w:hAnsi="Arial"/>
                <w:sz w:val="18"/>
                <w:szCs w:val="18"/>
                <w:color w:val="auto"/>
              </w:rPr>
              <w:t>Executive Employment Agreement, dated as of January</w:t>
            </w:r>
          </w:p>
        </w:tc>
        <w:tc>
          <w:tcPr>
            <w:tcW w:w="820" w:type="dxa"/>
            <w:vAlign w:val="bottom"/>
          </w:tcPr>
          <w:p>
            <w:pPr>
              <w:ind w:left="180"/>
              <w:spacing w:after="0"/>
              <w:rPr>
                <w:sz w:val="20"/>
                <w:szCs w:val="20"/>
                <w:color w:val="auto"/>
              </w:rPr>
            </w:pPr>
            <w:r>
              <w:rPr>
                <w:rFonts w:ascii="Arial" w:cs="Arial" w:eastAsia="Arial" w:hAnsi="Arial"/>
                <w:sz w:val="18"/>
                <w:szCs w:val="18"/>
                <w:color w:val="auto"/>
              </w:rPr>
              <w:t>10-Q</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001-08929</w:t>
            </w: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10.2</w:t>
            </w:r>
          </w:p>
        </w:tc>
        <w:tc>
          <w:tcPr>
            <w:tcW w:w="1620" w:type="dxa"/>
            <w:vAlign w:val="bottom"/>
          </w:tcPr>
          <w:p>
            <w:pPr>
              <w:ind w:left="480"/>
              <w:spacing w:after="0"/>
              <w:rPr>
                <w:sz w:val="20"/>
                <w:szCs w:val="20"/>
                <w:color w:val="auto"/>
              </w:rPr>
            </w:pPr>
            <w:r>
              <w:rPr>
                <w:rFonts w:ascii="Arial" w:cs="Arial" w:eastAsia="Arial" w:hAnsi="Arial"/>
                <w:sz w:val="18"/>
                <w:szCs w:val="18"/>
                <w:color w:val="auto"/>
                <w:w w:val="97"/>
              </w:rPr>
              <w:t>March 9, 2016</w:t>
            </w:r>
          </w:p>
        </w:tc>
      </w:tr>
      <w:tr>
        <w:trPr>
          <w:trHeight w:val="203"/>
        </w:trPr>
        <w:tc>
          <w:tcPr>
            <w:tcW w:w="1040" w:type="dxa"/>
            <w:vAlign w:val="bottom"/>
          </w:tcPr>
          <w:p>
            <w:pPr>
              <w:spacing w:after="0"/>
              <w:rPr>
                <w:sz w:val="17"/>
                <w:szCs w:val="17"/>
                <w:color w:val="auto"/>
              </w:rPr>
            </w:pPr>
          </w:p>
        </w:tc>
        <w:tc>
          <w:tcPr>
            <w:tcW w:w="4880" w:type="dxa"/>
            <w:vAlign w:val="bottom"/>
          </w:tcPr>
          <w:p>
            <w:pPr>
              <w:ind w:left="180"/>
              <w:spacing w:after="0" w:line="202" w:lineRule="exact"/>
              <w:rPr>
                <w:sz w:val="20"/>
                <w:szCs w:val="20"/>
                <w:color w:val="auto"/>
              </w:rPr>
            </w:pPr>
            <w:r>
              <w:rPr>
                <w:rFonts w:ascii="Arial" w:cs="Arial" w:eastAsia="Arial" w:hAnsi="Arial"/>
                <w:sz w:val="18"/>
                <w:szCs w:val="18"/>
                <w:color w:val="auto"/>
              </w:rPr>
              <w:t>16, 2016 by and between ABM Industries Incorporated</w:t>
            </w: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43"/>
        </w:trPr>
        <w:tc>
          <w:tcPr>
            <w:tcW w:w="1040" w:type="dxa"/>
            <w:vAlign w:val="bottom"/>
          </w:tcPr>
          <w:p>
            <w:pPr>
              <w:spacing w:after="0"/>
              <w:rPr>
                <w:sz w:val="21"/>
                <w:szCs w:val="21"/>
                <w:color w:val="auto"/>
              </w:rPr>
            </w:pPr>
          </w:p>
        </w:tc>
        <w:tc>
          <w:tcPr>
            <w:tcW w:w="4880" w:type="dxa"/>
            <w:vAlign w:val="bottom"/>
          </w:tcPr>
          <w:p>
            <w:pPr>
              <w:ind w:left="180"/>
              <w:spacing w:after="0"/>
              <w:rPr>
                <w:sz w:val="20"/>
                <w:szCs w:val="20"/>
                <w:color w:val="auto"/>
              </w:rPr>
            </w:pPr>
            <w:r>
              <w:rPr>
                <w:rFonts w:ascii="Arial" w:cs="Arial" w:eastAsia="Arial" w:hAnsi="Arial"/>
                <w:sz w:val="18"/>
                <w:szCs w:val="18"/>
                <w:color w:val="auto"/>
              </w:rPr>
              <w:t>and Dean A. Chin</w:t>
            </w:r>
          </w:p>
        </w:tc>
        <w:tc>
          <w:tcPr>
            <w:tcW w:w="8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57"/>
        </w:trPr>
        <w:tc>
          <w:tcPr>
            <w:tcW w:w="1040" w:type="dxa"/>
            <w:vAlign w:val="bottom"/>
          </w:tcPr>
          <w:p>
            <w:pPr>
              <w:spacing w:after="0"/>
              <w:rPr>
                <w:sz w:val="20"/>
                <w:szCs w:val="20"/>
                <w:color w:val="auto"/>
              </w:rPr>
            </w:pPr>
            <w:r>
              <w:rPr>
                <w:rFonts w:ascii="Arial" w:cs="Arial" w:eastAsia="Arial" w:hAnsi="Arial"/>
                <w:sz w:val="18"/>
                <w:szCs w:val="18"/>
                <w:color w:val="auto"/>
              </w:rPr>
              <w:t>21.1‡</w:t>
            </w:r>
          </w:p>
        </w:tc>
        <w:tc>
          <w:tcPr>
            <w:tcW w:w="4880" w:type="dxa"/>
            <w:vAlign w:val="bottom"/>
          </w:tcPr>
          <w:p>
            <w:pPr>
              <w:ind w:left="180"/>
              <w:spacing w:after="0"/>
              <w:rPr>
                <w:sz w:val="20"/>
                <w:szCs w:val="20"/>
                <w:color w:val="auto"/>
              </w:rPr>
            </w:pPr>
            <w:r>
              <w:rPr>
                <w:rFonts w:ascii="Arial" w:cs="Arial" w:eastAsia="Arial" w:hAnsi="Arial"/>
                <w:sz w:val="18"/>
                <w:szCs w:val="18"/>
                <w:color w:val="auto"/>
              </w:rPr>
              <w:t>Subsidiaries of the Registrant</w:t>
            </w:r>
          </w:p>
        </w:tc>
        <w:tc>
          <w:tcPr>
            <w:tcW w:w="8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23.1‡</w:t>
            </w:r>
          </w:p>
        </w:tc>
        <w:tc>
          <w:tcPr>
            <w:tcW w:w="4880" w:type="dxa"/>
            <w:vAlign w:val="bottom"/>
          </w:tcPr>
          <w:p>
            <w:pPr>
              <w:ind w:left="180"/>
              <w:spacing w:after="0"/>
              <w:rPr>
                <w:sz w:val="20"/>
                <w:szCs w:val="20"/>
                <w:color w:val="auto"/>
              </w:rPr>
            </w:pPr>
            <w:r>
              <w:rPr>
                <w:rFonts w:ascii="Arial" w:cs="Arial" w:eastAsia="Arial" w:hAnsi="Arial"/>
                <w:sz w:val="18"/>
                <w:szCs w:val="18"/>
                <w:color w:val="auto"/>
              </w:rPr>
              <w:t>Consent of Independent Registered Public Accounting</w:t>
            </w:r>
          </w:p>
        </w:tc>
        <w:tc>
          <w:tcPr>
            <w:tcW w:w="8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43"/>
        </w:trPr>
        <w:tc>
          <w:tcPr>
            <w:tcW w:w="1040" w:type="dxa"/>
            <w:vAlign w:val="bottom"/>
          </w:tcPr>
          <w:p>
            <w:pPr>
              <w:spacing w:after="0"/>
              <w:rPr>
                <w:sz w:val="21"/>
                <w:szCs w:val="21"/>
                <w:color w:val="auto"/>
              </w:rPr>
            </w:pPr>
          </w:p>
        </w:tc>
        <w:tc>
          <w:tcPr>
            <w:tcW w:w="4880" w:type="dxa"/>
            <w:vAlign w:val="bottom"/>
          </w:tcPr>
          <w:p>
            <w:pPr>
              <w:ind w:left="180"/>
              <w:spacing w:after="0"/>
              <w:rPr>
                <w:sz w:val="20"/>
                <w:szCs w:val="20"/>
                <w:color w:val="auto"/>
              </w:rPr>
            </w:pPr>
            <w:r>
              <w:rPr>
                <w:rFonts w:ascii="Arial" w:cs="Arial" w:eastAsia="Arial" w:hAnsi="Arial"/>
                <w:sz w:val="18"/>
                <w:szCs w:val="18"/>
                <w:color w:val="auto"/>
              </w:rPr>
              <w:t>Firm</w:t>
            </w:r>
          </w:p>
        </w:tc>
        <w:tc>
          <w:tcPr>
            <w:tcW w:w="8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4880" w:type="dxa"/>
            <w:vAlign w:val="bottom"/>
          </w:tcPr>
          <w:p>
            <w:pPr>
              <w:ind w:left="180"/>
              <w:spacing w:after="0"/>
              <w:rPr>
                <w:sz w:val="20"/>
                <w:szCs w:val="20"/>
                <w:color w:val="auto"/>
              </w:rPr>
            </w:pPr>
            <w:r>
              <w:rPr>
                <w:rFonts w:ascii="Arial" w:cs="Arial" w:eastAsia="Arial" w:hAnsi="Arial"/>
                <w:sz w:val="18"/>
                <w:szCs w:val="18"/>
                <w:color w:val="auto"/>
              </w:rPr>
              <w:t>Certification of Chief Executive Officer pursuant to</w:t>
            </w:r>
          </w:p>
        </w:tc>
        <w:tc>
          <w:tcPr>
            <w:tcW w:w="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03"/>
        </w:trPr>
        <w:tc>
          <w:tcPr>
            <w:tcW w:w="1040" w:type="dxa"/>
            <w:vAlign w:val="bottom"/>
          </w:tcPr>
          <w:p>
            <w:pPr>
              <w:spacing w:after="0"/>
              <w:rPr>
                <w:sz w:val="17"/>
                <w:szCs w:val="17"/>
                <w:color w:val="auto"/>
              </w:rPr>
            </w:pPr>
          </w:p>
        </w:tc>
        <w:tc>
          <w:tcPr>
            <w:tcW w:w="4880" w:type="dxa"/>
            <w:vAlign w:val="bottom"/>
          </w:tcPr>
          <w:p>
            <w:pPr>
              <w:ind w:left="180"/>
              <w:spacing w:after="0" w:line="202" w:lineRule="exact"/>
              <w:rPr>
                <w:sz w:val="20"/>
                <w:szCs w:val="20"/>
                <w:color w:val="auto"/>
              </w:rPr>
            </w:pPr>
            <w:r>
              <w:rPr>
                <w:rFonts w:ascii="Arial" w:cs="Arial" w:eastAsia="Arial" w:hAnsi="Arial"/>
                <w:sz w:val="18"/>
                <w:szCs w:val="18"/>
                <w:color w:val="auto"/>
              </w:rPr>
              <w:t>Securities Exchange Act of 1934 Rule 13a-14(a) or 15d-</w:t>
            </w: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040" w:type="dxa"/>
            <w:vAlign w:val="bottom"/>
          </w:tcPr>
          <w:p>
            <w:pPr>
              <w:spacing w:after="0"/>
              <w:rPr>
                <w:sz w:val="17"/>
                <w:szCs w:val="17"/>
                <w:color w:val="auto"/>
              </w:rPr>
            </w:pPr>
          </w:p>
        </w:tc>
        <w:tc>
          <w:tcPr>
            <w:tcW w:w="4880" w:type="dxa"/>
            <w:vAlign w:val="bottom"/>
          </w:tcPr>
          <w:p>
            <w:pPr>
              <w:ind w:left="180"/>
              <w:spacing w:after="0" w:line="202" w:lineRule="exact"/>
              <w:rPr>
                <w:sz w:val="20"/>
                <w:szCs w:val="20"/>
                <w:color w:val="auto"/>
              </w:rPr>
            </w:pPr>
            <w:r>
              <w:rPr>
                <w:rFonts w:ascii="Arial" w:cs="Arial" w:eastAsia="Arial" w:hAnsi="Arial"/>
                <w:sz w:val="18"/>
                <w:szCs w:val="18"/>
                <w:color w:val="auto"/>
              </w:rPr>
              <w:t>14(a), as adopted pursuant to Section 302 of the</w:t>
            </w: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43"/>
        </w:trPr>
        <w:tc>
          <w:tcPr>
            <w:tcW w:w="1040" w:type="dxa"/>
            <w:vAlign w:val="bottom"/>
          </w:tcPr>
          <w:p>
            <w:pPr>
              <w:spacing w:after="0"/>
              <w:rPr>
                <w:sz w:val="21"/>
                <w:szCs w:val="21"/>
                <w:color w:val="auto"/>
              </w:rPr>
            </w:pPr>
          </w:p>
        </w:tc>
        <w:tc>
          <w:tcPr>
            <w:tcW w:w="4880" w:type="dxa"/>
            <w:vAlign w:val="bottom"/>
          </w:tcPr>
          <w:p>
            <w:pPr>
              <w:ind w:left="180"/>
              <w:spacing w:after="0"/>
              <w:rPr>
                <w:sz w:val="20"/>
                <w:szCs w:val="20"/>
                <w:color w:val="auto"/>
              </w:rPr>
            </w:pPr>
            <w:r>
              <w:rPr>
                <w:rFonts w:ascii="Arial" w:cs="Arial" w:eastAsia="Arial" w:hAnsi="Arial"/>
                <w:sz w:val="18"/>
                <w:szCs w:val="18"/>
                <w:color w:val="auto"/>
              </w:rPr>
              <w:t>Sarbanes-Oxley Act of 2002</w:t>
            </w:r>
          </w:p>
        </w:tc>
        <w:tc>
          <w:tcPr>
            <w:tcW w:w="8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4880" w:type="dxa"/>
            <w:vAlign w:val="bottom"/>
          </w:tcPr>
          <w:p>
            <w:pPr>
              <w:ind w:left="180"/>
              <w:spacing w:after="0"/>
              <w:rPr>
                <w:sz w:val="20"/>
                <w:szCs w:val="20"/>
                <w:color w:val="auto"/>
              </w:rPr>
            </w:pPr>
            <w:r>
              <w:rPr>
                <w:rFonts w:ascii="Arial" w:cs="Arial" w:eastAsia="Arial" w:hAnsi="Arial"/>
                <w:sz w:val="18"/>
                <w:szCs w:val="18"/>
                <w:color w:val="auto"/>
              </w:rPr>
              <w:t>Certification of Chief Financial Officer pursuant to</w:t>
            </w:r>
          </w:p>
        </w:tc>
        <w:tc>
          <w:tcPr>
            <w:tcW w:w="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03"/>
        </w:trPr>
        <w:tc>
          <w:tcPr>
            <w:tcW w:w="1040" w:type="dxa"/>
            <w:vAlign w:val="bottom"/>
          </w:tcPr>
          <w:p>
            <w:pPr>
              <w:spacing w:after="0"/>
              <w:rPr>
                <w:sz w:val="17"/>
                <w:szCs w:val="17"/>
                <w:color w:val="auto"/>
              </w:rPr>
            </w:pPr>
          </w:p>
        </w:tc>
        <w:tc>
          <w:tcPr>
            <w:tcW w:w="4880" w:type="dxa"/>
            <w:vAlign w:val="bottom"/>
          </w:tcPr>
          <w:p>
            <w:pPr>
              <w:ind w:left="180"/>
              <w:spacing w:after="0" w:line="202" w:lineRule="exact"/>
              <w:rPr>
                <w:sz w:val="20"/>
                <w:szCs w:val="20"/>
                <w:color w:val="auto"/>
              </w:rPr>
            </w:pPr>
            <w:r>
              <w:rPr>
                <w:rFonts w:ascii="Arial" w:cs="Arial" w:eastAsia="Arial" w:hAnsi="Arial"/>
                <w:sz w:val="18"/>
                <w:szCs w:val="18"/>
                <w:color w:val="auto"/>
              </w:rPr>
              <w:t>Securities Exchange Act of 1934 Rule 13a-14(a) or 15d-</w:t>
            </w: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040" w:type="dxa"/>
            <w:vAlign w:val="bottom"/>
          </w:tcPr>
          <w:p>
            <w:pPr>
              <w:spacing w:after="0"/>
              <w:rPr>
                <w:sz w:val="17"/>
                <w:szCs w:val="17"/>
                <w:color w:val="auto"/>
              </w:rPr>
            </w:pPr>
          </w:p>
        </w:tc>
        <w:tc>
          <w:tcPr>
            <w:tcW w:w="4880" w:type="dxa"/>
            <w:vAlign w:val="bottom"/>
          </w:tcPr>
          <w:p>
            <w:pPr>
              <w:ind w:left="180"/>
              <w:spacing w:after="0" w:line="202" w:lineRule="exact"/>
              <w:rPr>
                <w:sz w:val="20"/>
                <w:szCs w:val="20"/>
                <w:color w:val="auto"/>
              </w:rPr>
            </w:pPr>
            <w:r>
              <w:rPr>
                <w:rFonts w:ascii="Arial" w:cs="Arial" w:eastAsia="Arial" w:hAnsi="Arial"/>
                <w:sz w:val="18"/>
                <w:szCs w:val="18"/>
                <w:color w:val="auto"/>
              </w:rPr>
              <w:t>14(a), as adopted pursuant to Section 302 of the</w:t>
            </w: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43"/>
        </w:trPr>
        <w:tc>
          <w:tcPr>
            <w:tcW w:w="1040" w:type="dxa"/>
            <w:vAlign w:val="bottom"/>
          </w:tcPr>
          <w:p>
            <w:pPr>
              <w:spacing w:after="0"/>
              <w:rPr>
                <w:sz w:val="21"/>
                <w:szCs w:val="21"/>
                <w:color w:val="auto"/>
              </w:rPr>
            </w:pPr>
          </w:p>
        </w:tc>
        <w:tc>
          <w:tcPr>
            <w:tcW w:w="4880" w:type="dxa"/>
            <w:vAlign w:val="bottom"/>
          </w:tcPr>
          <w:p>
            <w:pPr>
              <w:ind w:left="180"/>
              <w:spacing w:after="0"/>
              <w:rPr>
                <w:sz w:val="20"/>
                <w:szCs w:val="20"/>
                <w:color w:val="auto"/>
              </w:rPr>
            </w:pPr>
            <w:r>
              <w:rPr>
                <w:rFonts w:ascii="Arial" w:cs="Arial" w:eastAsia="Arial" w:hAnsi="Arial"/>
                <w:sz w:val="18"/>
                <w:szCs w:val="18"/>
                <w:color w:val="auto"/>
              </w:rPr>
              <w:t>Sarbanes-Oxley Act of 2002</w:t>
            </w:r>
          </w:p>
        </w:tc>
        <w:tc>
          <w:tcPr>
            <w:tcW w:w="8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4880" w:type="dxa"/>
            <w:vAlign w:val="bottom"/>
          </w:tcPr>
          <w:p>
            <w:pPr>
              <w:ind w:left="180"/>
              <w:spacing w:after="0"/>
              <w:rPr>
                <w:sz w:val="20"/>
                <w:szCs w:val="20"/>
                <w:color w:val="auto"/>
              </w:rPr>
            </w:pPr>
            <w:r>
              <w:rPr>
                <w:rFonts w:ascii="Arial" w:cs="Arial" w:eastAsia="Arial" w:hAnsi="Arial"/>
                <w:sz w:val="18"/>
                <w:szCs w:val="18"/>
                <w:color w:val="auto"/>
              </w:rPr>
              <w:t>Certifications pursuant to Securities Exchange Act of</w:t>
            </w:r>
          </w:p>
        </w:tc>
        <w:tc>
          <w:tcPr>
            <w:tcW w:w="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03"/>
        </w:trPr>
        <w:tc>
          <w:tcPr>
            <w:tcW w:w="1040" w:type="dxa"/>
            <w:vAlign w:val="bottom"/>
          </w:tcPr>
          <w:p>
            <w:pPr>
              <w:spacing w:after="0"/>
              <w:rPr>
                <w:sz w:val="17"/>
                <w:szCs w:val="17"/>
                <w:color w:val="auto"/>
              </w:rPr>
            </w:pPr>
          </w:p>
        </w:tc>
        <w:tc>
          <w:tcPr>
            <w:tcW w:w="4880" w:type="dxa"/>
            <w:vAlign w:val="bottom"/>
          </w:tcPr>
          <w:p>
            <w:pPr>
              <w:ind w:left="180"/>
              <w:spacing w:after="0" w:line="202" w:lineRule="exact"/>
              <w:rPr>
                <w:sz w:val="20"/>
                <w:szCs w:val="20"/>
                <w:color w:val="auto"/>
              </w:rPr>
            </w:pPr>
            <w:r>
              <w:rPr>
                <w:rFonts w:ascii="Arial" w:cs="Arial" w:eastAsia="Arial" w:hAnsi="Arial"/>
                <w:sz w:val="18"/>
                <w:szCs w:val="18"/>
                <w:color w:val="auto"/>
              </w:rPr>
              <w:t>1934 Rule 13a-14(b) or 15d-14(b) and 18 U.S.C. Section</w:t>
            </w: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040" w:type="dxa"/>
            <w:vAlign w:val="bottom"/>
          </w:tcPr>
          <w:p>
            <w:pPr>
              <w:spacing w:after="0"/>
              <w:rPr>
                <w:sz w:val="17"/>
                <w:szCs w:val="17"/>
                <w:color w:val="auto"/>
              </w:rPr>
            </w:pPr>
          </w:p>
        </w:tc>
        <w:tc>
          <w:tcPr>
            <w:tcW w:w="4880" w:type="dxa"/>
            <w:vAlign w:val="bottom"/>
          </w:tcPr>
          <w:p>
            <w:pPr>
              <w:ind w:left="180"/>
              <w:spacing w:after="0" w:line="202" w:lineRule="exact"/>
              <w:rPr>
                <w:sz w:val="20"/>
                <w:szCs w:val="20"/>
                <w:color w:val="auto"/>
              </w:rPr>
            </w:pPr>
            <w:r>
              <w:rPr>
                <w:rFonts w:ascii="Arial" w:cs="Arial" w:eastAsia="Arial" w:hAnsi="Arial"/>
                <w:sz w:val="18"/>
                <w:szCs w:val="18"/>
                <w:color w:val="auto"/>
              </w:rPr>
              <w:t>1350, as adopted pursuant to Section 302 of the</w:t>
            </w: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43"/>
        </w:trPr>
        <w:tc>
          <w:tcPr>
            <w:tcW w:w="1040" w:type="dxa"/>
            <w:vAlign w:val="bottom"/>
          </w:tcPr>
          <w:p>
            <w:pPr>
              <w:spacing w:after="0"/>
              <w:rPr>
                <w:sz w:val="21"/>
                <w:szCs w:val="21"/>
                <w:color w:val="auto"/>
              </w:rPr>
            </w:pPr>
          </w:p>
        </w:tc>
        <w:tc>
          <w:tcPr>
            <w:tcW w:w="4880" w:type="dxa"/>
            <w:vAlign w:val="bottom"/>
          </w:tcPr>
          <w:p>
            <w:pPr>
              <w:ind w:left="180"/>
              <w:spacing w:after="0"/>
              <w:rPr>
                <w:sz w:val="20"/>
                <w:szCs w:val="20"/>
                <w:color w:val="auto"/>
              </w:rPr>
            </w:pPr>
            <w:r>
              <w:rPr>
                <w:rFonts w:ascii="Arial" w:cs="Arial" w:eastAsia="Arial" w:hAnsi="Arial"/>
                <w:sz w:val="18"/>
                <w:szCs w:val="18"/>
                <w:color w:val="auto"/>
              </w:rPr>
              <w:t>Sarbanes-Oxley Act of 2002</w:t>
            </w:r>
          </w:p>
        </w:tc>
        <w:tc>
          <w:tcPr>
            <w:tcW w:w="8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57"/>
        </w:trPr>
        <w:tc>
          <w:tcPr>
            <w:tcW w:w="1040" w:type="dxa"/>
            <w:vAlign w:val="bottom"/>
          </w:tcPr>
          <w:p>
            <w:pPr>
              <w:spacing w:after="0"/>
              <w:rPr>
                <w:sz w:val="20"/>
                <w:szCs w:val="20"/>
                <w:color w:val="auto"/>
              </w:rPr>
            </w:pPr>
            <w:r>
              <w:rPr>
                <w:rFonts w:ascii="Arial" w:cs="Arial" w:eastAsia="Arial" w:hAnsi="Arial"/>
                <w:sz w:val="18"/>
                <w:szCs w:val="18"/>
                <w:color w:val="auto"/>
              </w:rPr>
              <w:t>101.INS ‡</w:t>
            </w:r>
          </w:p>
        </w:tc>
        <w:tc>
          <w:tcPr>
            <w:tcW w:w="4880" w:type="dxa"/>
            <w:vAlign w:val="bottom"/>
          </w:tcPr>
          <w:p>
            <w:pPr>
              <w:ind w:left="180"/>
              <w:spacing w:after="0"/>
              <w:rPr>
                <w:sz w:val="20"/>
                <w:szCs w:val="20"/>
                <w:color w:val="auto"/>
              </w:rPr>
            </w:pPr>
            <w:r>
              <w:rPr>
                <w:rFonts w:ascii="Arial" w:cs="Arial" w:eastAsia="Arial" w:hAnsi="Arial"/>
                <w:sz w:val="18"/>
                <w:szCs w:val="18"/>
                <w:color w:val="auto"/>
              </w:rPr>
              <w:t>XBRL Report Instance Document</w:t>
            </w:r>
          </w:p>
        </w:tc>
        <w:tc>
          <w:tcPr>
            <w:tcW w:w="8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101.SCH ‡</w:t>
            </w:r>
          </w:p>
        </w:tc>
        <w:tc>
          <w:tcPr>
            <w:tcW w:w="4880" w:type="dxa"/>
            <w:vAlign w:val="bottom"/>
          </w:tcPr>
          <w:p>
            <w:pPr>
              <w:ind w:left="180"/>
              <w:spacing w:after="0"/>
              <w:rPr>
                <w:sz w:val="20"/>
                <w:szCs w:val="20"/>
                <w:color w:val="auto"/>
              </w:rPr>
            </w:pPr>
            <w:r>
              <w:rPr>
                <w:rFonts w:ascii="Arial" w:cs="Arial" w:eastAsia="Arial" w:hAnsi="Arial"/>
                <w:sz w:val="18"/>
                <w:szCs w:val="18"/>
                <w:color w:val="auto"/>
              </w:rPr>
              <w:t>XBRL Taxonomy Extension Schema Document</w:t>
            </w:r>
          </w:p>
        </w:tc>
        <w:tc>
          <w:tcPr>
            <w:tcW w:w="8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4880" w:type="dxa"/>
            <w:vAlign w:val="bottom"/>
          </w:tcPr>
          <w:p>
            <w:pPr>
              <w:ind w:left="180"/>
              <w:spacing w:after="0"/>
              <w:rPr>
                <w:sz w:val="20"/>
                <w:szCs w:val="20"/>
                <w:color w:val="auto"/>
              </w:rPr>
            </w:pPr>
            <w:r>
              <w:rPr>
                <w:rFonts w:ascii="Arial" w:cs="Arial" w:eastAsia="Arial" w:hAnsi="Arial"/>
                <w:sz w:val="18"/>
                <w:szCs w:val="18"/>
                <w:color w:val="auto"/>
              </w:rPr>
              <w:t>XBRL Taxonomy Calculation Linkbase Document</w:t>
            </w:r>
          </w:p>
        </w:tc>
        <w:tc>
          <w:tcPr>
            <w:tcW w:w="8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101.LAB ‡</w:t>
            </w:r>
          </w:p>
        </w:tc>
        <w:tc>
          <w:tcPr>
            <w:tcW w:w="4880" w:type="dxa"/>
            <w:vAlign w:val="bottom"/>
          </w:tcPr>
          <w:p>
            <w:pPr>
              <w:ind w:left="180"/>
              <w:spacing w:after="0"/>
              <w:rPr>
                <w:sz w:val="20"/>
                <w:szCs w:val="20"/>
                <w:color w:val="auto"/>
              </w:rPr>
            </w:pPr>
            <w:r>
              <w:rPr>
                <w:rFonts w:ascii="Arial" w:cs="Arial" w:eastAsia="Arial" w:hAnsi="Arial"/>
                <w:sz w:val="18"/>
                <w:szCs w:val="18"/>
                <w:color w:val="auto"/>
              </w:rPr>
              <w:t>XBRL Taxonomy Label Linkbase Document</w:t>
            </w:r>
          </w:p>
        </w:tc>
        <w:tc>
          <w:tcPr>
            <w:tcW w:w="8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101.PRE ‡</w:t>
            </w:r>
          </w:p>
        </w:tc>
        <w:tc>
          <w:tcPr>
            <w:tcW w:w="4880" w:type="dxa"/>
            <w:vAlign w:val="bottom"/>
          </w:tcPr>
          <w:p>
            <w:pPr>
              <w:ind w:left="180"/>
              <w:spacing w:after="0"/>
              <w:rPr>
                <w:sz w:val="20"/>
                <w:szCs w:val="20"/>
                <w:color w:val="auto"/>
              </w:rPr>
            </w:pPr>
            <w:r>
              <w:rPr>
                <w:rFonts w:ascii="Arial" w:cs="Arial" w:eastAsia="Arial" w:hAnsi="Arial"/>
                <w:sz w:val="18"/>
                <w:szCs w:val="18"/>
                <w:color w:val="auto"/>
              </w:rPr>
              <w:t>XBRL Presentation Linkbase Document</w:t>
            </w:r>
          </w:p>
        </w:tc>
        <w:tc>
          <w:tcPr>
            <w:tcW w:w="8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20" w:type="dxa"/>
            <w:vAlign w:val="bottom"/>
          </w:tcPr>
          <w:p>
            <w:pPr>
              <w:spacing w:after="0"/>
              <w:rPr>
                <w:sz w:val="23"/>
                <w:szCs w:val="23"/>
                <w:color w:val="auto"/>
              </w:rPr>
            </w:pPr>
          </w:p>
        </w:tc>
      </w:tr>
    </w:tbl>
    <w:p>
      <w:pPr>
        <w:spacing w:after="0" w:line="27" w:lineRule="exact"/>
        <w:rPr>
          <w:sz w:val="20"/>
          <w:szCs w:val="20"/>
          <w:color w:val="auto"/>
        </w:rPr>
      </w:pPr>
    </w:p>
    <w:p>
      <w:pPr>
        <w:ind w:left="1225" w:right="5900" w:hanging="1225"/>
        <w:spacing w:after="0" w:line="276" w:lineRule="auto"/>
        <w:tabs>
          <w:tab w:leader="none" w:pos="396"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DEF ‡ XBRL Taxonomy Extension Definition Linkbase Document</w:t>
      </w:r>
    </w:p>
    <w:p>
      <w:pPr>
        <w:spacing w:after="0" w:line="118" w:lineRule="exact"/>
        <w:rPr>
          <w:sz w:val="20"/>
          <w:szCs w:val="20"/>
          <w:color w:val="auto"/>
        </w:rPr>
      </w:pPr>
    </w:p>
    <w:p>
      <w:pPr>
        <w:ind w:left="685" w:hanging="685"/>
        <w:spacing w:after="0"/>
        <w:tabs>
          <w:tab w:leader="none" w:pos="68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contract, or arrangement</w:t>
      </w:r>
    </w:p>
    <w:p>
      <w:pPr>
        <w:spacing w:after="0" w:line="184" w:lineRule="exact"/>
        <w:rPr>
          <w:rFonts w:ascii="Arial" w:cs="Arial" w:eastAsia="Arial" w:hAnsi="Arial"/>
          <w:sz w:val="18"/>
          <w:szCs w:val="18"/>
          <w:color w:val="auto"/>
        </w:rPr>
      </w:pPr>
    </w:p>
    <w:p>
      <w:pPr>
        <w:ind w:left="5"/>
        <w:spacing w:after="0"/>
        <w:rPr>
          <w:rFonts w:ascii="Arial" w:cs="Arial" w:eastAsia="Arial" w:hAnsi="Arial"/>
          <w:sz w:val="18"/>
          <w:szCs w:val="18"/>
          <w:color w:val="auto"/>
        </w:rPr>
      </w:pPr>
      <w:r>
        <w:rPr>
          <w:rFonts w:ascii="Arial" w:cs="Arial" w:eastAsia="Arial" w:hAnsi="Arial"/>
          <w:sz w:val="18"/>
          <w:szCs w:val="18"/>
          <w:color w:val="auto"/>
        </w:rPr>
        <w:t>‡Indicates filed herewith</w:t>
      </w:r>
    </w:p>
    <w:p>
      <w:pPr>
        <w:spacing w:after="0" w:line="184" w:lineRule="exact"/>
        <w:rPr>
          <w:rFonts w:ascii="Arial" w:cs="Arial" w:eastAsia="Arial" w:hAnsi="Arial"/>
          <w:sz w:val="18"/>
          <w:szCs w:val="18"/>
          <w:color w:val="auto"/>
        </w:rPr>
      </w:pPr>
    </w:p>
    <w:p>
      <w:pPr>
        <w:ind w:left="5"/>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Indicates furnished herewith</w:t>
      </w:r>
    </w:p>
    <w:p>
      <w:pPr>
        <w:spacing w:after="0" w:line="270" w:lineRule="exact"/>
        <w:rPr>
          <w:sz w:val="20"/>
          <w:szCs w:val="20"/>
          <w:color w:val="auto"/>
        </w:rPr>
      </w:pPr>
    </w:p>
    <w:p>
      <w:pPr>
        <w:jc w:val="center"/>
        <w:ind w:right="-464"/>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0885"/>
          </w:cols>
          <w:pgMar w:left="275" w:top="517" w:right="7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ABM INDUSTRIES INCORPORATED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2006 EQUITY INCENTIVE PLAN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AMENDED AND RESTATED October 20, 2016</w:t>
      </w:r>
    </w:p>
    <w:p>
      <w:pPr>
        <w:spacing w:after="0" w:line="200" w:lineRule="exact"/>
        <w:rPr>
          <w:sz w:val="20"/>
          <w:szCs w:val="20"/>
          <w:color w:val="auto"/>
        </w:rPr>
      </w:pPr>
    </w:p>
    <w:p>
      <w:pPr>
        <w:spacing w:after="0" w:line="251" w:lineRule="exact"/>
        <w:rPr>
          <w:sz w:val="20"/>
          <w:szCs w:val="20"/>
          <w:color w:val="auto"/>
        </w:rPr>
      </w:pPr>
    </w:p>
    <w:p>
      <w:pPr>
        <w:ind w:left="300" w:hanging="292"/>
        <w:spacing w:after="0"/>
        <w:tabs>
          <w:tab w:leader="none" w:pos="300" w:val="left"/>
        </w:tabs>
        <w:numPr>
          <w:ilvl w:val="0"/>
          <w:numId w:val="5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PURPOSE</w:t>
      </w:r>
      <w:r>
        <w:rPr>
          <w:rFonts w:ascii="Times New Roman" w:cs="Times New Roman" w:eastAsia="Times New Roman" w:hAnsi="Times New Roman"/>
          <w:sz w:val="16"/>
          <w:szCs w:val="16"/>
          <w:b w:val="1"/>
          <w:bCs w:val="1"/>
          <w:color w:val="auto"/>
        </w:rPr>
        <w:t>.</w:t>
      </w:r>
    </w:p>
    <w:p>
      <w:pPr>
        <w:spacing w:after="0" w:line="250" w:lineRule="exact"/>
        <w:rPr>
          <w:sz w:val="20"/>
          <w:szCs w:val="20"/>
          <w:color w:val="auto"/>
        </w:rPr>
      </w:pPr>
    </w:p>
    <w:p>
      <w:pPr>
        <w:jc w:val="both"/>
        <w:ind w:firstLine="648"/>
        <w:spacing w:after="0" w:line="299" w:lineRule="auto"/>
        <w:rPr>
          <w:sz w:val="20"/>
          <w:szCs w:val="20"/>
          <w:color w:val="auto"/>
        </w:rPr>
      </w:pPr>
      <w:r>
        <w:rPr>
          <w:rFonts w:ascii="Times New Roman" w:cs="Times New Roman" w:eastAsia="Times New Roman" w:hAnsi="Times New Roman"/>
          <w:sz w:val="16"/>
          <w:szCs w:val="16"/>
          <w:color w:val="auto"/>
        </w:rPr>
        <w:t>This 2006 Equity Incentive Plan, as amended and restated, is intended to provide incentive to Employees and Directors of ABM Industries Incorporated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its eligible Affiliates, to encourage proprietary interest in the Company and to encourage Employees and Directors to remain in the service of the Company or its Affiliates.</w:t>
      </w:r>
    </w:p>
    <w:p>
      <w:pPr>
        <w:spacing w:after="0" w:line="175" w:lineRule="exact"/>
        <w:rPr>
          <w:sz w:val="20"/>
          <w:szCs w:val="20"/>
          <w:color w:val="auto"/>
        </w:rPr>
      </w:pPr>
    </w:p>
    <w:p>
      <w:pPr>
        <w:ind w:left="300" w:hanging="292"/>
        <w:spacing w:after="0"/>
        <w:tabs>
          <w:tab w:leader="none" w:pos="300" w:val="left"/>
        </w:tabs>
        <w:numPr>
          <w:ilvl w:val="0"/>
          <w:numId w:val="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DEFINITIONS</w:t>
      </w:r>
      <w:r>
        <w:rPr>
          <w:rFonts w:ascii="Times New Roman" w:cs="Times New Roman" w:eastAsia="Times New Roman" w:hAnsi="Times New Roman"/>
          <w:sz w:val="16"/>
          <w:szCs w:val="16"/>
          <w:b w:val="1"/>
          <w:bCs w:val="1"/>
          <w:color w:val="auto"/>
        </w:rPr>
        <w:t>.</w:t>
      </w:r>
    </w:p>
    <w:p>
      <w:pPr>
        <w:spacing w:after="0" w:line="250" w:lineRule="exact"/>
        <w:rPr>
          <w:rFonts w:ascii="Times New Roman" w:cs="Times New Roman" w:eastAsia="Times New Roman" w:hAnsi="Times New Roman"/>
          <w:sz w:val="16"/>
          <w:szCs w:val="16"/>
          <w:b w:val="1"/>
          <w:bCs w:val="1"/>
          <w:color w:val="auto"/>
        </w:rPr>
      </w:pPr>
    </w:p>
    <w:p>
      <w:pPr>
        <w:ind w:left="1020" w:hanging="364"/>
        <w:spacing w:after="0"/>
        <w:tabs>
          <w:tab w:leader="none" w:pos="1020"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Administrator</w:t>
      </w:r>
      <w:r>
        <w:rPr>
          <w:rFonts w:ascii="Times New Roman" w:cs="Times New Roman" w:eastAsia="Times New Roman" w:hAnsi="Times New Roman"/>
          <w:sz w:val="16"/>
          <w:szCs w:val="16"/>
          <w:color w:val="auto"/>
        </w:rPr>
        <w:t>” means the Board or the committee of the Board appointed to administer the Plan, or a delegate of the Board as provided in Section 4(c).</w:t>
      </w:r>
    </w:p>
    <w:p>
      <w:pPr>
        <w:spacing w:after="0" w:line="248" w:lineRule="exact"/>
        <w:rPr>
          <w:rFonts w:ascii="Times New Roman" w:cs="Times New Roman" w:eastAsia="Times New Roman" w:hAnsi="Times New Roman"/>
          <w:sz w:val="16"/>
          <w:szCs w:val="16"/>
          <w:color w:val="auto"/>
        </w:rPr>
      </w:pPr>
    </w:p>
    <w:p>
      <w:pPr>
        <w:ind w:firstLine="656"/>
        <w:spacing w:after="0" w:line="316" w:lineRule="auto"/>
        <w:tabs>
          <w:tab w:leader="none" w:pos="1166"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Affiliate</w:t>
      </w:r>
      <w:r>
        <w:rPr>
          <w:rFonts w:ascii="Times New Roman" w:cs="Times New Roman" w:eastAsia="Times New Roman" w:hAnsi="Times New Roman"/>
          <w:sz w:val="16"/>
          <w:szCs w:val="16"/>
          <w:color w:val="auto"/>
        </w:rPr>
        <w:t>” means any entity, whether a corporation, partnership, joint venture or other organization that directly, or indirectly through one or more intermediaries, controls, is controlled by, or is under common control with the Company.</w:t>
      </w:r>
    </w:p>
    <w:p>
      <w:pPr>
        <w:spacing w:after="0" w:line="163" w:lineRule="exact"/>
        <w:rPr>
          <w:rFonts w:ascii="Times New Roman" w:cs="Times New Roman" w:eastAsia="Times New Roman" w:hAnsi="Times New Roman"/>
          <w:sz w:val="16"/>
          <w:szCs w:val="16"/>
          <w:color w:val="auto"/>
        </w:rPr>
      </w:pPr>
    </w:p>
    <w:p>
      <w:pPr>
        <w:jc w:val="both"/>
        <w:ind w:firstLine="656"/>
        <w:spacing w:after="0" w:line="299" w:lineRule="auto"/>
        <w:tabs>
          <w:tab w:leader="none" w:pos="1049"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After-Tax Amount</w:t>
      </w:r>
      <w:r>
        <w:rPr>
          <w:rFonts w:ascii="Times New Roman" w:cs="Times New Roman" w:eastAsia="Times New Roman" w:hAnsi="Times New Roman"/>
          <w:sz w:val="16"/>
          <w:szCs w:val="16"/>
          <w:color w:val="auto"/>
        </w:rPr>
        <w:t>” means any amount to be received by a Participant in connection with a Change-in-Control determined on an after-tax basis taking into account the excise tax imposed pursuant to Code Section 4999, or any successor provision thereto, any tax imposed by any comparable provision of state law, and any applicable federal, state and local income and employment taxes.</w:t>
      </w:r>
    </w:p>
    <w:p>
      <w:pPr>
        <w:spacing w:after="0" w:line="176" w:lineRule="exact"/>
        <w:rPr>
          <w:rFonts w:ascii="Times New Roman" w:cs="Times New Roman" w:eastAsia="Times New Roman" w:hAnsi="Times New Roman"/>
          <w:sz w:val="16"/>
          <w:szCs w:val="16"/>
          <w:color w:val="auto"/>
        </w:rPr>
      </w:pPr>
    </w:p>
    <w:p>
      <w:pPr>
        <w:ind w:firstLine="656"/>
        <w:spacing w:after="0" w:line="316" w:lineRule="auto"/>
        <w:tabs>
          <w:tab w:leader="none" w:pos="1058"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Award</w:t>
      </w:r>
      <w:r>
        <w:rPr>
          <w:rFonts w:ascii="Times New Roman" w:cs="Times New Roman" w:eastAsia="Times New Roman" w:hAnsi="Times New Roman"/>
          <w:sz w:val="16"/>
          <w:szCs w:val="16"/>
          <w:color w:val="auto"/>
        </w:rPr>
        <w:t>” means any award of an Option, Stock Appreciation Rights, Restricted Stock, Restricted Stock Units, Performance Shares or an Other Share-Based Award under the Plan.</w:t>
      </w:r>
    </w:p>
    <w:p>
      <w:pPr>
        <w:spacing w:after="0" w:line="163" w:lineRule="exact"/>
        <w:rPr>
          <w:rFonts w:ascii="Times New Roman" w:cs="Times New Roman" w:eastAsia="Times New Roman" w:hAnsi="Times New Roman"/>
          <w:sz w:val="16"/>
          <w:szCs w:val="16"/>
          <w:color w:val="auto"/>
        </w:rPr>
      </w:pPr>
    </w:p>
    <w:p>
      <w:pPr>
        <w:ind w:left="1080" w:hanging="424"/>
        <w:spacing w:after="0"/>
        <w:tabs>
          <w:tab w:leader="none" w:pos="1080"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Award Agreement</w:t>
      </w:r>
      <w:r>
        <w:rPr>
          <w:rFonts w:ascii="Times New Roman" w:cs="Times New Roman" w:eastAsia="Times New Roman" w:hAnsi="Times New Roman"/>
          <w:sz w:val="16"/>
          <w:szCs w:val="16"/>
          <w:color w:val="auto"/>
        </w:rPr>
        <w:t>” means the agreement between the Company and the recipient of an Award which contains the terms and conditions pertaining to the</w:t>
      </w:r>
    </w:p>
    <w:p>
      <w:pPr>
        <w:spacing w:after="0" w:line="3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Award.</w:t>
      </w:r>
    </w:p>
    <w:p>
      <w:pPr>
        <w:spacing w:after="0" w:line="248" w:lineRule="exact"/>
        <w:rPr>
          <w:rFonts w:ascii="Times New Roman" w:cs="Times New Roman" w:eastAsia="Times New Roman" w:hAnsi="Times New Roman"/>
          <w:sz w:val="16"/>
          <w:szCs w:val="16"/>
          <w:color w:val="auto"/>
        </w:rPr>
      </w:pPr>
    </w:p>
    <w:p>
      <w:pPr>
        <w:ind w:left="1000" w:hanging="344"/>
        <w:spacing w:after="0"/>
        <w:tabs>
          <w:tab w:leader="none" w:pos="1000"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Beneficiary</w:t>
      </w:r>
      <w:r>
        <w:rPr>
          <w:rFonts w:ascii="Times New Roman" w:cs="Times New Roman" w:eastAsia="Times New Roman" w:hAnsi="Times New Roman"/>
          <w:sz w:val="16"/>
          <w:szCs w:val="16"/>
          <w:color w:val="auto"/>
        </w:rPr>
        <w:t>” means a person designated as such by a Participant or a Beneficiary for purposes of the Plan or determined with reference to Section 21.</w:t>
      </w:r>
    </w:p>
    <w:p>
      <w:pPr>
        <w:spacing w:after="0" w:line="248" w:lineRule="exact"/>
        <w:rPr>
          <w:rFonts w:ascii="Times New Roman" w:cs="Times New Roman" w:eastAsia="Times New Roman" w:hAnsi="Times New Roman"/>
          <w:sz w:val="16"/>
          <w:szCs w:val="16"/>
          <w:color w:val="auto"/>
        </w:rPr>
      </w:pPr>
    </w:p>
    <w:p>
      <w:pPr>
        <w:ind w:left="1020" w:hanging="364"/>
        <w:spacing w:after="0"/>
        <w:tabs>
          <w:tab w:leader="none" w:pos="1020"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Board</w:t>
      </w:r>
      <w:r>
        <w:rPr>
          <w:rFonts w:ascii="Times New Roman" w:cs="Times New Roman" w:eastAsia="Times New Roman" w:hAnsi="Times New Roman"/>
          <w:sz w:val="16"/>
          <w:szCs w:val="16"/>
          <w:color w:val="auto"/>
        </w:rPr>
        <w:t>” means the Board of Directors of the Company.</w:t>
      </w:r>
    </w:p>
    <w:p>
      <w:pPr>
        <w:spacing w:after="0" w:line="248" w:lineRule="exact"/>
        <w:rPr>
          <w:rFonts w:ascii="Times New Roman" w:cs="Times New Roman" w:eastAsia="Times New Roman" w:hAnsi="Times New Roman"/>
          <w:sz w:val="16"/>
          <w:szCs w:val="16"/>
          <w:color w:val="auto"/>
        </w:rPr>
      </w:pPr>
    </w:p>
    <w:p>
      <w:pPr>
        <w:jc w:val="both"/>
        <w:ind w:firstLine="656"/>
        <w:spacing w:after="0" w:line="290" w:lineRule="auto"/>
        <w:tabs>
          <w:tab w:leader="none" w:pos="1031"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Cause</w:t>
      </w:r>
      <w:r>
        <w:rPr>
          <w:rFonts w:ascii="Times New Roman" w:cs="Times New Roman" w:eastAsia="Times New Roman" w:hAnsi="Times New Roman"/>
          <w:sz w:val="16"/>
          <w:szCs w:val="16"/>
          <w:color w:val="auto"/>
        </w:rPr>
        <w:t>” means (i) serious misconduct, dishonesty, disloyalty or insubordination; (ii) the Participant’s conviction (or entry of a plea bargain admitting criminal guilt) of any felony or misdemeanor involving moral turpitude; (iii) drug or alcohol abuse that has a material or potentially material effect on the Company’s reputation and/or the performance of the Participant’s duties and responsibilities under the Participant’s employment agreement; (iv) failure to substantially perform the Participant’s duties or responsibilities under the Participant’s employment agreement for reasons other than death or disability; (v) repeated inattention to duty for reasons other than death or disability; or (vi) any other material breach of the Participant’s employment agreement by the Participant.</w:t>
      </w:r>
    </w:p>
    <w:p>
      <w:pPr>
        <w:spacing w:after="0" w:line="184" w:lineRule="exact"/>
        <w:rPr>
          <w:rFonts w:ascii="Times New Roman" w:cs="Times New Roman" w:eastAsia="Times New Roman" w:hAnsi="Times New Roman"/>
          <w:sz w:val="16"/>
          <w:szCs w:val="16"/>
          <w:color w:val="auto"/>
        </w:rPr>
      </w:pPr>
    </w:p>
    <w:p>
      <w:pPr>
        <w:ind w:left="980" w:hanging="324"/>
        <w:spacing w:after="0"/>
        <w:tabs>
          <w:tab w:leader="none" w:pos="980"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Change-in-Control</w:t>
      </w:r>
      <w:r>
        <w:rPr>
          <w:rFonts w:ascii="Times New Roman" w:cs="Times New Roman" w:eastAsia="Times New Roman" w:hAnsi="Times New Roman"/>
          <w:sz w:val="16"/>
          <w:szCs w:val="16"/>
          <w:color w:val="auto"/>
        </w:rPr>
        <w:t>” means, unless otherwise set forth in an award agreement, that any of the following events occurs:</w:t>
      </w:r>
    </w:p>
    <w:p>
      <w:pPr>
        <w:spacing w:after="0" w:line="248" w:lineRule="exact"/>
        <w:rPr>
          <w:rFonts w:ascii="Times New Roman" w:cs="Times New Roman" w:eastAsia="Times New Roman" w:hAnsi="Times New Roman"/>
          <w:sz w:val="16"/>
          <w:szCs w:val="16"/>
          <w:color w:val="auto"/>
        </w:rPr>
      </w:pPr>
    </w:p>
    <w:p>
      <w:pPr>
        <w:jc w:val="both"/>
        <w:ind w:left="340" w:firstLine="640"/>
        <w:spacing w:after="0" w:line="290" w:lineRule="auto"/>
        <w:tabs>
          <w:tab w:leader="none" w:pos="1362" w:val="left"/>
        </w:tabs>
        <w:numPr>
          <w:ilvl w:val="2"/>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individual, entity or group (within the meaning of Section 13(d)(3) or 14(d)(2) of the Exchange Act) (a “</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(A) is or becomes the beneficial owner (within the meaning of Rule 13d-3 promulgated under the Exchange Act) of more than 35% of the combined voting power of the then-outstanding Voting Stock of the Company or succeeds in having nominees as directors elected in an “election contest” within the meaning of Rule 14a-12(c) under the Exchange Act and (B) within 18 months thereafter, individuals who were members of the Board of Directors of the Company immediately prior to either such event cease to constitute a majority of the members of the Board of Directors of the Company;</w:t>
      </w:r>
    </w:p>
    <w:p>
      <w:pPr>
        <w:spacing w:after="0" w:line="184" w:lineRule="exact"/>
        <w:rPr>
          <w:rFonts w:ascii="Times New Roman" w:cs="Times New Roman" w:eastAsia="Times New Roman" w:hAnsi="Times New Roman"/>
          <w:sz w:val="16"/>
          <w:szCs w:val="16"/>
          <w:color w:val="auto"/>
        </w:rPr>
      </w:pPr>
    </w:p>
    <w:p>
      <w:pPr>
        <w:ind w:left="1680" w:hanging="375"/>
        <w:spacing w:after="0"/>
        <w:tabs>
          <w:tab w:leader="none" w:pos="1680" w:val="left"/>
        </w:tabs>
        <w:numPr>
          <w:ilvl w:val="3"/>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majority of the Board ceases to be comprised of Incumbent Directors; or</w:t>
      </w:r>
    </w:p>
    <w:p>
      <w:pPr>
        <w:spacing w:after="0" w:line="248" w:lineRule="exact"/>
        <w:rPr>
          <w:sz w:val="20"/>
          <w:szCs w:val="20"/>
          <w:color w:val="auto"/>
        </w:rPr>
      </w:pPr>
    </w:p>
    <w:p>
      <w:pPr>
        <w:jc w:val="both"/>
        <w:ind w:left="340" w:firstLine="640"/>
        <w:spacing w:after="0" w:line="293" w:lineRule="auto"/>
        <w:tabs>
          <w:tab w:leader="none" w:pos="1479"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consummation of a reorganization, merger, consolidation, plan of liquidation or dissolution, recapitalization or sale or other disposition of all or substantially all of the assets of the Company or the acquisition of the stock or assets of another Company, or other transaction (each, a “</w:t>
      </w:r>
      <w:r>
        <w:rPr>
          <w:rFonts w:ascii="Times New Roman" w:cs="Times New Roman" w:eastAsia="Times New Roman" w:hAnsi="Times New Roman"/>
          <w:sz w:val="16"/>
          <w:szCs w:val="16"/>
          <w:u w:val="single" w:color="auto"/>
          <w:color w:val="auto"/>
        </w:rPr>
        <w:t>Business Transaction</w:t>
      </w:r>
      <w:r>
        <w:rPr>
          <w:rFonts w:ascii="Times New Roman" w:cs="Times New Roman" w:eastAsia="Times New Roman" w:hAnsi="Times New Roman"/>
          <w:sz w:val="16"/>
          <w:szCs w:val="16"/>
          <w:color w:val="auto"/>
        </w:rPr>
        <w:t>”), unless, in any such case, (A) no Person (other than the Company, any entity resulting from such Business Transaction or any employee benefit plan (or related trust) sponsored or maintained by the Company, any Subsidiary or such entity resulting from such Business Transaction) beneficially owns, directly</w:t>
      </w:r>
    </w:p>
    <w:p>
      <w:pPr>
        <w:sectPr>
          <w:pgSz w:w="11900" w:h="16838" w:orient="portrait"/>
          <w:cols w:equalWidth="0" w:num="1">
            <w:col w:w="11420"/>
          </w:cols>
          <w:pgMar w:left="240" w:top="576" w:right="239" w:bottom="1440" w:gutter="0" w:footer="0" w:header="0"/>
        </w:sectPr>
      </w:pPr>
    </w:p>
    <w:bookmarkStart w:id="105" w:name="page106"/>
    <w:bookmarkEnd w:id="105"/>
    <w:p>
      <w:pPr>
        <w:jc w:val="both"/>
        <w:spacing w:after="0" w:line="263" w:lineRule="auto"/>
        <w:rPr>
          <w:sz w:val="20"/>
          <w:szCs w:val="20"/>
          <w:color w:val="auto"/>
        </w:rPr>
      </w:pPr>
      <w:r>
        <w:rPr>
          <w:rFonts w:ascii="Times New Roman" w:cs="Times New Roman" w:eastAsia="Times New Roman" w:hAnsi="Times New Roman"/>
          <w:sz w:val="16"/>
          <w:szCs w:val="16"/>
          <w:color w:val="auto"/>
        </w:rPr>
        <w:t>or indirectly, 35% or more of the combined voting power of the then-outstanding shares of Voting Stock of the entity resulting from such Business Transaction and (B) at least one-half of the members of the Board of Directors of the entity resulting from such Business Transaction were Incumbent Directors at the time of the execution of the initial agreement providing for such Business Transaction.</w:t>
      </w:r>
    </w:p>
    <w:p>
      <w:pPr>
        <w:spacing w:after="0" w:line="192" w:lineRule="exact"/>
        <w:rPr>
          <w:sz w:val="20"/>
          <w:szCs w:val="20"/>
          <w:color w:val="auto"/>
        </w:rPr>
      </w:pPr>
    </w:p>
    <w:p>
      <w:pPr>
        <w:ind w:left="640" w:hanging="324"/>
        <w:spacing w:after="0"/>
        <w:tabs>
          <w:tab w:leader="none" w:pos="64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Code</w:t>
      </w:r>
      <w:r>
        <w:rPr>
          <w:rFonts w:ascii="Times New Roman" w:cs="Times New Roman" w:eastAsia="Times New Roman" w:hAnsi="Times New Roman"/>
          <w:sz w:val="16"/>
          <w:szCs w:val="16"/>
          <w:color w:val="auto"/>
        </w:rPr>
        <w:t>” means the Internal Revenue Code of 1986, as amended.</w:t>
      </w:r>
    </w:p>
    <w:p>
      <w:pPr>
        <w:spacing w:after="0" w:line="248" w:lineRule="exact"/>
        <w:rPr>
          <w:rFonts w:ascii="Times New Roman" w:cs="Times New Roman" w:eastAsia="Times New Roman" w:hAnsi="Times New Roman"/>
          <w:sz w:val="16"/>
          <w:szCs w:val="16"/>
          <w:color w:val="auto"/>
        </w:rPr>
      </w:pPr>
    </w:p>
    <w:p>
      <w:pPr>
        <w:ind w:left="680" w:hanging="364"/>
        <w:spacing w:after="0"/>
        <w:tabs>
          <w:tab w:leader="none" w:pos="6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Committee</w:t>
      </w:r>
      <w:r>
        <w:rPr>
          <w:rFonts w:ascii="Times New Roman" w:cs="Times New Roman" w:eastAsia="Times New Roman" w:hAnsi="Times New Roman"/>
          <w:sz w:val="16"/>
          <w:szCs w:val="16"/>
          <w:color w:val="auto"/>
        </w:rPr>
        <w:t>” means the Compensation Committee of the Board.</w:t>
      </w:r>
    </w:p>
    <w:p>
      <w:pPr>
        <w:spacing w:after="0" w:line="248" w:lineRule="exact"/>
        <w:rPr>
          <w:rFonts w:ascii="Times New Roman" w:cs="Times New Roman" w:eastAsia="Times New Roman" w:hAnsi="Times New Roman"/>
          <w:sz w:val="16"/>
          <w:szCs w:val="16"/>
          <w:color w:val="auto"/>
        </w:rPr>
      </w:pPr>
    </w:p>
    <w:p>
      <w:pPr>
        <w:ind w:left="640" w:hanging="324"/>
        <w:spacing w:after="0"/>
        <w:tabs>
          <w:tab w:leader="none" w:pos="64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means the $.01 par value common stock of the Company.</w:t>
      </w:r>
    </w:p>
    <w:p>
      <w:pPr>
        <w:spacing w:after="0" w:line="248" w:lineRule="exact"/>
        <w:rPr>
          <w:rFonts w:ascii="Times New Roman" w:cs="Times New Roman" w:eastAsia="Times New Roman" w:hAnsi="Times New Roman"/>
          <w:sz w:val="16"/>
          <w:szCs w:val="16"/>
          <w:color w:val="auto"/>
        </w:rPr>
      </w:pPr>
    </w:p>
    <w:p>
      <w:pPr>
        <w:ind w:left="740" w:hanging="424"/>
        <w:spacing w:after="0"/>
        <w:tabs>
          <w:tab w:leader="none" w:pos="74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means ABM Industries Incorporated, a Delaware company.</w:t>
      </w:r>
    </w:p>
    <w:p>
      <w:pPr>
        <w:spacing w:after="0" w:line="248" w:lineRule="exact"/>
        <w:rPr>
          <w:rFonts w:ascii="Times New Roman" w:cs="Times New Roman" w:eastAsia="Times New Roman" w:hAnsi="Times New Roman"/>
          <w:sz w:val="16"/>
          <w:szCs w:val="16"/>
          <w:color w:val="auto"/>
        </w:rPr>
      </w:pPr>
    </w:p>
    <w:p>
      <w:pPr>
        <w:jc w:val="both"/>
        <w:ind w:left="-340" w:firstLine="656"/>
        <w:spacing w:after="0" w:line="299" w:lineRule="auto"/>
        <w:tabs>
          <w:tab w:leader="none" w:pos="758"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Covered Employee</w:t>
      </w:r>
      <w:r>
        <w:rPr>
          <w:rFonts w:ascii="Times New Roman" w:cs="Times New Roman" w:eastAsia="Times New Roman" w:hAnsi="Times New Roman"/>
          <w:sz w:val="16"/>
          <w:szCs w:val="16"/>
          <w:color w:val="auto"/>
        </w:rPr>
        <w:t>” shall have the meaning assigned in Code Section 162(m), as amended, which generally includes the chief executive officer or any Employee whose total compensation for the taxable year is required to be reported to shareholders under the Exchange Act by reason of such Employee being among the four highest compensated officers for the taxable year (other than the chief executive officer).</w:t>
      </w:r>
    </w:p>
    <w:p>
      <w:pPr>
        <w:spacing w:after="0" w:line="176" w:lineRule="exact"/>
        <w:rPr>
          <w:rFonts w:ascii="Times New Roman" w:cs="Times New Roman" w:eastAsia="Times New Roman" w:hAnsi="Times New Roman"/>
          <w:sz w:val="16"/>
          <w:szCs w:val="16"/>
          <w:color w:val="auto"/>
        </w:rPr>
      </w:pPr>
    </w:p>
    <w:p>
      <w:pPr>
        <w:ind w:left="680" w:hanging="364"/>
        <w:spacing w:after="0"/>
        <w:tabs>
          <w:tab w:leader="none" w:pos="6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Director</w:t>
      </w:r>
      <w:r>
        <w:rPr>
          <w:rFonts w:ascii="Times New Roman" w:cs="Times New Roman" w:eastAsia="Times New Roman" w:hAnsi="Times New Roman"/>
          <w:sz w:val="16"/>
          <w:szCs w:val="16"/>
          <w:color w:val="auto"/>
        </w:rPr>
        <w:t>” means a director of the Company.</w:t>
      </w:r>
    </w:p>
    <w:p>
      <w:pPr>
        <w:spacing w:after="0" w:line="248" w:lineRule="exact"/>
        <w:rPr>
          <w:rFonts w:ascii="Times New Roman" w:cs="Times New Roman" w:eastAsia="Times New Roman" w:hAnsi="Times New Roman"/>
          <w:sz w:val="16"/>
          <w:szCs w:val="16"/>
          <w:color w:val="auto"/>
        </w:rPr>
      </w:pPr>
    </w:p>
    <w:p>
      <w:pPr>
        <w:jc w:val="both"/>
        <w:ind w:left="-340" w:firstLine="656"/>
        <w:spacing w:after="0" w:line="299" w:lineRule="auto"/>
        <w:tabs>
          <w:tab w:leader="none" w:pos="704"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Disability</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Disabled</w:t>
      </w:r>
      <w:r>
        <w:rPr>
          <w:rFonts w:ascii="Times New Roman" w:cs="Times New Roman" w:eastAsia="Times New Roman" w:hAnsi="Times New Roman"/>
          <w:sz w:val="16"/>
          <w:szCs w:val="16"/>
          <w:color w:val="auto"/>
        </w:rPr>
        <w:t>” means, unless otherwise set forth in an award agreement, that the Participant is unable to engage in any substantial gainful activity by reason of any medically determinable physical or mental impairment which can be expected to result in death or can be expected to last for a continuous period of not less than 12 months.</w:t>
      </w:r>
    </w:p>
    <w:p>
      <w:pPr>
        <w:spacing w:after="0" w:line="176" w:lineRule="exact"/>
        <w:rPr>
          <w:rFonts w:ascii="Times New Roman" w:cs="Times New Roman" w:eastAsia="Times New Roman" w:hAnsi="Times New Roman"/>
          <w:sz w:val="16"/>
          <w:szCs w:val="16"/>
          <w:color w:val="auto"/>
        </w:rPr>
      </w:pPr>
    </w:p>
    <w:p>
      <w:pPr>
        <w:ind w:left="680" w:hanging="364"/>
        <w:spacing w:after="0"/>
        <w:tabs>
          <w:tab w:leader="none" w:pos="6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Employee</w:t>
      </w:r>
      <w:r>
        <w:rPr>
          <w:rFonts w:ascii="Times New Roman" w:cs="Times New Roman" w:eastAsia="Times New Roman" w:hAnsi="Times New Roman"/>
          <w:sz w:val="16"/>
          <w:szCs w:val="16"/>
          <w:color w:val="auto"/>
        </w:rPr>
        <w:t>” means an individual employed by the Company or an Affiliate (within the meaning of Code Section 3401 and the regulations thereunder).</w:t>
      </w:r>
    </w:p>
    <w:p>
      <w:pPr>
        <w:spacing w:after="0" w:line="248" w:lineRule="exact"/>
        <w:rPr>
          <w:rFonts w:ascii="Times New Roman" w:cs="Times New Roman" w:eastAsia="Times New Roman" w:hAnsi="Times New Roman"/>
          <w:sz w:val="16"/>
          <w:szCs w:val="16"/>
          <w:color w:val="auto"/>
        </w:rPr>
      </w:pPr>
    </w:p>
    <w:p>
      <w:pPr>
        <w:ind w:left="660" w:hanging="344"/>
        <w:spacing w:after="0"/>
        <w:tabs>
          <w:tab w:leader="none" w:pos="6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Employer</w:t>
      </w:r>
      <w:r>
        <w:rPr>
          <w:rFonts w:ascii="Times New Roman" w:cs="Times New Roman" w:eastAsia="Times New Roman" w:hAnsi="Times New Roman"/>
          <w:sz w:val="16"/>
          <w:szCs w:val="16"/>
          <w:color w:val="auto"/>
        </w:rPr>
        <w:t>” means the Company or an Affiliate, which is the employer of a Participant.</w:t>
      </w:r>
    </w:p>
    <w:p>
      <w:pPr>
        <w:spacing w:after="0" w:line="248" w:lineRule="exact"/>
        <w:rPr>
          <w:rFonts w:ascii="Times New Roman" w:cs="Times New Roman" w:eastAsia="Times New Roman" w:hAnsi="Times New Roman"/>
          <w:sz w:val="16"/>
          <w:szCs w:val="16"/>
          <w:color w:val="auto"/>
        </w:rPr>
      </w:pPr>
    </w:p>
    <w:p>
      <w:pPr>
        <w:ind w:left="660" w:hanging="344"/>
        <w:spacing w:after="0"/>
        <w:tabs>
          <w:tab w:leader="none" w:pos="6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Executive Officer</w:t>
      </w:r>
      <w:r>
        <w:rPr>
          <w:rFonts w:ascii="Times New Roman" w:cs="Times New Roman" w:eastAsia="Times New Roman" w:hAnsi="Times New Roman"/>
          <w:sz w:val="16"/>
          <w:szCs w:val="16"/>
          <w:color w:val="auto"/>
        </w:rPr>
        <w:t>” means any person who is an officer of the Company for purposes of Section 16 of the Exchange Act.</w:t>
      </w:r>
    </w:p>
    <w:p>
      <w:pPr>
        <w:spacing w:after="0" w:line="248" w:lineRule="exact"/>
        <w:rPr>
          <w:rFonts w:ascii="Times New Roman" w:cs="Times New Roman" w:eastAsia="Times New Roman" w:hAnsi="Times New Roman"/>
          <w:sz w:val="16"/>
          <w:szCs w:val="16"/>
          <w:color w:val="auto"/>
        </w:rPr>
      </w:pPr>
    </w:p>
    <w:p>
      <w:pPr>
        <w:ind w:left="-340" w:firstLine="656"/>
        <w:spacing w:after="0" w:line="316" w:lineRule="auto"/>
        <w:tabs>
          <w:tab w:leader="none" w:pos="668"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Excess Equity Award</w:t>
      </w:r>
      <w:r>
        <w:rPr>
          <w:rFonts w:ascii="Times New Roman" w:cs="Times New Roman" w:eastAsia="Times New Roman" w:hAnsi="Times New Roman"/>
          <w:sz w:val="16"/>
          <w:szCs w:val="16"/>
          <w:color w:val="auto"/>
        </w:rPr>
        <w:t>” means the positive difference, if any, between the value of the Award granted to an Executive Officer and the Award that would have been made to such Executive Officer had the amount of the Award been calculated based on the Company’s financial statements as restated.</w:t>
      </w:r>
    </w:p>
    <w:p>
      <w:pPr>
        <w:spacing w:after="0" w:line="163" w:lineRule="exact"/>
        <w:rPr>
          <w:rFonts w:ascii="Times New Roman" w:cs="Times New Roman" w:eastAsia="Times New Roman" w:hAnsi="Times New Roman"/>
          <w:sz w:val="16"/>
          <w:szCs w:val="16"/>
          <w:color w:val="auto"/>
        </w:rPr>
      </w:pPr>
    </w:p>
    <w:p>
      <w:pPr>
        <w:ind w:left="-340" w:firstLine="656"/>
        <w:spacing w:after="0" w:line="316" w:lineRule="auto"/>
        <w:tabs>
          <w:tab w:leader="none" w:pos="745"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Excess Parachute Payment</w:t>
      </w:r>
      <w:r>
        <w:rPr>
          <w:rFonts w:ascii="Times New Roman" w:cs="Times New Roman" w:eastAsia="Times New Roman" w:hAnsi="Times New Roman"/>
          <w:sz w:val="16"/>
          <w:szCs w:val="16"/>
          <w:color w:val="auto"/>
        </w:rPr>
        <w:t>” means a payment that creates an obligation for a Participant to pay excise taxes under Code Section 280G or any successor provision thereto.</w:t>
      </w:r>
    </w:p>
    <w:p>
      <w:pPr>
        <w:spacing w:after="0" w:line="163" w:lineRule="exact"/>
        <w:rPr>
          <w:rFonts w:ascii="Times New Roman" w:cs="Times New Roman" w:eastAsia="Times New Roman" w:hAnsi="Times New Roman"/>
          <w:sz w:val="16"/>
          <w:szCs w:val="16"/>
          <w:color w:val="auto"/>
        </w:rPr>
      </w:pPr>
    </w:p>
    <w:p>
      <w:pPr>
        <w:ind w:left="680" w:hanging="364"/>
        <w:spacing w:after="0"/>
        <w:tabs>
          <w:tab w:leader="none" w:pos="6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means the Securities Exchange Act of 1934, as amended.</w:t>
      </w:r>
    </w:p>
    <w:p>
      <w:pPr>
        <w:spacing w:after="0" w:line="248" w:lineRule="exact"/>
        <w:rPr>
          <w:rFonts w:ascii="Times New Roman" w:cs="Times New Roman" w:eastAsia="Times New Roman" w:hAnsi="Times New Roman"/>
          <w:sz w:val="16"/>
          <w:szCs w:val="16"/>
          <w:color w:val="auto"/>
        </w:rPr>
      </w:pPr>
    </w:p>
    <w:p>
      <w:pPr>
        <w:ind w:left="720" w:hanging="404"/>
        <w:spacing w:after="0"/>
        <w:tabs>
          <w:tab w:leader="none" w:pos="7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Exercise Price</w:t>
      </w:r>
      <w:r>
        <w:rPr>
          <w:rFonts w:ascii="Times New Roman" w:cs="Times New Roman" w:eastAsia="Times New Roman" w:hAnsi="Times New Roman"/>
          <w:sz w:val="16"/>
          <w:szCs w:val="16"/>
          <w:color w:val="auto"/>
        </w:rPr>
        <w:t>” means the price per Share of Common Stock at which an Option or Stock Appreciation Right may be exercised.</w:t>
      </w:r>
    </w:p>
    <w:p>
      <w:pPr>
        <w:spacing w:after="0" w:line="248" w:lineRule="exact"/>
        <w:rPr>
          <w:rFonts w:ascii="Times New Roman" w:cs="Times New Roman" w:eastAsia="Times New Roman" w:hAnsi="Times New Roman"/>
          <w:sz w:val="16"/>
          <w:szCs w:val="16"/>
          <w:color w:val="auto"/>
        </w:rPr>
      </w:pPr>
    </w:p>
    <w:p>
      <w:pPr>
        <w:jc w:val="both"/>
        <w:ind w:left="-340" w:firstLine="656"/>
        <w:spacing w:after="0" w:line="299" w:lineRule="auto"/>
        <w:tabs>
          <w:tab w:leader="none" w:pos="704"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Fair Market Value</w:t>
      </w:r>
      <w:r>
        <w:rPr>
          <w:rFonts w:ascii="Times New Roman" w:cs="Times New Roman" w:eastAsia="Times New Roman" w:hAnsi="Times New Roman"/>
          <w:sz w:val="16"/>
          <w:szCs w:val="16"/>
          <w:color w:val="auto"/>
        </w:rPr>
        <w:t xml:space="preserve">” of a Share as of a specified date, unless otherwise determined by the Committee, means the closing price at which Shares are traded on such date (or, if no trading of Shares is reported for that day, on the next following day on which trading is reported) on the principal stock market or exchange on which the Shares are traded; </w:t>
      </w: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xml:space="preserve"> if Shares are not so traded, the fair market value shall be determined by the Committee.</w:t>
      </w:r>
    </w:p>
    <w:p>
      <w:pPr>
        <w:spacing w:after="0" w:line="176" w:lineRule="exact"/>
        <w:rPr>
          <w:rFonts w:ascii="Times New Roman" w:cs="Times New Roman" w:eastAsia="Times New Roman" w:hAnsi="Times New Roman"/>
          <w:sz w:val="16"/>
          <w:szCs w:val="16"/>
          <w:color w:val="auto"/>
        </w:rPr>
      </w:pPr>
    </w:p>
    <w:p>
      <w:pPr>
        <w:jc w:val="both"/>
        <w:ind w:left="-340" w:right="20" w:firstLine="656"/>
        <w:spacing w:after="0" w:line="299" w:lineRule="auto"/>
        <w:tabs>
          <w:tab w:leader="none" w:pos="677"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Family Member</w:t>
      </w:r>
      <w:r>
        <w:rPr>
          <w:rFonts w:ascii="Times New Roman" w:cs="Times New Roman" w:eastAsia="Times New Roman" w:hAnsi="Times New Roman"/>
          <w:sz w:val="16"/>
          <w:szCs w:val="16"/>
          <w:color w:val="auto"/>
        </w:rPr>
        <w:t>” means any person identified as an “immediate family” member in Rule 16(a)-1(c) of the Exchange Act, as such Rule may be amended from time to time. Notwithstanding the foregoing, the Administrator may designate any other person(s) or entity(ies) as a “family member” to the extent consistent with applicable securities laws.</w:t>
      </w:r>
    </w:p>
    <w:p>
      <w:pPr>
        <w:spacing w:after="0" w:line="176" w:lineRule="exact"/>
        <w:rPr>
          <w:rFonts w:ascii="Times New Roman" w:cs="Times New Roman" w:eastAsia="Times New Roman" w:hAnsi="Times New Roman"/>
          <w:sz w:val="16"/>
          <w:szCs w:val="16"/>
          <w:color w:val="auto"/>
        </w:rPr>
      </w:pPr>
    </w:p>
    <w:p>
      <w:pPr>
        <w:ind w:left="680" w:hanging="364"/>
        <w:spacing w:after="0"/>
        <w:tabs>
          <w:tab w:leader="none" w:pos="6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Full Value Award</w:t>
      </w:r>
      <w:r>
        <w:rPr>
          <w:rFonts w:ascii="Times New Roman" w:cs="Times New Roman" w:eastAsia="Times New Roman" w:hAnsi="Times New Roman"/>
          <w:sz w:val="16"/>
          <w:szCs w:val="16"/>
          <w:color w:val="auto"/>
        </w:rPr>
        <w:t>” means an Award denominated in Shares that does not provide for full payment in cash or property by the Participant.</w:t>
      </w:r>
    </w:p>
    <w:p>
      <w:pPr>
        <w:spacing w:after="0" w:line="248" w:lineRule="exact"/>
        <w:rPr>
          <w:sz w:val="20"/>
          <w:szCs w:val="20"/>
          <w:color w:val="auto"/>
        </w:rPr>
      </w:pPr>
    </w:p>
    <w:p>
      <w:pPr>
        <w:ind w:left="740" w:hanging="424"/>
        <w:spacing w:after="0"/>
        <w:tabs>
          <w:tab w:leader="none" w:pos="74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Grant Date</w:t>
      </w:r>
      <w:r>
        <w:rPr>
          <w:rFonts w:ascii="Times New Roman" w:cs="Times New Roman" w:eastAsia="Times New Roman" w:hAnsi="Times New Roman"/>
          <w:sz w:val="16"/>
          <w:szCs w:val="16"/>
          <w:color w:val="auto"/>
        </w:rPr>
        <w:t>” means, with respect to any Award, the date the Administrator grants the Award.</w:t>
      </w:r>
    </w:p>
    <w:p>
      <w:pPr>
        <w:spacing w:after="0" w:line="248" w:lineRule="exact"/>
        <w:rPr>
          <w:rFonts w:ascii="Times New Roman" w:cs="Times New Roman" w:eastAsia="Times New Roman" w:hAnsi="Times New Roman"/>
          <w:sz w:val="16"/>
          <w:szCs w:val="16"/>
          <w:color w:val="auto"/>
        </w:rPr>
      </w:pPr>
    </w:p>
    <w:p>
      <w:pPr>
        <w:ind w:left="800" w:hanging="484"/>
        <w:spacing w:after="0"/>
        <w:tabs>
          <w:tab w:leader="none" w:pos="80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Incentive Stock Option</w:t>
      </w:r>
      <w:r>
        <w:rPr>
          <w:rFonts w:ascii="Times New Roman" w:cs="Times New Roman" w:eastAsia="Times New Roman" w:hAnsi="Times New Roman"/>
          <w:sz w:val="16"/>
          <w:szCs w:val="16"/>
          <w:color w:val="auto"/>
        </w:rPr>
        <w:t>” means an Option described in Code Section 422(b).</w:t>
      </w:r>
    </w:p>
    <w:p>
      <w:pPr>
        <w:spacing w:after="0" w:line="248" w:lineRule="exact"/>
        <w:rPr>
          <w:rFonts w:ascii="Times New Roman" w:cs="Times New Roman" w:eastAsia="Times New Roman" w:hAnsi="Times New Roman"/>
          <w:sz w:val="16"/>
          <w:szCs w:val="16"/>
          <w:color w:val="auto"/>
        </w:rPr>
      </w:pPr>
    </w:p>
    <w:p>
      <w:pPr>
        <w:ind w:left="-340" w:firstLine="656"/>
        <w:spacing w:after="0" w:line="316" w:lineRule="auto"/>
        <w:tabs>
          <w:tab w:leader="none" w:pos="808"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Incumbent Directors</w:t>
      </w:r>
      <w:r>
        <w:rPr>
          <w:rFonts w:ascii="Times New Roman" w:cs="Times New Roman" w:eastAsia="Times New Roman" w:hAnsi="Times New Roman"/>
          <w:sz w:val="16"/>
          <w:szCs w:val="16"/>
          <w:color w:val="auto"/>
        </w:rPr>
        <w:t>” means the individuals who, as of the date of adoption of this Plan, are Directors of the Company and any individual becoming a Director subsequent to the date hereof whose election, nomination for election by the Company’s shareholders, or</w:t>
      </w:r>
    </w:p>
    <w:p>
      <w:pPr>
        <w:sectPr>
          <w:pgSz w:w="11900" w:h="16838" w:orient="portrait"/>
          <w:cols w:equalWidth="0" w:num="1">
            <w:col w:w="11080"/>
          </w:cols>
          <w:pgMar w:left="580" w:top="585" w:right="239" w:bottom="1440" w:gutter="0" w:footer="0" w:header="0"/>
        </w:sectPr>
      </w:pPr>
    </w:p>
    <w:bookmarkStart w:id="106" w:name="page107"/>
    <w:bookmarkEnd w:id="106"/>
    <w:p>
      <w:pPr>
        <w:jc w:val="both"/>
        <w:spacing w:after="0" w:line="258" w:lineRule="auto"/>
        <w:rPr>
          <w:sz w:val="20"/>
          <w:szCs w:val="20"/>
          <w:color w:val="auto"/>
        </w:rPr>
      </w:pPr>
      <w:r>
        <w:rPr>
          <w:rFonts w:ascii="Times New Roman" w:cs="Times New Roman" w:eastAsia="Times New Roman" w:hAnsi="Times New Roman"/>
          <w:sz w:val="16"/>
          <w:szCs w:val="16"/>
          <w:color w:val="auto"/>
        </w:rPr>
        <w:t xml:space="preserve">appointment was approved by a vote of at least two-thirds of the then Incumbent Directors (either by a specific vote or by approval of the proxy statement of the Company in which such person is named as a nominee for director, without objection to such nomination);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an individual shall not be an Incumbent Director if such individual’s election or appointment to the Board occurs as a result of an actual or threatened election contest (as described in Rule 14a-12(c) of the Exchange Act) with respect to the election or removal of Directors or other actual or threatened solicitation of proxies or consents by or on behalf of a Person other than the Board.</w:t>
      </w:r>
    </w:p>
    <w:p>
      <w:pPr>
        <w:spacing w:after="0" w:line="195" w:lineRule="exact"/>
        <w:rPr>
          <w:sz w:val="20"/>
          <w:szCs w:val="20"/>
          <w:color w:val="auto"/>
        </w:rPr>
      </w:pPr>
    </w:p>
    <w:p>
      <w:pPr>
        <w:ind w:left="1100" w:hanging="444"/>
        <w:spacing w:after="0"/>
        <w:tabs>
          <w:tab w:leader="none" w:pos="1100"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Independent Committee</w:t>
      </w:r>
      <w:r>
        <w:rPr>
          <w:rFonts w:ascii="Times New Roman" w:cs="Times New Roman" w:eastAsia="Times New Roman" w:hAnsi="Times New Roman"/>
          <w:sz w:val="16"/>
          <w:szCs w:val="16"/>
          <w:color w:val="auto"/>
        </w:rPr>
        <w:t>” means any committee consisting of independent Directors designated by the independent members of the Board.</w:t>
      </w:r>
    </w:p>
    <w:p>
      <w:pPr>
        <w:spacing w:after="0" w:line="248" w:lineRule="exact"/>
        <w:rPr>
          <w:rFonts w:ascii="Times New Roman" w:cs="Times New Roman" w:eastAsia="Times New Roman" w:hAnsi="Times New Roman"/>
          <w:sz w:val="16"/>
          <w:szCs w:val="16"/>
          <w:color w:val="auto"/>
        </w:rPr>
      </w:pPr>
    </w:p>
    <w:p>
      <w:pPr>
        <w:ind w:left="1080" w:hanging="424"/>
        <w:spacing w:after="0"/>
        <w:tabs>
          <w:tab w:leader="none" w:pos="1080"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Nonqualified Stock Option</w:t>
      </w:r>
      <w:r>
        <w:rPr>
          <w:rFonts w:ascii="Times New Roman" w:cs="Times New Roman" w:eastAsia="Times New Roman" w:hAnsi="Times New Roman"/>
          <w:sz w:val="16"/>
          <w:szCs w:val="16"/>
          <w:color w:val="auto"/>
        </w:rPr>
        <w:t>” means an Option not described in Code Section 422(b) or 423(b).</w:t>
      </w:r>
    </w:p>
    <w:p>
      <w:pPr>
        <w:spacing w:after="0" w:line="248" w:lineRule="exact"/>
        <w:rPr>
          <w:rFonts w:ascii="Times New Roman" w:cs="Times New Roman" w:eastAsia="Times New Roman" w:hAnsi="Times New Roman"/>
          <w:sz w:val="16"/>
          <w:szCs w:val="16"/>
          <w:color w:val="auto"/>
        </w:rPr>
      </w:pPr>
    </w:p>
    <w:p>
      <w:pPr>
        <w:ind w:left="1040" w:hanging="384"/>
        <w:spacing w:after="0"/>
        <w:tabs>
          <w:tab w:leader="none" w:pos="1040"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Non-Employee Director</w:t>
      </w:r>
      <w:r>
        <w:rPr>
          <w:rFonts w:ascii="Times New Roman" w:cs="Times New Roman" w:eastAsia="Times New Roman" w:hAnsi="Times New Roman"/>
          <w:sz w:val="16"/>
          <w:szCs w:val="16"/>
          <w:color w:val="auto"/>
        </w:rPr>
        <w:t>” means a Director who is not an Employee.</w:t>
      </w:r>
    </w:p>
    <w:p>
      <w:pPr>
        <w:spacing w:after="0" w:line="248" w:lineRule="exact"/>
        <w:rPr>
          <w:rFonts w:ascii="Times New Roman" w:cs="Times New Roman" w:eastAsia="Times New Roman" w:hAnsi="Times New Roman"/>
          <w:sz w:val="16"/>
          <w:szCs w:val="16"/>
          <w:color w:val="auto"/>
        </w:rPr>
      </w:pPr>
    </w:p>
    <w:p>
      <w:pPr>
        <w:ind w:left="1100" w:hanging="444"/>
        <w:spacing w:after="0"/>
        <w:tabs>
          <w:tab w:leader="none" w:pos="1100"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Option</w:t>
      </w:r>
      <w:r>
        <w:rPr>
          <w:rFonts w:ascii="Times New Roman" w:cs="Times New Roman" w:eastAsia="Times New Roman" w:hAnsi="Times New Roman"/>
          <w:sz w:val="16"/>
          <w:szCs w:val="16"/>
          <w:color w:val="auto"/>
        </w:rPr>
        <w:t>” means a stock option granted pursuant to Section 7.</w:t>
      </w:r>
    </w:p>
    <w:p>
      <w:pPr>
        <w:spacing w:after="0" w:line="248" w:lineRule="exact"/>
        <w:rPr>
          <w:rFonts w:ascii="Times New Roman" w:cs="Times New Roman" w:eastAsia="Times New Roman" w:hAnsi="Times New Roman"/>
          <w:sz w:val="16"/>
          <w:szCs w:val="16"/>
          <w:color w:val="auto"/>
        </w:rPr>
      </w:pPr>
    </w:p>
    <w:p>
      <w:pPr>
        <w:jc w:val="both"/>
        <w:ind w:firstLine="656"/>
        <w:spacing w:after="0" w:line="293" w:lineRule="auto"/>
        <w:tabs>
          <w:tab w:leader="none" w:pos="1139"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Option Proceeds</w:t>
      </w:r>
      <w:r>
        <w:rPr>
          <w:rFonts w:ascii="Times New Roman" w:cs="Times New Roman" w:eastAsia="Times New Roman" w:hAnsi="Times New Roman"/>
          <w:sz w:val="16"/>
          <w:szCs w:val="16"/>
          <w:color w:val="auto"/>
        </w:rPr>
        <w:t>” means, with respect to any sale or other disposition of Shares issued or issuable upon the exercise of an Option, an amount determined appropriate by the independent members of the Board or the Independent Committee, in its sole judgment, to reflect the effect of a restatement of the Company’s financial statements on the Company’s stock price, up to an amount equal to the number of Shares sold or disposed of, multiplied by a number equal to the difference between the Fair Market Value per Share at the time of sale or disposition and the Exercise Price.</w:t>
      </w:r>
    </w:p>
    <w:p>
      <w:pPr>
        <w:spacing w:after="0" w:line="181" w:lineRule="exact"/>
        <w:rPr>
          <w:rFonts w:ascii="Times New Roman" w:cs="Times New Roman" w:eastAsia="Times New Roman" w:hAnsi="Times New Roman"/>
          <w:sz w:val="16"/>
          <w:szCs w:val="16"/>
          <w:color w:val="auto"/>
        </w:rPr>
      </w:pPr>
    </w:p>
    <w:p>
      <w:pPr>
        <w:ind w:left="1040" w:hanging="384"/>
        <w:spacing w:after="0"/>
        <w:tabs>
          <w:tab w:leader="none" w:pos="1040"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Other Share-Based Award</w:t>
      </w:r>
      <w:r>
        <w:rPr>
          <w:rFonts w:ascii="Times New Roman" w:cs="Times New Roman" w:eastAsia="Times New Roman" w:hAnsi="Times New Roman"/>
          <w:sz w:val="16"/>
          <w:szCs w:val="16"/>
          <w:color w:val="auto"/>
        </w:rPr>
        <w:t>” means an Award granted pursuant to Section 12.</w:t>
      </w:r>
    </w:p>
    <w:p>
      <w:pPr>
        <w:spacing w:after="0" w:line="248" w:lineRule="exact"/>
        <w:rPr>
          <w:rFonts w:ascii="Times New Roman" w:cs="Times New Roman" w:eastAsia="Times New Roman" w:hAnsi="Times New Roman"/>
          <w:sz w:val="16"/>
          <w:szCs w:val="16"/>
          <w:color w:val="auto"/>
        </w:rPr>
      </w:pPr>
    </w:p>
    <w:p>
      <w:pPr>
        <w:ind w:left="1040" w:hanging="384"/>
        <w:spacing w:after="0"/>
        <w:tabs>
          <w:tab w:leader="none" w:pos="1040"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Participant</w:t>
      </w:r>
      <w:r>
        <w:rPr>
          <w:rFonts w:ascii="Times New Roman" w:cs="Times New Roman" w:eastAsia="Times New Roman" w:hAnsi="Times New Roman"/>
          <w:sz w:val="16"/>
          <w:szCs w:val="16"/>
          <w:color w:val="auto"/>
        </w:rPr>
        <w:t>” means an Employee or Director who has received an Award.</w:t>
      </w:r>
    </w:p>
    <w:p>
      <w:pPr>
        <w:spacing w:after="0" w:line="248" w:lineRule="exact"/>
        <w:rPr>
          <w:rFonts w:ascii="Times New Roman" w:cs="Times New Roman" w:eastAsia="Times New Roman" w:hAnsi="Times New Roman"/>
          <w:sz w:val="16"/>
          <w:szCs w:val="16"/>
          <w:color w:val="auto"/>
        </w:rPr>
      </w:pPr>
    </w:p>
    <w:p>
      <w:pPr>
        <w:jc w:val="both"/>
        <w:ind w:firstLine="656"/>
        <w:spacing w:after="0" w:line="299" w:lineRule="auto"/>
        <w:tabs>
          <w:tab w:leader="none" w:pos="1098"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Performance Shares</w:t>
      </w:r>
      <w:r>
        <w:rPr>
          <w:rFonts w:ascii="Times New Roman" w:cs="Times New Roman" w:eastAsia="Times New Roman" w:hAnsi="Times New Roman"/>
          <w:sz w:val="16"/>
          <w:szCs w:val="16"/>
          <w:color w:val="auto"/>
        </w:rPr>
        <w:t>” means an Award denominated in Shares granted pursuant to Section 11 that may be earned in whole or in part based upon attainment of performance objectives, which shall be established by the Administrator pursuant to Section 14 with respect to Awards intended to be “performance-based” for purposes of Section 162(m) of the Code.</w:t>
      </w:r>
    </w:p>
    <w:p>
      <w:pPr>
        <w:spacing w:after="0" w:line="176" w:lineRule="exact"/>
        <w:rPr>
          <w:rFonts w:ascii="Times New Roman" w:cs="Times New Roman" w:eastAsia="Times New Roman" w:hAnsi="Times New Roman"/>
          <w:sz w:val="16"/>
          <w:szCs w:val="16"/>
          <w:color w:val="auto"/>
        </w:rPr>
      </w:pPr>
    </w:p>
    <w:p>
      <w:pPr>
        <w:ind w:left="1040" w:hanging="384"/>
        <w:spacing w:after="0"/>
        <w:tabs>
          <w:tab w:leader="none" w:pos="1040"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Plan</w:t>
      </w:r>
      <w:r>
        <w:rPr>
          <w:rFonts w:ascii="Times New Roman" w:cs="Times New Roman" w:eastAsia="Times New Roman" w:hAnsi="Times New Roman"/>
          <w:sz w:val="16"/>
          <w:szCs w:val="16"/>
          <w:color w:val="auto"/>
        </w:rPr>
        <w:t>” means this 2006 Equity Incentive Plan, as amended and restated.</w:t>
      </w:r>
    </w:p>
    <w:p>
      <w:pPr>
        <w:spacing w:after="0" w:line="248" w:lineRule="exact"/>
        <w:rPr>
          <w:rFonts w:ascii="Times New Roman" w:cs="Times New Roman" w:eastAsia="Times New Roman" w:hAnsi="Times New Roman"/>
          <w:sz w:val="16"/>
          <w:szCs w:val="16"/>
          <w:color w:val="auto"/>
        </w:rPr>
      </w:pPr>
    </w:p>
    <w:p>
      <w:pPr>
        <w:ind w:left="1200" w:hanging="544"/>
        <w:spacing w:after="0"/>
        <w:tabs>
          <w:tab w:leader="none" w:pos="1200"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Prior Plans</w:t>
      </w:r>
      <w:r>
        <w:rPr>
          <w:rFonts w:ascii="Times New Roman" w:cs="Times New Roman" w:eastAsia="Times New Roman" w:hAnsi="Times New Roman"/>
          <w:sz w:val="16"/>
          <w:szCs w:val="16"/>
          <w:color w:val="auto"/>
        </w:rPr>
        <w:t>” means the Company’s 2002 Price-Vested Stock Option Plan, the 1996 Price-Vested Stock Option Plan and the Time-Vested Stock Option Plan.</w:t>
      </w:r>
    </w:p>
    <w:p>
      <w:pPr>
        <w:spacing w:after="0" w:line="248" w:lineRule="exact"/>
        <w:rPr>
          <w:rFonts w:ascii="Times New Roman" w:cs="Times New Roman" w:eastAsia="Times New Roman" w:hAnsi="Times New Roman"/>
          <w:sz w:val="16"/>
          <w:szCs w:val="16"/>
          <w:color w:val="auto"/>
        </w:rPr>
      </w:pPr>
    </w:p>
    <w:p>
      <w:pPr>
        <w:ind w:left="1100" w:hanging="444"/>
        <w:spacing w:after="0"/>
        <w:tabs>
          <w:tab w:leader="none" w:pos="1100"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Purchase Price</w:t>
      </w:r>
      <w:r>
        <w:rPr>
          <w:rFonts w:ascii="Times New Roman" w:cs="Times New Roman" w:eastAsia="Times New Roman" w:hAnsi="Times New Roman"/>
          <w:sz w:val="16"/>
          <w:szCs w:val="16"/>
          <w:color w:val="auto"/>
        </w:rPr>
        <w:t>” means the Exercise Price times the number of whole Shares with respect to which an Option is exercised.</w:t>
      </w:r>
    </w:p>
    <w:p>
      <w:pPr>
        <w:spacing w:after="0" w:line="248" w:lineRule="exact"/>
        <w:rPr>
          <w:rFonts w:ascii="Times New Roman" w:cs="Times New Roman" w:eastAsia="Times New Roman" w:hAnsi="Times New Roman"/>
          <w:sz w:val="16"/>
          <w:szCs w:val="16"/>
          <w:color w:val="auto"/>
        </w:rPr>
      </w:pPr>
    </w:p>
    <w:p>
      <w:pPr>
        <w:ind w:left="1100" w:hanging="444"/>
        <w:spacing w:after="0"/>
        <w:tabs>
          <w:tab w:leader="none" w:pos="1100"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Restricted Stock</w:t>
      </w:r>
      <w:r>
        <w:rPr>
          <w:rFonts w:ascii="Times New Roman" w:cs="Times New Roman" w:eastAsia="Times New Roman" w:hAnsi="Times New Roman"/>
          <w:sz w:val="16"/>
          <w:szCs w:val="16"/>
          <w:color w:val="auto"/>
        </w:rPr>
        <w:t>” means Shares granted pursuant to Section 9.</w:t>
      </w:r>
    </w:p>
    <w:p>
      <w:pPr>
        <w:spacing w:after="0" w:line="248" w:lineRule="exact"/>
        <w:rPr>
          <w:rFonts w:ascii="Times New Roman" w:cs="Times New Roman" w:eastAsia="Times New Roman" w:hAnsi="Times New Roman"/>
          <w:sz w:val="16"/>
          <w:szCs w:val="16"/>
          <w:color w:val="auto"/>
        </w:rPr>
      </w:pPr>
    </w:p>
    <w:p>
      <w:pPr>
        <w:ind w:firstLine="656"/>
        <w:spacing w:after="0" w:line="316" w:lineRule="auto"/>
        <w:tabs>
          <w:tab w:leader="none" w:pos="1139"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Restricted Stock Unit</w:t>
      </w:r>
      <w:r>
        <w:rPr>
          <w:rFonts w:ascii="Times New Roman" w:cs="Times New Roman" w:eastAsia="Times New Roman" w:hAnsi="Times New Roman"/>
          <w:sz w:val="16"/>
          <w:szCs w:val="16"/>
          <w:color w:val="auto"/>
        </w:rPr>
        <w:t>” means an Award denominated in Shares granted pursuant to Section 10 in which the Participant has the right to receive a specified number of Shares over a specified period of time.</w:t>
      </w:r>
    </w:p>
    <w:p>
      <w:pPr>
        <w:spacing w:after="0" w:line="163" w:lineRule="exact"/>
        <w:rPr>
          <w:rFonts w:ascii="Times New Roman" w:cs="Times New Roman" w:eastAsia="Times New Roman" w:hAnsi="Times New Roman"/>
          <w:sz w:val="16"/>
          <w:szCs w:val="16"/>
          <w:color w:val="auto"/>
        </w:rPr>
      </w:pPr>
    </w:p>
    <w:p>
      <w:pPr>
        <w:ind w:firstLine="656"/>
        <w:spacing w:after="0" w:line="316" w:lineRule="auto"/>
        <w:tabs>
          <w:tab w:leader="none" w:pos="1125"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Retirement</w:t>
      </w:r>
      <w:r>
        <w:rPr>
          <w:rFonts w:ascii="Times New Roman" w:cs="Times New Roman" w:eastAsia="Times New Roman" w:hAnsi="Times New Roman"/>
          <w:sz w:val="16"/>
          <w:szCs w:val="16"/>
          <w:color w:val="auto"/>
        </w:rPr>
        <w:t>” means the voluntary termination of employment by an Employee at (i) age 60 or (ii) age 55 or older at a time when age plus years of service equals or exceeds 65.</w:t>
      </w:r>
    </w:p>
    <w:p>
      <w:pPr>
        <w:spacing w:after="0" w:line="163"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Share</w:t>
      </w:r>
      <w:r>
        <w:rPr>
          <w:rFonts w:ascii="Times New Roman" w:cs="Times New Roman" w:eastAsia="Times New Roman" w:hAnsi="Times New Roman"/>
          <w:sz w:val="16"/>
          <w:szCs w:val="16"/>
          <w:color w:val="auto"/>
        </w:rPr>
        <w:t>” means one share of Common Stock, adjusted in accordance with Section 19 (if applicable).</w:t>
      </w:r>
    </w:p>
    <w:p>
      <w:pPr>
        <w:spacing w:after="0" w:line="248" w:lineRule="exact"/>
        <w:rPr>
          <w:rFonts w:ascii="Times New Roman" w:cs="Times New Roman" w:eastAsia="Times New Roman" w:hAnsi="Times New Roman"/>
          <w:sz w:val="16"/>
          <w:szCs w:val="16"/>
          <w:color w:val="auto"/>
        </w:rPr>
      </w:pPr>
    </w:p>
    <w:p>
      <w:pPr>
        <w:ind w:left="1080" w:hanging="424"/>
        <w:spacing w:after="0"/>
        <w:tabs>
          <w:tab w:leader="none" w:pos="1080"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Share Equivalent</w:t>
      </w:r>
      <w:r>
        <w:rPr>
          <w:rFonts w:ascii="Times New Roman" w:cs="Times New Roman" w:eastAsia="Times New Roman" w:hAnsi="Times New Roman"/>
          <w:sz w:val="16"/>
          <w:szCs w:val="16"/>
          <w:color w:val="auto"/>
        </w:rPr>
        <w:t>” means a bookkeeping entry representing a right to the equivalent of one Share.</w:t>
      </w:r>
    </w:p>
    <w:p>
      <w:pPr>
        <w:spacing w:after="0" w:line="248" w:lineRule="exact"/>
        <w:rPr>
          <w:rFonts w:ascii="Times New Roman" w:cs="Times New Roman" w:eastAsia="Times New Roman" w:hAnsi="Times New Roman"/>
          <w:sz w:val="16"/>
          <w:szCs w:val="16"/>
          <w:color w:val="auto"/>
        </w:rPr>
      </w:pPr>
    </w:p>
    <w:p>
      <w:pPr>
        <w:ind w:firstLine="656"/>
        <w:spacing w:after="0" w:line="316" w:lineRule="auto"/>
        <w:tabs>
          <w:tab w:leader="none" w:pos="1040"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Stock Right</w:t>
      </w:r>
      <w:r>
        <w:rPr>
          <w:rFonts w:ascii="Times New Roman" w:cs="Times New Roman" w:eastAsia="Times New Roman" w:hAnsi="Times New Roman"/>
          <w:sz w:val="16"/>
          <w:szCs w:val="16"/>
          <w:color w:val="auto"/>
        </w:rPr>
        <w:t>” means a right to receive an amount equal to the value of a specified number of Shares which will be payable in Shares or cash as established by the Administrator.</w:t>
      </w:r>
    </w:p>
    <w:p>
      <w:pPr>
        <w:spacing w:after="0" w:line="163" w:lineRule="exact"/>
        <w:rPr>
          <w:rFonts w:ascii="Times New Roman" w:cs="Times New Roman" w:eastAsia="Times New Roman" w:hAnsi="Times New Roman"/>
          <w:sz w:val="16"/>
          <w:szCs w:val="16"/>
          <w:color w:val="auto"/>
        </w:rPr>
      </w:pPr>
    </w:p>
    <w:p>
      <w:pPr>
        <w:ind w:right="20" w:firstLine="656"/>
        <w:spacing w:after="0" w:line="316" w:lineRule="auto"/>
        <w:tabs>
          <w:tab w:leader="none" w:pos="1098"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Subsidiary</w:t>
      </w:r>
      <w:r>
        <w:rPr>
          <w:rFonts w:ascii="Times New Roman" w:cs="Times New Roman" w:eastAsia="Times New Roman" w:hAnsi="Times New Roman"/>
          <w:sz w:val="16"/>
          <w:szCs w:val="16"/>
          <w:color w:val="auto"/>
        </w:rPr>
        <w:t>” means any company in an unbroken chain of companies beginning with the Company if each of the companies other than the last company in the unbroken chain owns stock possessing 50% or more of the total combined voting power of all classes of stock in one of the other Companies in such chain.</w:t>
      </w:r>
    </w:p>
    <w:p>
      <w:pPr>
        <w:spacing w:after="0" w:line="161" w:lineRule="exact"/>
        <w:rPr>
          <w:rFonts w:ascii="Times New Roman" w:cs="Times New Roman" w:eastAsia="Times New Roman" w:hAnsi="Times New Roman"/>
          <w:sz w:val="16"/>
          <w:szCs w:val="16"/>
          <w:color w:val="auto"/>
        </w:rPr>
      </w:pPr>
    </w:p>
    <w:p>
      <w:pPr>
        <w:ind w:left="300" w:hanging="292"/>
        <w:spacing w:after="0"/>
        <w:tabs>
          <w:tab w:leader="none" w:pos="300" w:val="left"/>
        </w:tabs>
        <w:numPr>
          <w:ilvl w:val="0"/>
          <w:numId w:val="5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EFFECTIVE DATE</w:t>
      </w:r>
      <w:r>
        <w:rPr>
          <w:rFonts w:ascii="Times New Roman" w:cs="Times New Roman" w:eastAsia="Times New Roman" w:hAnsi="Times New Roman"/>
          <w:sz w:val="16"/>
          <w:szCs w:val="16"/>
          <w:b w:val="1"/>
          <w:bCs w:val="1"/>
          <w:color w:val="auto"/>
        </w:rPr>
        <w:t>.</w:t>
      </w:r>
    </w:p>
    <w:p>
      <w:pPr>
        <w:spacing w:after="0" w:line="250" w:lineRule="exact"/>
        <w:rPr>
          <w:sz w:val="20"/>
          <w:szCs w:val="20"/>
          <w:color w:val="auto"/>
        </w:rPr>
      </w:pPr>
    </w:p>
    <w:p>
      <w:pPr>
        <w:jc w:val="both"/>
        <w:ind w:firstLine="648"/>
        <w:spacing w:after="0" w:line="299" w:lineRule="auto"/>
        <w:rPr>
          <w:sz w:val="20"/>
          <w:szCs w:val="20"/>
          <w:color w:val="auto"/>
        </w:rPr>
      </w:pPr>
      <w:r>
        <w:rPr>
          <w:rFonts w:ascii="Times New Roman" w:cs="Times New Roman" w:eastAsia="Times New Roman" w:hAnsi="Times New Roman"/>
          <w:sz w:val="16"/>
          <w:szCs w:val="16"/>
          <w:color w:val="auto"/>
        </w:rPr>
        <w:t>This Plan was initially adopted by the Board on January 10, 2006, and became effective on the date the Plan was initially approved by the Company's shareholders. This Plan was amended and restated by the Board on January 13, 2015, to be effective on the date the amended and restated Plan is approved by shareholders (the “</w:t>
      </w:r>
      <w:r>
        <w:rPr>
          <w:rFonts w:ascii="Times New Roman" w:cs="Times New Roman" w:eastAsia="Times New Roman" w:hAnsi="Times New Roman"/>
          <w:sz w:val="16"/>
          <w:szCs w:val="16"/>
          <w:u w:val="single" w:color="auto"/>
          <w:color w:val="auto"/>
        </w:rPr>
        <w:t>Effective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Date</w:t>
      </w:r>
      <w:r>
        <w:rPr>
          <w:rFonts w:ascii="Times New Roman" w:cs="Times New Roman" w:eastAsia="Times New Roman" w:hAnsi="Times New Roman"/>
          <w:sz w:val="16"/>
          <w:szCs w:val="16"/>
          <w:color w:val="auto"/>
        </w:rPr>
        <w:t>”).</w:t>
      </w:r>
    </w:p>
    <w:p>
      <w:pPr>
        <w:sectPr>
          <w:pgSz w:w="11900" w:h="16838" w:orient="portrait"/>
          <w:cols w:equalWidth="0" w:num="1">
            <w:col w:w="11420"/>
          </w:cols>
          <w:pgMar w:left="240" w:top="585" w:right="239" w:bottom="1440" w:gutter="0" w:footer="0" w:header="0"/>
        </w:sectPr>
      </w:pPr>
    </w:p>
    <w:bookmarkStart w:id="107" w:name="page108"/>
    <w:bookmarkEnd w:id="107"/>
    <w:p>
      <w:pPr>
        <w:ind w:left="300" w:hanging="292"/>
        <w:spacing w:after="0"/>
        <w:tabs>
          <w:tab w:leader="none" w:pos="300" w:val="left"/>
        </w:tabs>
        <w:numPr>
          <w:ilvl w:val="0"/>
          <w:numId w:val="5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ADMINISTRATION</w:t>
      </w:r>
      <w:r>
        <w:rPr>
          <w:rFonts w:ascii="Times New Roman" w:cs="Times New Roman" w:eastAsia="Times New Roman" w:hAnsi="Times New Roman"/>
          <w:sz w:val="16"/>
          <w:szCs w:val="16"/>
          <w:b w:val="1"/>
          <w:bCs w:val="1"/>
          <w:color w:val="auto"/>
        </w:rPr>
        <w:t>.</w:t>
      </w:r>
    </w:p>
    <w:p>
      <w:pPr>
        <w:spacing w:after="0" w:line="250" w:lineRule="exact"/>
        <w:rPr>
          <w:rFonts w:ascii="Times New Roman" w:cs="Times New Roman" w:eastAsia="Times New Roman" w:hAnsi="Times New Roman"/>
          <w:sz w:val="16"/>
          <w:szCs w:val="16"/>
          <w:b w:val="1"/>
          <w:bCs w:val="1"/>
          <w:color w:val="auto"/>
        </w:rPr>
      </w:pPr>
    </w:p>
    <w:p>
      <w:pPr>
        <w:ind w:firstLine="656"/>
        <w:spacing w:after="0" w:line="316" w:lineRule="auto"/>
        <w:tabs>
          <w:tab w:leader="none" w:pos="1008"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Administration with respect to Non-Employee Directors</w:t>
      </w:r>
      <w:r>
        <w:rPr>
          <w:rFonts w:ascii="Times New Roman" w:cs="Times New Roman" w:eastAsia="Times New Roman" w:hAnsi="Times New Roman"/>
          <w:sz w:val="16"/>
          <w:szCs w:val="16"/>
          <w:color w:val="auto"/>
        </w:rPr>
        <w:t>. With respect to Awards to Non-Employee Directors, the Plan shall be administered by the Governance Committee of the Board or another independent committee of the Board.</w:t>
      </w:r>
    </w:p>
    <w:p>
      <w:pPr>
        <w:spacing w:after="0" w:line="163" w:lineRule="exact"/>
        <w:rPr>
          <w:rFonts w:ascii="Times New Roman" w:cs="Times New Roman" w:eastAsia="Times New Roman" w:hAnsi="Times New Roman"/>
          <w:sz w:val="16"/>
          <w:szCs w:val="16"/>
          <w:color w:val="auto"/>
        </w:rPr>
      </w:pPr>
    </w:p>
    <w:p>
      <w:pPr>
        <w:jc w:val="both"/>
        <w:ind w:firstLine="656"/>
        <w:spacing w:after="0" w:line="299" w:lineRule="auto"/>
        <w:tabs>
          <w:tab w:leader="none" w:pos="1017"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Administration with respect to Employees</w:t>
      </w:r>
      <w:r>
        <w:rPr>
          <w:rFonts w:ascii="Times New Roman" w:cs="Times New Roman" w:eastAsia="Times New Roman" w:hAnsi="Times New Roman"/>
          <w:sz w:val="16"/>
          <w:szCs w:val="16"/>
          <w:color w:val="auto"/>
        </w:rPr>
        <w:t>. With respect to Awards to Employees, the Plan shall be administered by the Board, the Committee or a committee of the Board consisting of Board members who qualify as an “outside director” for purposes of Code Section 162(m) and as a “non-employee director” for purposes of Rule 16b-3 promulgated under the Exchange Act.</w:t>
      </w:r>
    </w:p>
    <w:p>
      <w:pPr>
        <w:spacing w:after="0" w:line="176" w:lineRule="exact"/>
        <w:rPr>
          <w:rFonts w:ascii="Times New Roman" w:cs="Times New Roman" w:eastAsia="Times New Roman" w:hAnsi="Times New Roman"/>
          <w:sz w:val="16"/>
          <w:szCs w:val="16"/>
          <w:color w:val="auto"/>
        </w:rPr>
      </w:pPr>
    </w:p>
    <w:p>
      <w:pPr>
        <w:jc w:val="both"/>
        <w:ind w:left="340" w:firstLine="640"/>
        <w:spacing w:after="0" w:line="293" w:lineRule="auto"/>
        <w:tabs>
          <w:tab w:leader="none" w:pos="1348" w:val="left"/>
        </w:tabs>
        <w:numPr>
          <w:ilvl w:val="2"/>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member of the Committee does not qualify as an “outside director” for purposes of Code Section 162(m), Awards under the Plan for the Covered Employees shall be administered by a subcommittee consisting of each Committee member who qualifies as an “outside director.” If fewer than two Committee members qualify as “outside directors,” the Board shall appoint one or more other Board members to such subcommittee who do qualify as “outside directors,” so that the subcommittee will at all times consist of two or more members, all of whom qualify as “outside directors” for purposes of Code Section 162(m).</w:t>
      </w:r>
    </w:p>
    <w:p>
      <w:pPr>
        <w:spacing w:after="0" w:line="181" w:lineRule="exact"/>
        <w:rPr>
          <w:rFonts w:ascii="Times New Roman" w:cs="Times New Roman" w:eastAsia="Times New Roman" w:hAnsi="Times New Roman"/>
          <w:sz w:val="16"/>
          <w:szCs w:val="16"/>
          <w:color w:val="auto"/>
        </w:rPr>
      </w:pPr>
    </w:p>
    <w:p>
      <w:pPr>
        <w:jc w:val="both"/>
        <w:ind w:left="340" w:firstLine="640"/>
        <w:spacing w:after="0" w:line="290" w:lineRule="auto"/>
        <w:tabs>
          <w:tab w:leader="none" w:pos="1407" w:val="left"/>
        </w:tabs>
        <w:numPr>
          <w:ilvl w:val="2"/>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member of the Committee does not qualify as a “non-employee director” for purposes of Rule 16b-3 promulgated under the Exchange Act, then Awards under the Plan for the executive officers of the Company and Directors shall be administered by a subcommittee consisting of each Committee member who qualifies as a “non-employee director.” If fewer than two Committee members qualify as “non-employee directors,” then the Board shall appoint one or more other Board members to such subcommittee who do qualify as “non-employee directors,” so that the subcommittee will at all times consist of two or more members all of whom qualify as “non-employee directors” for purposes of Rule 16b-3 promulgated under the Exchange Act.</w:t>
      </w:r>
    </w:p>
    <w:p>
      <w:pPr>
        <w:spacing w:after="0" w:line="184" w:lineRule="exact"/>
        <w:rPr>
          <w:rFonts w:ascii="Times New Roman" w:cs="Times New Roman" w:eastAsia="Times New Roman" w:hAnsi="Times New Roman"/>
          <w:sz w:val="16"/>
          <w:szCs w:val="16"/>
          <w:color w:val="auto"/>
        </w:rPr>
      </w:pPr>
    </w:p>
    <w:p>
      <w:pPr>
        <w:jc w:val="both"/>
        <w:ind w:firstLine="656"/>
        <w:spacing w:after="0" w:line="299" w:lineRule="auto"/>
        <w:tabs>
          <w:tab w:leader="none" w:pos="1022"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Delegation of Authority to an Officer of the Company or Other Board Committee</w:t>
      </w:r>
      <w:r>
        <w:rPr>
          <w:rFonts w:ascii="Times New Roman" w:cs="Times New Roman" w:eastAsia="Times New Roman" w:hAnsi="Times New Roman"/>
          <w:sz w:val="16"/>
          <w:szCs w:val="16"/>
          <w:color w:val="auto"/>
        </w:rPr>
        <w:t>. The Board may delegate to (i) an officer or officers of the Company and/or (ii) a committee of the Board which may consist of Directors who are also Employees the authority to administer the Plan with respect to Awards made to Employees who are not subject to Section 16 of the Exchange Act.</w:t>
      </w:r>
    </w:p>
    <w:p>
      <w:pPr>
        <w:spacing w:after="0" w:line="176" w:lineRule="exact"/>
        <w:rPr>
          <w:rFonts w:ascii="Times New Roman" w:cs="Times New Roman" w:eastAsia="Times New Roman" w:hAnsi="Times New Roman"/>
          <w:sz w:val="16"/>
          <w:szCs w:val="16"/>
          <w:color w:val="auto"/>
        </w:rPr>
      </w:pPr>
    </w:p>
    <w:p>
      <w:pPr>
        <w:jc w:val="both"/>
        <w:ind w:firstLine="656"/>
        <w:spacing w:after="0" w:line="299" w:lineRule="auto"/>
        <w:tabs>
          <w:tab w:leader="none" w:pos="1058"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Powers of the Administrator</w:t>
      </w:r>
      <w:r>
        <w:rPr>
          <w:rFonts w:ascii="Times New Roman" w:cs="Times New Roman" w:eastAsia="Times New Roman" w:hAnsi="Times New Roman"/>
          <w:sz w:val="16"/>
          <w:szCs w:val="16"/>
          <w:color w:val="auto"/>
        </w:rPr>
        <w:t>. The Administrator shall from time to time at its discretion make determinations with respect to Employees and Directors who shall be granted Awards, the number of Shares or Share Equivalents to be subject to each Award, the vesting of Awards, the designation of Options as Incentive Stock Options or Nonqualified Stock Options and other conditions of Awards.</w:t>
      </w:r>
    </w:p>
    <w:p>
      <w:pPr>
        <w:spacing w:after="0" w:line="177" w:lineRule="exact"/>
        <w:rPr>
          <w:sz w:val="20"/>
          <w:szCs w:val="20"/>
          <w:color w:val="auto"/>
        </w:rPr>
      </w:pPr>
    </w:p>
    <w:p>
      <w:pPr>
        <w:ind w:firstLine="648"/>
        <w:spacing w:after="0" w:line="316" w:lineRule="auto"/>
        <w:rPr>
          <w:sz w:val="20"/>
          <w:szCs w:val="20"/>
          <w:color w:val="auto"/>
        </w:rPr>
      </w:pPr>
      <w:r>
        <w:rPr>
          <w:rFonts w:ascii="Times New Roman" w:cs="Times New Roman" w:eastAsia="Times New Roman" w:hAnsi="Times New Roman"/>
          <w:sz w:val="16"/>
          <w:szCs w:val="16"/>
          <w:color w:val="auto"/>
        </w:rPr>
        <w:t>The interpretation and construction by the Administrator of any provisions of the Plan or of any Award shall be final. No member of the Administrator shall be liable for any action or determination made in good faith with respect to the Plan or any Award.</w:t>
      </w:r>
    </w:p>
    <w:p>
      <w:pPr>
        <w:spacing w:after="0" w:line="162" w:lineRule="exact"/>
        <w:rPr>
          <w:sz w:val="20"/>
          <w:szCs w:val="20"/>
          <w:color w:val="auto"/>
        </w:rPr>
      </w:pPr>
    </w:p>
    <w:p>
      <w:pPr>
        <w:ind w:left="300" w:hanging="292"/>
        <w:spacing w:after="0"/>
        <w:tabs>
          <w:tab w:leader="none" w:pos="300" w:val="left"/>
        </w:tabs>
        <w:numPr>
          <w:ilvl w:val="0"/>
          <w:numId w:val="5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ELIGIBILITY</w:t>
      </w:r>
      <w:r>
        <w:rPr>
          <w:rFonts w:ascii="Times New Roman" w:cs="Times New Roman" w:eastAsia="Times New Roman" w:hAnsi="Times New Roman"/>
          <w:sz w:val="16"/>
          <w:szCs w:val="16"/>
          <w:b w:val="1"/>
          <w:bCs w:val="1"/>
          <w:color w:val="auto"/>
        </w:rPr>
        <w:t>.</w:t>
      </w:r>
    </w:p>
    <w:p>
      <w:pPr>
        <w:spacing w:after="0" w:line="250" w:lineRule="exact"/>
        <w:rPr>
          <w:sz w:val="20"/>
          <w:szCs w:val="20"/>
          <w:color w:val="auto"/>
        </w:rPr>
      </w:pPr>
    </w:p>
    <w:p>
      <w:pPr>
        <w:ind w:firstLine="648"/>
        <w:spacing w:after="0" w:line="316" w:lineRule="auto"/>
        <w:rPr>
          <w:sz w:val="20"/>
          <w:szCs w:val="20"/>
          <w:color w:val="auto"/>
        </w:rPr>
      </w:pPr>
      <w:r>
        <w:rPr>
          <w:rFonts w:ascii="Times New Roman" w:cs="Times New Roman" w:eastAsia="Times New Roman" w:hAnsi="Times New Roman"/>
          <w:sz w:val="16"/>
          <w:szCs w:val="16"/>
          <w:color w:val="auto"/>
        </w:rPr>
        <w:t>Subject to the terms and conditions set forth below, Awards may be granted to Employees or Directors. Notwithstanding the foregoing, only employees of the Company and its Subsidiaries may be granted Incentive Stock Options.</w:t>
      </w:r>
    </w:p>
    <w:p>
      <w:pPr>
        <w:spacing w:after="0" w:line="164" w:lineRule="exact"/>
        <w:rPr>
          <w:sz w:val="20"/>
          <w:szCs w:val="20"/>
          <w:color w:val="auto"/>
        </w:rPr>
      </w:pPr>
    </w:p>
    <w:p>
      <w:pPr>
        <w:jc w:val="both"/>
        <w:ind w:firstLine="656"/>
        <w:spacing w:after="0" w:line="299" w:lineRule="auto"/>
        <w:tabs>
          <w:tab w:leader="none" w:pos="1022"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Ten Percent Shareholders</w:t>
      </w:r>
      <w:r>
        <w:rPr>
          <w:rFonts w:ascii="Times New Roman" w:cs="Times New Roman" w:eastAsia="Times New Roman" w:hAnsi="Times New Roman"/>
          <w:sz w:val="16"/>
          <w:szCs w:val="16"/>
          <w:color w:val="auto"/>
        </w:rPr>
        <w:t>. An Employee who owns more than 10% of the total combined voting power of all classes of outstanding stock of the Company, its parent or any of its Subsidiaries is not eligible to receive an Incentive Stock Option pursuant to this Plan. For purposes of this Section 5(a) the stock ownership of an Employee shall be determined pursuant to Code Section 424(d).</w:t>
      </w:r>
    </w:p>
    <w:p>
      <w:pPr>
        <w:spacing w:after="0" w:line="176" w:lineRule="exact"/>
        <w:rPr>
          <w:rFonts w:ascii="Times New Roman" w:cs="Times New Roman" w:eastAsia="Times New Roman" w:hAnsi="Times New Roman"/>
          <w:sz w:val="16"/>
          <w:szCs w:val="16"/>
          <w:color w:val="auto"/>
        </w:rPr>
      </w:pPr>
    </w:p>
    <w:p>
      <w:pPr>
        <w:jc w:val="both"/>
        <w:ind w:firstLine="656"/>
        <w:spacing w:after="0" w:line="290" w:lineRule="auto"/>
        <w:tabs>
          <w:tab w:leader="none" w:pos="1017"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Number of Awards</w:t>
      </w:r>
      <w:r>
        <w:rPr>
          <w:rFonts w:ascii="Times New Roman" w:cs="Times New Roman" w:eastAsia="Times New Roman" w:hAnsi="Times New Roman"/>
          <w:sz w:val="16"/>
          <w:szCs w:val="16"/>
          <w:color w:val="auto"/>
        </w:rPr>
        <w:t>. A Participant may receive more than one Award, including Awards of the same type, but only on the terms and subject to the restrictions set forth in the Plan. Subject to adjustment as provided in Section 19, the following maximum limits shall apply to the amount that may be awarded to any Participant during any calendar year: (i) Options and Stock Appreciation Rights that relate to no more than 1,000,000 Shares; and (ii) Performance Shares, Restricted Stock, Restricted Stock Units and Other Share-Based Awards that relate to no more than 1,000,000 Shares. No Non-Employee Director shall be granted Awards during any one calendar year for services as a Non-Employee Director in excess of 100,000 Shares.</w:t>
      </w:r>
    </w:p>
    <w:p>
      <w:pPr>
        <w:spacing w:after="0" w:line="182" w:lineRule="exact"/>
        <w:rPr>
          <w:rFonts w:ascii="Times New Roman" w:cs="Times New Roman" w:eastAsia="Times New Roman" w:hAnsi="Times New Roman"/>
          <w:sz w:val="16"/>
          <w:szCs w:val="16"/>
          <w:color w:val="auto"/>
        </w:rPr>
      </w:pPr>
    </w:p>
    <w:p>
      <w:pPr>
        <w:ind w:left="300" w:hanging="292"/>
        <w:spacing w:after="0"/>
        <w:tabs>
          <w:tab w:leader="none" w:pos="300" w:val="left"/>
        </w:tabs>
        <w:numPr>
          <w:ilvl w:val="0"/>
          <w:numId w:val="6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STOCK</w:t>
      </w:r>
      <w:r>
        <w:rPr>
          <w:rFonts w:ascii="Times New Roman" w:cs="Times New Roman" w:eastAsia="Times New Roman" w:hAnsi="Times New Roman"/>
          <w:sz w:val="16"/>
          <w:szCs w:val="16"/>
          <w:b w:val="1"/>
          <w:bCs w:val="1"/>
          <w:color w:val="auto"/>
        </w:rPr>
        <w:t>.</w:t>
      </w:r>
    </w:p>
    <w:p>
      <w:pPr>
        <w:spacing w:after="0" w:line="250"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16"/>
          <w:szCs w:val="16"/>
          <w:color w:val="auto"/>
        </w:rPr>
        <w:t>The stock subject to Awards granted under the Plan shall be Shares of the Company’s authorized but unissued or reacquired Common Stock. The aggregate number of Shares subject to Awards issued under this Plan (including Shares previously authorized by the Company’s shareholders) shall not exceed 11,679,265 Shares. If any outstanding Option or Stock Appreciation Right under the Plan or any outstanding stock option grant under the Prior Plans for any reason expires or is terminated or any Restricted Stock or Other Share-Based Award is forfeited and under the terms of the expired or terminated Award the Participant received no financial benefits of ownership during the period the Award was outstanding, then the Shares allocable to the unexercised portion of such Option or the forfeited Restricted Stock or Other Share-Based Award may again be subjected to Awards under the Plan. The following Shares may not again be made available for issuance under the Plan: Shares not issued or delivered as a result of the net exercise of a Stock Appreciation Right or Option and Shares used to pay the withholding taxes related to an Award.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limitations established by this Section 6 shall be subject to adjustment as provided in Section 19.</w:t>
      </w:r>
    </w:p>
    <w:p>
      <w:pPr>
        <w:sectPr>
          <w:pgSz w:w="11900" w:h="16838" w:orient="portrait"/>
          <w:cols w:equalWidth="0" w:num="1">
            <w:col w:w="11420"/>
          </w:cols>
          <w:pgMar w:left="240" w:top="596" w:right="239" w:bottom="1440" w:gutter="0" w:footer="0" w:header="0"/>
        </w:sectPr>
      </w:pPr>
    </w:p>
    <w:bookmarkStart w:id="108" w:name="page109"/>
    <w:bookmarkEnd w:id="108"/>
    <w:p>
      <w:pPr>
        <w:ind w:left="300" w:hanging="292"/>
        <w:spacing w:after="0"/>
        <w:tabs>
          <w:tab w:leader="none" w:pos="300" w:val="left"/>
        </w:tabs>
        <w:numPr>
          <w:ilvl w:val="0"/>
          <w:numId w:val="6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TERMS AND CONDITIONS OF OPTIONS</w:t>
      </w:r>
      <w:r>
        <w:rPr>
          <w:rFonts w:ascii="Times New Roman" w:cs="Times New Roman" w:eastAsia="Times New Roman" w:hAnsi="Times New Roman"/>
          <w:sz w:val="16"/>
          <w:szCs w:val="16"/>
          <w:b w:val="1"/>
          <w:bCs w:val="1"/>
          <w:color w:val="auto"/>
        </w:rPr>
        <w:t>.</w:t>
      </w:r>
    </w:p>
    <w:p>
      <w:pPr>
        <w:spacing w:after="0" w:line="250" w:lineRule="exact"/>
        <w:rPr>
          <w:sz w:val="20"/>
          <w:szCs w:val="20"/>
          <w:color w:val="auto"/>
        </w:rPr>
      </w:pPr>
    </w:p>
    <w:p>
      <w:pPr>
        <w:ind w:firstLine="648"/>
        <w:spacing w:after="0" w:line="316" w:lineRule="auto"/>
        <w:rPr>
          <w:sz w:val="20"/>
          <w:szCs w:val="20"/>
          <w:color w:val="auto"/>
        </w:rPr>
      </w:pPr>
      <w:r>
        <w:rPr>
          <w:rFonts w:ascii="Times New Roman" w:cs="Times New Roman" w:eastAsia="Times New Roman" w:hAnsi="Times New Roman"/>
          <w:sz w:val="16"/>
          <w:szCs w:val="16"/>
          <w:color w:val="auto"/>
        </w:rPr>
        <w:t>Options granted to Employees and Directors pursuant to the Plan shall be evidenced by written Option Agreements in such form as the Administrator shall determine, subject to the following terms and conditions:</w:t>
      </w:r>
    </w:p>
    <w:p>
      <w:pPr>
        <w:spacing w:after="0" w:line="164" w:lineRule="exact"/>
        <w:rPr>
          <w:sz w:val="20"/>
          <w:szCs w:val="20"/>
          <w:color w:val="auto"/>
        </w:rPr>
      </w:pPr>
    </w:p>
    <w:p>
      <w:pPr>
        <w:ind w:left="1020" w:hanging="364"/>
        <w:spacing w:after="0"/>
        <w:tabs>
          <w:tab w:leader="none" w:pos="10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Number of Shares</w:t>
      </w:r>
      <w:r>
        <w:rPr>
          <w:rFonts w:ascii="Times New Roman" w:cs="Times New Roman" w:eastAsia="Times New Roman" w:hAnsi="Times New Roman"/>
          <w:sz w:val="16"/>
          <w:szCs w:val="16"/>
          <w:color w:val="auto"/>
        </w:rPr>
        <w:t>. Each Option shall state the number of Shares to which it pertains, which shall be subject to adjustment in accordance with Section 19.</w:t>
      </w:r>
    </w:p>
    <w:p>
      <w:pPr>
        <w:spacing w:after="0" w:line="248" w:lineRule="exact"/>
        <w:rPr>
          <w:rFonts w:ascii="Times New Roman" w:cs="Times New Roman" w:eastAsia="Times New Roman" w:hAnsi="Times New Roman"/>
          <w:sz w:val="16"/>
          <w:szCs w:val="16"/>
          <w:color w:val="auto"/>
        </w:rPr>
      </w:pPr>
    </w:p>
    <w:p>
      <w:pPr>
        <w:ind w:firstLine="656"/>
        <w:spacing w:after="0" w:line="316" w:lineRule="auto"/>
        <w:tabs>
          <w:tab w:leader="none" w:pos="1017"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Exercise Price</w:t>
      </w:r>
      <w:r>
        <w:rPr>
          <w:rFonts w:ascii="Times New Roman" w:cs="Times New Roman" w:eastAsia="Times New Roman" w:hAnsi="Times New Roman"/>
          <w:sz w:val="16"/>
          <w:szCs w:val="16"/>
          <w:color w:val="auto"/>
        </w:rPr>
        <w:t>. Each Option shall state the Exercise Price, determined by the Administrator, which shall not be less than the Fair Market Value of a Share on the date of grant, except as provided in Section 19.</w:t>
      </w:r>
    </w:p>
    <w:p>
      <w:pPr>
        <w:spacing w:after="0" w:line="163" w:lineRule="exact"/>
        <w:rPr>
          <w:rFonts w:ascii="Times New Roman" w:cs="Times New Roman" w:eastAsia="Times New Roman" w:hAnsi="Times New Roman"/>
          <w:sz w:val="16"/>
          <w:szCs w:val="16"/>
          <w:color w:val="auto"/>
        </w:rPr>
      </w:pPr>
    </w:p>
    <w:p>
      <w:pPr>
        <w:jc w:val="both"/>
        <w:ind w:firstLine="656"/>
        <w:spacing w:after="0" w:line="290" w:lineRule="auto"/>
        <w:tabs>
          <w:tab w:leader="none" w:pos="1062"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Medium and Time of Payment</w:t>
      </w:r>
      <w:r>
        <w:rPr>
          <w:rFonts w:ascii="Times New Roman" w:cs="Times New Roman" w:eastAsia="Times New Roman" w:hAnsi="Times New Roman"/>
          <w:sz w:val="16"/>
          <w:szCs w:val="16"/>
          <w:color w:val="auto"/>
        </w:rPr>
        <w:t xml:space="preserve">. The Purchase Price shall be payable in full in United States dollars upon the exercise of the Option; </w:t>
      </w: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xml:space="preserve"> with the consent of the Administrator and in accordance with its rules and regulations, the Purchase Price may be paid by the surrender of Shares in good form for transfer, owned by the person exercising the Option and having a Fair Market Value on the date of exercise equal to the Purchase Price, or in any combination of cash and Shares, or in such acceptable form of payment as approved by the Administrator, so long as the total of the cash and the Fair Market Value of the Shares surrendered equals the Purchase Price. No Shares shall be issued until full payment has been made.</w:t>
      </w:r>
    </w:p>
    <w:p>
      <w:pPr>
        <w:spacing w:after="0" w:line="184" w:lineRule="exact"/>
        <w:rPr>
          <w:rFonts w:ascii="Times New Roman" w:cs="Times New Roman" w:eastAsia="Times New Roman" w:hAnsi="Times New Roman"/>
          <w:sz w:val="16"/>
          <w:szCs w:val="16"/>
          <w:color w:val="auto"/>
        </w:rPr>
      </w:pPr>
    </w:p>
    <w:p>
      <w:pPr>
        <w:jc w:val="both"/>
        <w:ind w:firstLine="656"/>
        <w:spacing w:after="0" w:line="284" w:lineRule="auto"/>
        <w:tabs>
          <w:tab w:leader="none" w:pos="1044"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 and Exercise of Options; Nontransferability of Options</w:t>
      </w:r>
      <w:r>
        <w:rPr>
          <w:rFonts w:ascii="Times New Roman" w:cs="Times New Roman" w:eastAsia="Times New Roman" w:hAnsi="Times New Roman"/>
          <w:sz w:val="16"/>
          <w:szCs w:val="16"/>
          <w:color w:val="auto"/>
        </w:rPr>
        <w:t xml:space="preserve">. Each Option shall state the date after which it shall cease to be exercisable. No Option shall be exercisable after the expiration of ten years from the date it is granted or such lesser period established by the Administrator;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unless otherwise specified by the Administrator, the Company’s practice shall be that no Option shall be exercisable after the expiration of seven years from the date it is granted. Except as provided in Section 15(a) or in the event of a Participant’s death or Disability, an Option shall not become vested before the expiration of one year from the date the Option is granted. An Option shall, during a Participant’s lifetime, be exercisable only by the Participant. No Option or any right granted thereunder shall be transferable by the Participant by operation of law or otherwise, other than by will or the laws of descent and distribution. Notwithstanding the foregoing, (i) a Participant may designate a Beneficiary to succeed, after the Participant’s death, to all of the Participant’s Options outstanding on the date of death; (ii) a Nonstatutory Stock Option or any right granted thereunder may be transferable pursuant to a qualified domestic relations order as defined in the Code or Title I of the Employee Retirement Income Security Act; and (iii) any Participant may voluntarily transfer any Nonstatutory Stock Option to a Family Member as a gift or through a transfer to an entity domiciled in the United States in which more than 50% of the voting or beneficial interests are owned by Family Members (or the Participant) in exchange for an interest in that entity. In the event of any attempt by a Participant to alienate, assign, pledge, hypothecate or otherwise dispose of an Option or of any right thereunder, except as provided herein, or in the event of the levy of any attachment, execution or similar process upon the rights or interest hereby conferred, the Company at its election may terminate the affected Option by notice to the Participant, and the Option shall thereupon become null and void.</w:t>
      </w:r>
    </w:p>
    <w:p>
      <w:pPr>
        <w:spacing w:after="0" w:line="194" w:lineRule="exact"/>
        <w:rPr>
          <w:rFonts w:ascii="Times New Roman" w:cs="Times New Roman" w:eastAsia="Times New Roman" w:hAnsi="Times New Roman"/>
          <w:sz w:val="16"/>
          <w:szCs w:val="16"/>
          <w:color w:val="auto"/>
        </w:rPr>
      </w:pPr>
    </w:p>
    <w:p>
      <w:pPr>
        <w:jc w:val="both"/>
        <w:ind w:firstLine="656"/>
        <w:spacing w:after="0" w:line="293" w:lineRule="auto"/>
        <w:tabs>
          <w:tab w:leader="none" w:pos="1022"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of Employment</w:t>
      </w:r>
      <w:r>
        <w:rPr>
          <w:rFonts w:ascii="Times New Roman" w:cs="Times New Roman" w:eastAsia="Times New Roman" w:hAnsi="Times New Roman"/>
          <w:sz w:val="16"/>
          <w:szCs w:val="16"/>
          <w:color w:val="auto"/>
        </w:rPr>
        <w:t>. In the event that a Participant who is an Employee ceases to be employed by the Company or any of its Affiliates for any reason, such Participant (or in the case of death, such Participant’s designated Beneficiary) shall have the right (subject to the limitation that no Option may be exercised after its stated expiration date) to exercise the Option, to the extent that, at the date of termination of employment, the Option had vested pursuant to the terms of the Option Agreement with respect to which such Option was granted and had not previously been exercised, either:</w:t>
      </w:r>
    </w:p>
    <w:p>
      <w:pPr>
        <w:spacing w:after="0" w:line="181" w:lineRule="exact"/>
        <w:rPr>
          <w:rFonts w:ascii="Times New Roman" w:cs="Times New Roman" w:eastAsia="Times New Roman" w:hAnsi="Times New Roman"/>
          <w:sz w:val="16"/>
          <w:szCs w:val="16"/>
          <w:color w:val="auto"/>
        </w:rPr>
      </w:pPr>
    </w:p>
    <w:p>
      <w:pPr>
        <w:ind w:left="1640" w:hanging="335"/>
        <w:spacing w:after="0"/>
        <w:tabs>
          <w:tab w:leader="none" w:pos="1640" w:val="left"/>
        </w:tabs>
        <w:numPr>
          <w:ilvl w:val="2"/>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four months after such termination of employment; or</w:t>
      </w:r>
    </w:p>
    <w:p>
      <w:pPr>
        <w:spacing w:after="0" w:line="248" w:lineRule="exact"/>
        <w:rPr>
          <w:rFonts w:ascii="Times New Roman" w:cs="Times New Roman" w:eastAsia="Times New Roman" w:hAnsi="Times New Roman"/>
          <w:sz w:val="16"/>
          <w:szCs w:val="16"/>
          <w:color w:val="auto"/>
        </w:rPr>
      </w:pPr>
    </w:p>
    <w:p>
      <w:pPr>
        <w:ind w:left="1680" w:hanging="375"/>
        <w:spacing w:after="0"/>
        <w:tabs>
          <w:tab w:leader="none" w:pos="1680" w:val="left"/>
        </w:tabs>
        <w:numPr>
          <w:ilvl w:val="2"/>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Retirement or death within one year after the date thereof; or</w:t>
      </w:r>
    </w:p>
    <w:p>
      <w:pPr>
        <w:spacing w:after="0" w:line="248" w:lineRule="exact"/>
        <w:rPr>
          <w:rFonts w:ascii="Times New Roman" w:cs="Times New Roman" w:eastAsia="Times New Roman" w:hAnsi="Times New Roman"/>
          <w:sz w:val="16"/>
          <w:szCs w:val="16"/>
          <w:color w:val="auto"/>
        </w:rPr>
      </w:pPr>
    </w:p>
    <w:p>
      <w:pPr>
        <w:ind w:left="1400" w:hanging="420"/>
        <w:spacing w:after="0"/>
        <w:tabs>
          <w:tab w:leader="none" w:pos="1400"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Disability, within one year from the date the Committee or its delegate determines that the Participant is Disabled; or</w:t>
      </w:r>
    </w:p>
    <w:p>
      <w:pPr>
        <w:spacing w:after="0" w:line="248" w:lineRule="exact"/>
        <w:rPr>
          <w:rFonts w:ascii="Times New Roman" w:cs="Times New Roman" w:eastAsia="Times New Roman" w:hAnsi="Times New Roman"/>
          <w:sz w:val="16"/>
          <w:szCs w:val="16"/>
          <w:color w:val="auto"/>
        </w:rPr>
      </w:pPr>
    </w:p>
    <w:p>
      <w:pPr>
        <w:ind w:left="1400" w:hanging="420"/>
        <w:spacing w:after="0"/>
        <w:tabs>
          <w:tab w:leader="none" w:pos="1400"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such other terms established by the Committee in the Agreement or otherwise prior to termination.</w:t>
      </w:r>
    </w:p>
    <w:p>
      <w:pPr>
        <w:spacing w:after="0" w:line="248"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16"/>
          <w:szCs w:val="16"/>
          <w:color w:val="auto"/>
        </w:rPr>
        <w:t>However, in addition to the rights and obligations established in Section 16 below, if the employment of a Participant is terminated by the Company or an Affiliate by reason of Cause, such Option shall cease to be exercisable at the time of the Participant’s termination of employment. The independent members of the Board or the Independent Committee shall determine whether a Participant’s employment is terminated by reason of Cause. In making such determination, such body shall act fairly and shall give the Participant an opportunity to be heard and present evidence on his or her behalf. If a Participant’s employment terminates for reasons other than Cause, but Cause is discovered after the termination and is determined to have occurred by such body, all outstanding Options shall cease to be exercisable upon such determination.</w:t>
      </w:r>
    </w:p>
    <w:p>
      <w:pPr>
        <w:spacing w:after="0" w:line="185"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16"/>
          <w:szCs w:val="16"/>
          <w:color w:val="auto"/>
        </w:rPr>
        <w:t>For purposes of this Section, the employment relationship will be treated as continuing while the Participant is on military leave, sick leave (including short-term disability) or other bona fide leave of absence (to be determined in the sole discretion of the Administrator, in accordance with rules and regulations construing Code Sections 422(a)(2) and 409A). Notwithstanding the foregoing, in the case of an Incentive Stock Option, employment shall not be deemed to continue beyond three months after the Participant ceased active employment, unless the Participant’s reemployment rights are guaranteed by statute or by contract. In the event that an Incentive Stock Option is exercised after the</w:t>
      </w:r>
    </w:p>
    <w:p>
      <w:pPr>
        <w:sectPr>
          <w:pgSz w:w="11900" w:h="16838" w:orient="portrait"/>
          <w:cols w:equalWidth="0" w:num="1">
            <w:col w:w="11420"/>
          </w:cols>
          <w:pgMar w:left="240" w:top="596" w:right="239" w:bottom="1440" w:gutter="0" w:footer="0" w:header="0"/>
        </w:sectPr>
      </w:pPr>
    </w:p>
    <w:bookmarkStart w:id="109" w:name="page110"/>
    <w:bookmarkEnd w:id="109"/>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period following termination of employment that is required for qualification under Code Section 422(b), such Option shall be treated as a Nonqualified Stock Option for all Plan purposes.</w:t>
      </w:r>
    </w:p>
    <w:p>
      <w:pPr>
        <w:spacing w:after="0" w:line="177"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6"/>
          <w:szCs w:val="16"/>
          <w:color w:val="auto"/>
        </w:rPr>
        <w:t>In the event a Non-Employee Director terminates service as a Director, the former Director (or his or her designated Beneficiary in the event of the Non-Employee Director’s death) shall have the right (subject to the limitation that no Option may be exercised after its stated expiration date) to exercise the Option (to the extent vested pursuant to the terms of the Option Agreement and not previously exercised) within one year after such termination or on such other terms established by the Board in the Agreement or otherwise prior to termination of service.</w:t>
      </w:r>
    </w:p>
    <w:p>
      <w:pPr>
        <w:spacing w:after="0" w:line="182" w:lineRule="exact"/>
        <w:rPr>
          <w:sz w:val="20"/>
          <w:szCs w:val="20"/>
          <w:color w:val="auto"/>
        </w:rPr>
      </w:pPr>
    </w:p>
    <w:p>
      <w:pPr>
        <w:jc w:val="both"/>
        <w:ind w:firstLine="656"/>
        <w:spacing w:after="0" w:line="299" w:lineRule="auto"/>
        <w:tabs>
          <w:tab w:leader="none" w:pos="1031"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Rights as a Shareholder</w:t>
      </w:r>
      <w:r>
        <w:rPr>
          <w:rFonts w:ascii="Times New Roman" w:cs="Times New Roman" w:eastAsia="Times New Roman" w:hAnsi="Times New Roman"/>
          <w:sz w:val="16"/>
          <w:szCs w:val="16"/>
          <w:color w:val="auto"/>
        </w:rPr>
        <w:t>. A Participant or a transferee of a Participant shall have no rights as a shareholder with respect to any Shares covered by his or her Option until the date of issuance of a stock certificate for such Shares. No adjustment shall be made for dividends, distributions or other rights for which the record date is prior to the date such stock certificate is issued, except as provided in Section 19.</w:t>
      </w:r>
    </w:p>
    <w:p>
      <w:pPr>
        <w:spacing w:after="0" w:line="176" w:lineRule="exact"/>
        <w:rPr>
          <w:rFonts w:ascii="Times New Roman" w:cs="Times New Roman" w:eastAsia="Times New Roman" w:hAnsi="Times New Roman"/>
          <w:sz w:val="16"/>
          <w:szCs w:val="16"/>
          <w:color w:val="auto"/>
        </w:rPr>
      </w:pPr>
    </w:p>
    <w:p>
      <w:pPr>
        <w:jc w:val="both"/>
        <w:ind w:firstLine="656"/>
        <w:spacing w:after="0" w:line="293" w:lineRule="auto"/>
        <w:tabs>
          <w:tab w:leader="none" w:pos="1017"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Modification, Extension and Renewal of Options</w:t>
      </w:r>
      <w:r>
        <w:rPr>
          <w:rFonts w:ascii="Times New Roman" w:cs="Times New Roman" w:eastAsia="Times New Roman" w:hAnsi="Times New Roman"/>
          <w:sz w:val="16"/>
          <w:szCs w:val="16"/>
          <w:color w:val="auto"/>
        </w:rPr>
        <w:t>. Subject to the terms and conditions and within the limitations of the Plan, including the limitations of Section 22, the Administrator may modify, extend or renew outstanding Options granted to Employees and Directors under the Plan. Notwithstanding the foregoing, however, no modification of an Option shall, without the consent of the Participant, alter or impair any rights or obligations under any Option previously granted under the Plan or cause any Option to fail to be exempt from the requirements of Code Section 409A.</w:t>
      </w:r>
    </w:p>
    <w:p>
      <w:pPr>
        <w:spacing w:after="0" w:line="181" w:lineRule="exact"/>
        <w:rPr>
          <w:rFonts w:ascii="Times New Roman" w:cs="Times New Roman" w:eastAsia="Times New Roman" w:hAnsi="Times New Roman"/>
          <w:sz w:val="16"/>
          <w:szCs w:val="16"/>
          <w:color w:val="auto"/>
        </w:rPr>
      </w:pPr>
    </w:p>
    <w:p>
      <w:pPr>
        <w:jc w:val="both"/>
        <w:ind w:firstLine="656"/>
        <w:spacing w:after="0" w:line="293" w:lineRule="auto"/>
        <w:tabs>
          <w:tab w:leader="none" w:pos="1031"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Limitation of Incentive Stock Option Awards</w:t>
      </w:r>
      <w:r>
        <w:rPr>
          <w:rFonts w:ascii="Times New Roman" w:cs="Times New Roman" w:eastAsia="Times New Roman" w:hAnsi="Times New Roman"/>
          <w:sz w:val="16"/>
          <w:szCs w:val="16"/>
          <w:color w:val="auto"/>
        </w:rPr>
        <w:t>. If and to the extent that the aggregate Fair Market Value (determined as of the date the Option is granted) of the Shares with respect to which any Incentive Stock Options are exercisable for the first time by a Participant during any calendar year under this Plan and all other plans maintained by the Company, its parent or its Subsidiaries exceeds $100,000, the excess (taking into account the order in which they were granted) shall be treated as Nonqualified Stock Options.</w:t>
      </w:r>
    </w:p>
    <w:p>
      <w:pPr>
        <w:spacing w:after="0" w:line="181" w:lineRule="exact"/>
        <w:rPr>
          <w:rFonts w:ascii="Times New Roman" w:cs="Times New Roman" w:eastAsia="Times New Roman" w:hAnsi="Times New Roman"/>
          <w:sz w:val="16"/>
          <w:szCs w:val="16"/>
          <w:color w:val="auto"/>
        </w:rPr>
      </w:pPr>
    </w:p>
    <w:p>
      <w:pPr>
        <w:ind w:left="980" w:hanging="324"/>
        <w:spacing w:after="0"/>
        <w:tabs>
          <w:tab w:leader="none" w:pos="9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Reload Options</w:t>
      </w:r>
      <w:r>
        <w:rPr>
          <w:rFonts w:ascii="Times New Roman" w:cs="Times New Roman" w:eastAsia="Times New Roman" w:hAnsi="Times New Roman"/>
          <w:sz w:val="16"/>
          <w:szCs w:val="16"/>
          <w:color w:val="auto"/>
        </w:rPr>
        <w:t>. Options that provide for the automatic grant of another Option upon exercise of the original Option may not be granted under the Plan.</w:t>
      </w:r>
    </w:p>
    <w:p>
      <w:pPr>
        <w:spacing w:after="0" w:line="248" w:lineRule="exact"/>
        <w:rPr>
          <w:rFonts w:ascii="Times New Roman" w:cs="Times New Roman" w:eastAsia="Times New Roman" w:hAnsi="Times New Roman"/>
          <w:sz w:val="16"/>
          <w:szCs w:val="16"/>
          <w:color w:val="auto"/>
        </w:rPr>
      </w:pPr>
    </w:p>
    <w:p>
      <w:pPr>
        <w:ind w:firstLine="656"/>
        <w:spacing w:after="0" w:line="316" w:lineRule="auto"/>
        <w:tabs>
          <w:tab w:leader="none" w:pos="1062"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Provisions</w:t>
      </w:r>
      <w:r>
        <w:rPr>
          <w:rFonts w:ascii="Times New Roman" w:cs="Times New Roman" w:eastAsia="Times New Roman" w:hAnsi="Times New Roman"/>
          <w:sz w:val="16"/>
          <w:szCs w:val="16"/>
          <w:color w:val="auto"/>
        </w:rPr>
        <w:t>. The Option Agreement shall contain such other provisions that are consistent with the terms of the Plan, including, without limitation, restrictions upon the exercise of the Option, as the Administrator shall deem advisable.</w:t>
      </w:r>
    </w:p>
    <w:p>
      <w:pPr>
        <w:spacing w:after="0" w:line="162" w:lineRule="exact"/>
        <w:rPr>
          <w:sz w:val="20"/>
          <w:szCs w:val="20"/>
          <w:color w:val="auto"/>
        </w:rPr>
      </w:pPr>
    </w:p>
    <w:p>
      <w:pPr>
        <w:ind w:left="300" w:hanging="292"/>
        <w:spacing w:after="0"/>
        <w:tabs>
          <w:tab w:leader="none" w:pos="300" w:val="left"/>
        </w:tabs>
        <w:numPr>
          <w:ilvl w:val="0"/>
          <w:numId w:val="6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STOCK APPRECIATION RIGHTS</w:t>
      </w:r>
      <w:r>
        <w:rPr>
          <w:rFonts w:ascii="Times New Roman" w:cs="Times New Roman" w:eastAsia="Times New Roman" w:hAnsi="Times New Roman"/>
          <w:sz w:val="16"/>
          <w:szCs w:val="16"/>
          <w:b w:val="1"/>
          <w:bCs w:val="1"/>
          <w:color w:val="auto"/>
        </w:rPr>
        <w:t>.</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Stock Appreciation Rights granted to Participants pursuant to the Plan may be granted alone, in addition to or in conjunction with, Options.</w:t>
      </w:r>
    </w:p>
    <w:p>
      <w:pPr>
        <w:spacing w:after="0" w:line="248" w:lineRule="exact"/>
        <w:rPr>
          <w:sz w:val="20"/>
          <w:szCs w:val="20"/>
          <w:color w:val="auto"/>
        </w:rPr>
      </w:pPr>
    </w:p>
    <w:p>
      <w:pPr>
        <w:ind w:firstLine="656"/>
        <w:spacing w:after="0" w:line="316" w:lineRule="auto"/>
        <w:tabs>
          <w:tab w:leader="none" w:pos="1089"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Number of Shares</w:t>
      </w:r>
      <w:r>
        <w:rPr>
          <w:rFonts w:ascii="Times New Roman" w:cs="Times New Roman" w:eastAsia="Times New Roman" w:hAnsi="Times New Roman"/>
          <w:sz w:val="16"/>
          <w:szCs w:val="16"/>
          <w:color w:val="auto"/>
        </w:rPr>
        <w:t>. Each Stock Appreciation Right shall state the number of Shares or Share Equivalents to which it pertains, which shall be subject to adjustment in accordance with Section 19.</w:t>
      </w:r>
    </w:p>
    <w:p>
      <w:pPr>
        <w:spacing w:after="0" w:line="163" w:lineRule="exact"/>
        <w:rPr>
          <w:rFonts w:ascii="Times New Roman" w:cs="Times New Roman" w:eastAsia="Times New Roman" w:hAnsi="Times New Roman"/>
          <w:sz w:val="16"/>
          <w:szCs w:val="16"/>
          <w:color w:val="auto"/>
        </w:rPr>
      </w:pPr>
    </w:p>
    <w:p>
      <w:pPr>
        <w:ind w:left="1040" w:hanging="384"/>
        <w:spacing w:after="0"/>
        <w:tabs>
          <w:tab w:leader="none" w:pos="1040"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Calculation of Appreciation; Exercise Price</w:t>
      </w:r>
      <w:r>
        <w:rPr>
          <w:rFonts w:ascii="Times New Roman" w:cs="Times New Roman" w:eastAsia="Times New Roman" w:hAnsi="Times New Roman"/>
          <w:sz w:val="16"/>
          <w:szCs w:val="16"/>
          <w:color w:val="auto"/>
        </w:rPr>
        <w:t>. The appreciation distribution payable on the exercise of a Stock Appreciation Right will be equal to the excess of</w:t>
      </w:r>
    </w:p>
    <w:p>
      <w:pPr>
        <w:spacing w:after="0" w:line="32" w:lineRule="exact"/>
        <w:rPr>
          <w:rFonts w:ascii="Times New Roman" w:cs="Times New Roman" w:eastAsia="Times New Roman" w:hAnsi="Times New Roman"/>
          <w:sz w:val="16"/>
          <w:szCs w:val="16"/>
          <w:color w:val="auto"/>
        </w:rPr>
      </w:pPr>
    </w:p>
    <w:p>
      <w:pPr>
        <w:jc w:val="both"/>
        <w:ind w:firstLine="8"/>
        <w:spacing w:after="0" w:line="299" w:lineRule="auto"/>
        <w:tabs>
          <w:tab w:leader="none" w:pos="207"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Fair Market Value (on the day before the date of exercise of the Stock Appreciation Right) of a number of Shares equal to the number of Shares or Share Equivalents in which the Participant is vested under such Stock Appreciation Right on such date, over (ii) the Exercise Price determined by the Administrator on the date of grant of the Stock Appreciation Right, which shall not be less than 100% of the Fair Market Value of a Share on the date of grant.</w:t>
      </w:r>
    </w:p>
    <w:p>
      <w:pPr>
        <w:spacing w:after="0" w:line="176" w:lineRule="exact"/>
        <w:rPr>
          <w:rFonts w:ascii="Times New Roman" w:cs="Times New Roman" w:eastAsia="Times New Roman" w:hAnsi="Times New Roman"/>
          <w:sz w:val="16"/>
          <w:szCs w:val="16"/>
          <w:color w:val="auto"/>
        </w:rPr>
      </w:pPr>
    </w:p>
    <w:p>
      <w:pPr>
        <w:jc w:val="both"/>
        <w:ind w:firstLine="656"/>
        <w:spacing w:after="0" w:line="293" w:lineRule="auto"/>
        <w:tabs>
          <w:tab w:leader="none" w:pos="1076"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 and Exercise of Stock Appreciation Rights</w:t>
      </w:r>
      <w:r>
        <w:rPr>
          <w:rFonts w:ascii="Times New Roman" w:cs="Times New Roman" w:eastAsia="Times New Roman" w:hAnsi="Times New Roman"/>
          <w:sz w:val="16"/>
          <w:szCs w:val="16"/>
          <w:color w:val="auto"/>
        </w:rPr>
        <w:t>. Each Stock Appreciation Right shall state the time or times when it may become exercisable. No Stock Appreciation Right shall be exercisable after the expiration of seven years from the date it is granted or such lesser period established by the Administrator. Except as provided in Section 15(a) or in the event of a Participant’s death or Disability, a Stock Appreciation Right shall not become vested before the expiration of one year from the date the Stock Appreciation Right is granted.</w:t>
      </w:r>
    </w:p>
    <w:p>
      <w:pPr>
        <w:spacing w:after="0" w:line="181" w:lineRule="exact"/>
        <w:rPr>
          <w:rFonts w:ascii="Times New Roman" w:cs="Times New Roman" w:eastAsia="Times New Roman" w:hAnsi="Times New Roman"/>
          <w:sz w:val="16"/>
          <w:szCs w:val="16"/>
          <w:color w:val="auto"/>
        </w:rPr>
      </w:pPr>
    </w:p>
    <w:p>
      <w:pPr>
        <w:ind w:firstLine="656"/>
        <w:spacing w:after="0" w:line="316" w:lineRule="auto"/>
        <w:tabs>
          <w:tab w:leader="none" w:pos="1017"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Payment</w:t>
      </w:r>
      <w:r>
        <w:rPr>
          <w:rFonts w:ascii="Times New Roman" w:cs="Times New Roman" w:eastAsia="Times New Roman" w:hAnsi="Times New Roman"/>
          <w:sz w:val="16"/>
          <w:szCs w:val="16"/>
          <w:color w:val="auto"/>
        </w:rPr>
        <w:t>. The appreciation distribution in respect of a Stock Appreciation Right may be paid in Common Stock or in cash, or any combination of the two, or in any other form of consideration as determined by the Administrator and contained in the Stock Appreciation Right Agreement.</w:t>
      </w:r>
    </w:p>
    <w:p>
      <w:pPr>
        <w:spacing w:after="0" w:line="163" w:lineRule="exact"/>
        <w:rPr>
          <w:rFonts w:ascii="Times New Roman" w:cs="Times New Roman" w:eastAsia="Times New Roman" w:hAnsi="Times New Roman"/>
          <w:sz w:val="16"/>
          <w:szCs w:val="16"/>
          <w:color w:val="auto"/>
        </w:rPr>
      </w:pPr>
    </w:p>
    <w:p>
      <w:pPr>
        <w:jc w:val="both"/>
        <w:ind w:firstLine="656"/>
        <w:spacing w:after="0" w:line="287" w:lineRule="auto"/>
        <w:tabs>
          <w:tab w:leader="none" w:pos="1022"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Limitations on Transferability</w:t>
      </w:r>
      <w:r>
        <w:rPr>
          <w:rFonts w:ascii="Times New Roman" w:cs="Times New Roman" w:eastAsia="Times New Roman" w:hAnsi="Times New Roman"/>
          <w:sz w:val="16"/>
          <w:szCs w:val="16"/>
          <w:color w:val="auto"/>
        </w:rPr>
        <w:t>. A Stock Appreciation Right shall, during a Participant’s lifetime, be exercisable only by the Participant. No Stock Appreciation Right or any right granted thereunder shall be transferable by the Participant by operation of law or otherwise, other than by will or the laws of descent and distribution. Notwithstanding the foregoing, a Participant may designate a beneficiary to succeed, after the Participant’s death, to all of the Participant’s Stock Appreciation Rights outstanding on the date of termination of employment. Each Stock Appreciation Right Agreement shall set forth the extent to which the Participant shall have the right to exercise the Stock Appreciation Right following termination of the Participant’s employment or service with the Company and its Affiliates. Such provisions shall be determined in the sole discretion of the Administrator, need not be uniform among all Stock Appreciation Right Agreements entered into pursuant to the Plan and may reflect distinctions based on the reasons for termination of employment.</w:t>
      </w:r>
    </w:p>
    <w:p>
      <w:pPr>
        <w:sectPr>
          <w:pgSz w:w="11900" w:h="16838" w:orient="portrait"/>
          <w:cols w:equalWidth="0" w:num="1">
            <w:col w:w="11420"/>
          </w:cols>
          <w:pgMar w:left="240" w:top="585" w:right="239" w:bottom="1440" w:gutter="0" w:footer="0" w:header="0"/>
        </w:sectPr>
      </w:pPr>
    </w:p>
    <w:bookmarkStart w:id="110" w:name="page111"/>
    <w:bookmarkEnd w:id="110"/>
    <w:p>
      <w:pPr>
        <w:jc w:val="both"/>
        <w:ind w:firstLine="656"/>
        <w:spacing w:after="0" w:line="290" w:lineRule="auto"/>
        <w:tabs>
          <w:tab w:leader="none" w:pos="1112" w:val="left"/>
        </w:tabs>
        <w:numPr>
          <w:ilvl w:val="1"/>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of Employment</w:t>
      </w:r>
      <w:r>
        <w:rPr>
          <w:rFonts w:ascii="Times New Roman" w:cs="Times New Roman" w:eastAsia="Times New Roman" w:hAnsi="Times New Roman"/>
          <w:sz w:val="16"/>
          <w:szCs w:val="16"/>
          <w:color w:val="auto"/>
        </w:rPr>
        <w:t>. Subject to the limitation that no Stock Appreciation Right may be exercised after its stated expiration date, each Stock Appreciation Right Agreement shall set forth the extent to which the Participant shall have the right to exercise the Stock Appreciation Right, to the extent vested, following termination of the Participant’s employment of service with the Company and its Affiliates. Such provisions shall be determined in the sole discretion of the Administrator, need not be uniform among all Stock Appreciation Rights Agreements entered into pursuant to the Plan and may reflect distinctions based on the reasons for termination of employment.</w:t>
      </w:r>
    </w:p>
    <w:p>
      <w:pPr>
        <w:spacing w:after="0" w:line="184" w:lineRule="exact"/>
        <w:rPr>
          <w:rFonts w:ascii="Times New Roman" w:cs="Times New Roman" w:eastAsia="Times New Roman" w:hAnsi="Times New Roman"/>
          <w:sz w:val="16"/>
          <w:szCs w:val="16"/>
          <w:color w:val="auto"/>
        </w:rPr>
      </w:pPr>
    </w:p>
    <w:p>
      <w:pPr>
        <w:jc w:val="both"/>
        <w:ind w:firstLine="656"/>
        <w:spacing w:after="0" w:line="299" w:lineRule="auto"/>
        <w:tabs>
          <w:tab w:leader="none" w:pos="1058" w:val="left"/>
        </w:tabs>
        <w:numPr>
          <w:ilvl w:val="1"/>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Rights as a Shareholder</w:t>
      </w:r>
      <w:r>
        <w:rPr>
          <w:rFonts w:ascii="Times New Roman" w:cs="Times New Roman" w:eastAsia="Times New Roman" w:hAnsi="Times New Roman"/>
          <w:sz w:val="16"/>
          <w:szCs w:val="16"/>
          <w:color w:val="auto"/>
        </w:rPr>
        <w:t>. A Participant or a transferee of a Participant shall have no rights as a shareholder with respect to any Shares covered by his or her Stock Appreciation Right until the date of issuance of such Shares. Except as provided in Section 19, no adjustment shall be made for dividends, distributions or other rights for which the record date is prior to the date such Shares are issued.</w:t>
      </w:r>
    </w:p>
    <w:p>
      <w:pPr>
        <w:spacing w:after="0" w:line="176" w:lineRule="exact"/>
        <w:rPr>
          <w:rFonts w:ascii="Times New Roman" w:cs="Times New Roman" w:eastAsia="Times New Roman" w:hAnsi="Times New Roman"/>
          <w:sz w:val="16"/>
          <w:szCs w:val="16"/>
          <w:color w:val="auto"/>
        </w:rPr>
      </w:pPr>
    </w:p>
    <w:p>
      <w:pPr>
        <w:jc w:val="both"/>
        <w:ind w:firstLine="656"/>
        <w:spacing w:after="0" w:line="299" w:lineRule="auto"/>
        <w:tabs>
          <w:tab w:leader="none" w:pos="1017" w:val="left"/>
        </w:tabs>
        <w:numPr>
          <w:ilvl w:val="1"/>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Terms and Conditions</w:t>
      </w:r>
      <w:r>
        <w:rPr>
          <w:rFonts w:ascii="Times New Roman" w:cs="Times New Roman" w:eastAsia="Times New Roman" w:hAnsi="Times New Roman"/>
          <w:sz w:val="16"/>
          <w:szCs w:val="16"/>
          <w:color w:val="auto"/>
        </w:rPr>
        <w:t>. The Stock Appreciation Right Agreement may contain such other terms and conditions, including restrictions or conditions on the vesting of the Stock Appreciation Right or the conditions under which the Stock Appreciation Right may be forfeited, as may be determined by the Administrator that are consistent with the Plan.</w:t>
      </w:r>
    </w:p>
    <w:p>
      <w:pPr>
        <w:spacing w:after="0" w:line="174" w:lineRule="exact"/>
        <w:rPr>
          <w:rFonts w:ascii="Times New Roman" w:cs="Times New Roman" w:eastAsia="Times New Roman" w:hAnsi="Times New Roman"/>
          <w:sz w:val="16"/>
          <w:szCs w:val="16"/>
          <w:color w:val="auto"/>
        </w:rPr>
      </w:pPr>
    </w:p>
    <w:p>
      <w:pPr>
        <w:ind w:left="300" w:hanging="292"/>
        <w:spacing w:after="0"/>
        <w:tabs>
          <w:tab w:leader="none" w:pos="300" w:val="left"/>
        </w:tabs>
        <w:numPr>
          <w:ilvl w:val="0"/>
          <w:numId w:val="6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RESTRICTED STOCK</w:t>
      </w:r>
      <w:r>
        <w:rPr>
          <w:rFonts w:ascii="Times New Roman" w:cs="Times New Roman" w:eastAsia="Times New Roman" w:hAnsi="Times New Roman"/>
          <w:sz w:val="16"/>
          <w:szCs w:val="16"/>
          <w:b w:val="1"/>
          <w:bCs w:val="1"/>
          <w:color w:val="auto"/>
        </w:rPr>
        <w:t>.</w:t>
      </w:r>
    </w:p>
    <w:p>
      <w:pPr>
        <w:spacing w:after="0" w:line="250" w:lineRule="exact"/>
        <w:rPr>
          <w:rFonts w:ascii="Times New Roman" w:cs="Times New Roman" w:eastAsia="Times New Roman" w:hAnsi="Times New Roman"/>
          <w:sz w:val="16"/>
          <w:szCs w:val="16"/>
          <w:b w:val="1"/>
          <w:bCs w:val="1"/>
          <w:color w:val="auto"/>
        </w:rPr>
      </w:pPr>
    </w:p>
    <w:p>
      <w:pPr>
        <w:jc w:val="both"/>
        <w:ind w:firstLine="656"/>
        <w:spacing w:after="0" w:line="286" w:lineRule="auto"/>
        <w:tabs>
          <w:tab w:leader="none" w:pos="1008" w:val="left"/>
        </w:tabs>
        <w:numPr>
          <w:ilvl w:val="1"/>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Grants</w:t>
      </w:r>
      <w:r>
        <w:rPr>
          <w:rFonts w:ascii="Times New Roman" w:cs="Times New Roman" w:eastAsia="Times New Roman" w:hAnsi="Times New Roman"/>
          <w:sz w:val="16"/>
          <w:szCs w:val="16"/>
          <w:color w:val="auto"/>
        </w:rPr>
        <w:t xml:space="preserve">. Subject to the provisions of the Plan, the Administrator shall have sole and complete authority to determine the Employees and Directors to whom, and the time or times at which, grants of Restricted Stock will be made, the number of shares of Restricted Stock to be awarded, the price (if any) to be paid by the recipient of Restricted Stock, the time or times within which such Awards may be subject to forfeiture and all other terms and conditions of the Awards;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except as provided in Section 15(b) or in the event of a Participant’s death or Disability, Restricted Stock shall have a vesting period of not less than one year. The Administrator may condition the grant of Restricted Stock upon the attainment of specified performance objectives established by the Administrator pursuant to Section 14 or such other factors as the Administrator may determine, in its sole discretion. In addition to the foregoing restrictions, except with respect to a maximum of 5% of the shares authorized for issuance under Section 6, (x) any Awards of Restricted Stock which vest on the basis of the Participant’s length of service with the Company or its subsidiaries shall not provide for vesting that is any more rapid than pro rata vesting over a three-year period, and (y) any Awards of Restricted Stock which provide for vesting upon the attainment of performance goals shall provide for a performance period of at least 12 months.</w:t>
      </w:r>
    </w:p>
    <w:p>
      <w:pPr>
        <w:spacing w:after="0" w:line="188"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16"/>
          <w:szCs w:val="16"/>
          <w:color w:val="auto"/>
        </w:rPr>
        <w:t>The terms of each Restricted Stock Award shall be set forth in a Restricted Stock Agreement between the Company and the Participant, which Agreement shall contain such provisions as the Administrator determines to be necessary or appropriate to carry out the intent of the Plan. Each Participant receiving a Restricted Stock Award shall be issued a stock certificate in respect of such shares of Restricted Stock. Such certificate shall be registered in the name of such Participant and shall bear an appropriate legend referring to the terms, conditions and restrictions applicable to such Award. The Administrator shall require that stock certificates evidencing such shares be held by the Company until the restrictions lapse and that, as a condition of any Restricted Stock Award, the Participant shall deliver to the Company a stock power relating to the stock covered by such Award.</w:t>
      </w:r>
    </w:p>
    <w:p>
      <w:pPr>
        <w:spacing w:after="0" w:line="188" w:lineRule="exact"/>
        <w:rPr>
          <w:sz w:val="20"/>
          <w:szCs w:val="20"/>
          <w:color w:val="auto"/>
        </w:rPr>
      </w:pPr>
    </w:p>
    <w:p>
      <w:pPr>
        <w:ind w:left="1020" w:hanging="364"/>
        <w:spacing w:after="0"/>
        <w:tabs>
          <w:tab w:leader="none" w:pos="1020"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 and Conditions</w:t>
      </w:r>
      <w:r>
        <w:rPr>
          <w:rFonts w:ascii="Times New Roman" w:cs="Times New Roman" w:eastAsia="Times New Roman" w:hAnsi="Times New Roman"/>
          <w:sz w:val="16"/>
          <w:szCs w:val="16"/>
          <w:color w:val="auto"/>
        </w:rPr>
        <w:t>. The shares of Restricted Stock awarded pursuant to this Section 9 shall be subject to the following restrictions and conditions:</w:t>
      </w:r>
    </w:p>
    <w:p>
      <w:pPr>
        <w:spacing w:after="0" w:line="248" w:lineRule="exact"/>
        <w:rPr>
          <w:rFonts w:ascii="Times New Roman" w:cs="Times New Roman" w:eastAsia="Times New Roman" w:hAnsi="Times New Roman"/>
          <w:sz w:val="16"/>
          <w:szCs w:val="16"/>
          <w:color w:val="auto"/>
        </w:rPr>
      </w:pPr>
    </w:p>
    <w:p>
      <w:pPr>
        <w:jc w:val="both"/>
        <w:ind w:left="340" w:firstLine="640"/>
        <w:spacing w:after="0" w:line="293" w:lineRule="auto"/>
        <w:tabs>
          <w:tab w:leader="none" w:pos="1321" w:val="left"/>
        </w:tabs>
        <w:numPr>
          <w:ilvl w:val="2"/>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During a period set by the Administrator commencing with the date of such Award (the “Restriction Period”), the Participant shall not be permitted to sell, transfer, pledge, assign or encumber shares of Restricted Stock awarded under the Plan. Within these limits, the Administrator, in its sole discretion, may provide for the lapse of such restrictions in installments and may accelerate or waive such restrictions in whole or in part, based on service, performance or such other factors or criteria as the Administrator may determine in its sole discretion;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Administrator may not waive the one-year vesting restriction in the proviso of Section 9(a).</w:t>
      </w:r>
    </w:p>
    <w:p>
      <w:pPr>
        <w:spacing w:after="0" w:line="181" w:lineRule="exact"/>
        <w:rPr>
          <w:rFonts w:ascii="Times New Roman" w:cs="Times New Roman" w:eastAsia="Times New Roman" w:hAnsi="Times New Roman"/>
          <w:sz w:val="16"/>
          <w:szCs w:val="16"/>
          <w:color w:val="auto"/>
        </w:rPr>
      </w:pPr>
    </w:p>
    <w:p>
      <w:pPr>
        <w:jc w:val="both"/>
        <w:ind w:left="340" w:firstLine="640"/>
        <w:spacing w:after="0" w:line="281" w:lineRule="auto"/>
        <w:tabs>
          <w:tab w:leader="none" w:pos="1366" w:val="left"/>
        </w:tabs>
        <w:numPr>
          <w:ilvl w:val="2"/>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provided in this paragraph (ii) and paragraph (i) above, the Participant shall have, with respect to the shares of Restricted Stock, all of the rights of a shareholder of the Company, including the right to vote the shares and the right to receive any cash dividends;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Administrator shall provide that either</w:t>
      </w:r>
    </w:p>
    <w:p>
      <w:pPr>
        <w:spacing w:after="0" w:line="1" w:lineRule="exact"/>
        <w:rPr>
          <w:rFonts w:ascii="Times New Roman" w:cs="Times New Roman" w:eastAsia="Times New Roman" w:hAnsi="Times New Roman"/>
          <w:sz w:val="16"/>
          <w:szCs w:val="16"/>
          <w:color w:val="auto"/>
        </w:rPr>
      </w:pPr>
    </w:p>
    <w:p>
      <w:pPr>
        <w:jc w:val="both"/>
        <w:ind w:left="340" w:hanging="8"/>
        <w:spacing w:after="0" w:line="293" w:lineRule="auto"/>
        <w:tabs>
          <w:tab w:leader="none" w:pos="608"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payment of ordinary cash dividends shall be delayed unless and until the underlying Restricted Stock becomes vested or (B) such ordinary cash dividends shall be invested in additional shares of Restricted Stock (or Share Equivalents or Restricted Stock Units) to the extent available under Section 6, which shall be subject to the same restrictions as the underlying Restricted Stock. Stock dividends issued with respect to Restricted Stock shall be treated as additional shares of Restricted Stock that are subject to the same restrictions and other terms and conditions that apply to the shares with respect to which such dividends are issued.</w:t>
      </w:r>
    </w:p>
    <w:p>
      <w:pPr>
        <w:spacing w:after="0" w:line="181" w:lineRule="exact"/>
        <w:rPr>
          <w:rFonts w:ascii="Times New Roman" w:cs="Times New Roman" w:eastAsia="Times New Roman" w:hAnsi="Times New Roman"/>
          <w:sz w:val="16"/>
          <w:szCs w:val="16"/>
          <w:color w:val="auto"/>
        </w:rPr>
      </w:pPr>
    </w:p>
    <w:p>
      <w:pPr>
        <w:ind w:left="340" w:firstLine="640"/>
        <w:spacing w:after="0" w:line="316" w:lineRule="auto"/>
        <w:tabs>
          <w:tab w:leader="none" w:pos="1438" w:val="left"/>
        </w:tabs>
        <w:numPr>
          <w:ilvl w:val="2"/>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Administrator shall specify the conditions under which shares of Restricted Stock shall vest or be forfeited and such conditions shall be set forth in the Restricted Stock Agreement.</w:t>
      </w:r>
    </w:p>
    <w:p>
      <w:pPr>
        <w:spacing w:after="0" w:line="163" w:lineRule="exact"/>
        <w:rPr>
          <w:rFonts w:ascii="Times New Roman" w:cs="Times New Roman" w:eastAsia="Times New Roman" w:hAnsi="Times New Roman"/>
          <w:sz w:val="16"/>
          <w:szCs w:val="16"/>
          <w:color w:val="auto"/>
        </w:rPr>
      </w:pPr>
    </w:p>
    <w:p>
      <w:pPr>
        <w:ind w:left="340" w:right="20" w:firstLine="640"/>
        <w:spacing w:after="0" w:line="316" w:lineRule="auto"/>
        <w:tabs>
          <w:tab w:leader="none" w:pos="1443" w:val="left"/>
        </w:tabs>
        <w:numPr>
          <w:ilvl w:val="2"/>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and when the Restriction Period applicable to shares of Restricted Stock expires without a prior forfeiture of the Restricted Stock, certificates for an appropriate number of unrestricted shares shall be delivered promptly to the Participant, and the certificates for the shares of Restricted Stock shall be cancelled.</w:t>
      </w:r>
    </w:p>
    <w:p>
      <w:pPr>
        <w:sectPr>
          <w:pgSz w:w="11900" w:h="16838" w:orient="portrait"/>
          <w:cols w:equalWidth="0" w:num="1">
            <w:col w:w="11420"/>
          </w:cols>
          <w:pgMar w:left="240" w:top="598" w:right="239" w:bottom="1440" w:gutter="0" w:footer="0" w:header="0"/>
        </w:sectPr>
      </w:pPr>
    </w:p>
    <w:bookmarkStart w:id="111" w:name="page112"/>
    <w:bookmarkEnd w:id="111"/>
    <w:p>
      <w:pPr>
        <w:ind w:left="400" w:hanging="392"/>
        <w:spacing w:after="0"/>
        <w:tabs>
          <w:tab w:leader="none" w:pos="400" w:val="left"/>
        </w:tabs>
        <w:numPr>
          <w:ilvl w:val="0"/>
          <w:numId w:val="7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RESTRICTED STOCK UNITS</w:t>
      </w:r>
      <w:r>
        <w:rPr>
          <w:rFonts w:ascii="Times New Roman" w:cs="Times New Roman" w:eastAsia="Times New Roman" w:hAnsi="Times New Roman"/>
          <w:sz w:val="16"/>
          <w:szCs w:val="16"/>
          <w:b w:val="1"/>
          <w:bCs w:val="1"/>
          <w:color w:val="auto"/>
        </w:rPr>
        <w:t>.</w:t>
      </w:r>
    </w:p>
    <w:p>
      <w:pPr>
        <w:spacing w:after="0" w:line="250" w:lineRule="exact"/>
        <w:rPr>
          <w:rFonts w:ascii="Times New Roman" w:cs="Times New Roman" w:eastAsia="Times New Roman" w:hAnsi="Times New Roman"/>
          <w:sz w:val="16"/>
          <w:szCs w:val="16"/>
          <w:b w:val="1"/>
          <w:bCs w:val="1"/>
          <w:color w:val="auto"/>
        </w:rPr>
      </w:pPr>
    </w:p>
    <w:p>
      <w:pPr>
        <w:jc w:val="both"/>
        <w:ind w:firstLine="656"/>
        <w:spacing w:after="0" w:line="286" w:lineRule="auto"/>
        <w:tabs>
          <w:tab w:leader="none" w:pos="1008" w:val="left"/>
        </w:tabs>
        <w:numPr>
          <w:ilvl w:val="1"/>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Grants</w:t>
      </w:r>
      <w:r>
        <w:rPr>
          <w:rFonts w:ascii="Times New Roman" w:cs="Times New Roman" w:eastAsia="Times New Roman" w:hAnsi="Times New Roman"/>
          <w:sz w:val="16"/>
          <w:szCs w:val="16"/>
          <w:color w:val="auto"/>
        </w:rPr>
        <w:t xml:space="preserve">. Subject to the provisions of the Plan, the Administrator shall have sole and complete authority to determine the Employees and Directors to whom, and the time or times at which, grants of Restricted Stock Units will be made, the number of Restricted Stock Units to be awarded, the price (if any) to be paid by the recipient of the Restricted Stock Units, the time or times within which such Restricted Stock Units may be subject to forfeiture and all other terms and conditions of the Restricted Stock Unit Awards;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except as set forth in Section 15(b) or in the event of a Participant’s death or Disability, Restricted Stock Units shall have a vesting period of not less than one year. The Administrator may condition the grant of Restricted Stock Unit Awards upon the attainment of specified performance objectives established by the Administrator pursuant to Section 14 or such other factors as the Administrator may determine, in its sole discretion. In addition to the foregoing restrictions, except with respect to a maximum of 5% of the shares authorized for issuance under Section 6, (x) any Restricted Stock Units which vest on the basis of the Participant’s length of service with the Company or its subsidiaries shall not provide for vesting that is any more rapid than pro rata vesting over a three-year period, and (y) any Restricted Stock Units which provide for vesting upon the attainment of performance goals shall provide for a performance period of at least 12 months.</w:t>
      </w:r>
    </w:p>
    <w:p>
      <w:pPr>
        <w:spacing w:after="0" w:line="188"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6"/>
          <w:szCs w:val="16"/>
          <w:color w:val="auto"/>
        </w:rPr>
        <w:t>The terms of each Restricted Stock Unit Award shall be set forth in a Restricted Stock Unit Award Agreement between the Company and the Participant, which Agreement shall contain such provisions as the Administrator determines to be necessary or appropriate to carry out the intent of the Plan. With respect to a Restricted Stock Unit Award, no certificate for shares of stock shall be issued at the time the grant is made (nor shall any book entry be made in the records of the Company), and the Participant shall have no right to or interest in shares of stock of the Company as a result of the grant of Restricted Stock Units.</w:t>
      </w:r>
    </w:p>
    <w:p>
      <w:pPr>
        <w:spacing w:after="0" w:line="182" w:lineRule="exact"/>
        <w:rPr>
          <w:sz w:val="20"/>
          <w:szCs w:val="20"/>
          <w:color w:val="auto"/>
        </w:rPr>
      </w:pPr>
    </w:p>
    <w:p>
      <w:pPr>
        <w:ind w:left="1020" w:hanging="364"/>
        <w:spacing w:after="0"/>
        <w:tabs>
          <w:tab w:leader="none" w:pos="1020"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 and Conditions</w:t>
      </w:r>
      <w:r>
        <w:rPr>
          <w:rFonts w:ascii="Times New Roman" w:cs="Times New Roman" w:eastAsia="Times New Roman" w:hAnsi="Times New Roman"/>
          <w:sz w:val="16"/>
          <w:szCs w:val="16"/>
          <w:color w:val="auto"/>
        </w:rPr>
        <w:t>. The Restricted Stock Units awarded pursuant to this Section 10 shall be subject to the following restrictions and conditions:</w:t>
      </w:r>
    </w:p>
    <w:p>
      <w:pPr>
        <w:spacing w:after="0" w:line="248" w:lineRule="exact"/>
        <w:rPr>
          <w:rFonts w:ascii="Times New Roman" w:cs="Times New Roman" w:eastAsia="Times New Roman" w:hAnsi="Times New Roman"/>
          <w:sz w:val="16"/>
          <w:szCs w:val="16"/>
          <w:color w:val="auto"/>
        </w:rPr>
      </w:pPr>
    </w:p>
    <w:p>
      <w:pPr>
        <w:jc w:val="both"/>
        <w:ind w:left="340" w:firstLine="640"/>
        <w:spacing w:after="0" w:line="288" w:lineRule="auto"/>
        <w:tabs>
          <w:tab w:leader="none" w:pos="1335" w:val="left"/>
        </w:tabs>
        <w:numPr>
          <w:ilvl w:val="2"/>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At the time of grant of a Restricted Stock Unit Award, the Administrator may impose such restrictions or conditions on the vesting of the Restricted Stock Units, as the Administrator deems appropriate. Within these limits, the Administrator, in its sole discretion, may provide for the lapse of such restrictions in installments and may accelerate or waive such restrictions in whole or in part, based on service, performance, or such other factors or criteria as the Administrator may determine in its sole discretion;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Administrator may not waive the one-year vesting restriction in the proviso of Section 10(a). The foregoing notwithstanding, no action pursuant to the preceding sentence may alter the time of payment of the Restricted Stock Unit Award if such alteration would cause the Award to be subject to penalty under Code Section 409A.</w:t>
      </w:r>
    </w:p>
    <w:p>
      <w:pPr>
        <w:spacing w:after="0" w:line="187" w:lineRule="exact"/>
        <w:rPr>
          <w:rFonts w:ascii="Times New Roman" w:cs="Times New Roman" w:eastAsia="Times New Roman" w:hAnsi="Times New Roman"/>
          <w:sz w:val="16"/>
          <w:szCs w:val="16"/>
          <w:color w:val="auto"/>
        </w:rPr>
      </w:pPr>
    </w:p>
    <w:p>
      <w:pPr>
        <w:jc w:val="both"/>
        <w:ind w:left="340" w:firstLine="640"/>
        <w:spacing w:after="0" w:line="290" w:lineRule="auto"/>
        <w:tabs>
          <w:tab w:leader="none" w:pos="1366" w:val="left"/>
        </w:tabs>
        <w:numPr>
          <w:ilvl w:val="2"/>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 equivalents may be credited in respect of Restricted Stock Units, as the Administrator deems appropriate. Such dividend equivalents may be paid in cash (subject to the vesting schedule of the underlying Restricted Stock Units) or converted into additional Restricted Stock Units by dividing (1) the aggregate amount or value of the dividends paid with respect to that number of Shares equal to the number of Restricted Stock Units then credited by (2) the Fair Market Value per Share on the payment date for such dividend. The additional Restricted Stock Units credited by reason of such dividend equivalents will be subject to all of the terms and conditions (including the vesting schedule) of the underlying Restricted Stock Unit Award to which they relate.</w:t>
      </w:r>
    </w:p>
    <w:p>
      <w:pPr>
        <w:spacing w:after="0" w:line="184" w:lineRule="exact"/>
        <w:rPr>
          <w:rFonts w:ascii="Times New Roman" w:cs="Times New Roman" w:eastAsia="Times New Roman" w:hAnsi="Times New Roman"/>
          <w:sz w:val="16"/>
          <w:szCs w:val="16"/>
          <w:color w:val="auto"/>
        </w:rPr>
      </w:pPr>
    </w:p>
    <w:p>
      <w:pPr>
        <w:ind w:left="340" w:firstLine="640"/>
        <w:spacing w:after="0" w:line="316" w:lineRule="auto"/>
        <w:tabs>
          <w:tab w:leader="none" w:pos="1438" w:val="left"/>
        </w:tabs>
        <w:numPr>
          <w:ilvl w:val="2"/>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Administrator shall specify the conditions under which Restricted Stock Units shall vest or be forfeited and such conditions shall be set forth in the Restricted Stock Unit Agreement.</w:t>
      </w:r>
    </w:p>
    <w:p>
      <w:pPr>
        <w:spacing w:after="0" w:line="163" w:lineRule="exact"/>
        <w:rPr>
          <w:rFonts w:ascii="Times New Roman" w:cs="Times New Roman" w:eastAsia="Times New Roman" w:hAnsi="Times New Roman"/>
          <w:sz w:val="16"/>
          <w:szCs w:val="16"/>
          <w:color w:val="auto"/>
        </w:rPr>
      </w:pPr>
    </w:p>
    <w:p>
      <w:pPr>
        <w:jc w:val="both"/>
        <w:ind w:firstLine="656"/>
        <w:spacing w:after="0" w:line="290" w:lineRule="auto"/>
        <w:tabs>
          <w:tab w:leader="none" w:pos="1008"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Deferral Election</w:t>
      </w:r>
      <w:r>
        <w:rPr>
          <w:rFonts w:ascii="Times New Roman" w:cs="Times New Roman" w:eastAsia="Times New Roman" w:hAnsi="Times New Roman"/>
          <w:sz w:val="16"/>
          <w:szCs w:val="16"/>
          <w:color w:val="auto"/>
        </w:rPr>
        <w:t>. Each recipient of a Restricted Stock Unit Award may be eligible, subject to Administrator approval, to elect to defer all or a percentage of any Shares he or she may be entitled to receive upon the lapse of any restrictions or vesting period to which the Award is subject. This election shall be made by giving notice in a manner and within the time prescribed by the Administrator and in compliance with the requirements of Code Section 409A. Each Participant must indicate the percentage (expressed in whole percentages) he or she elects to defer of any Shares he or she may be entitled to receive. If no notice is given, the Participant shall be deemed to have made no deferral election. Each deferral election filed with the Administrator shall become irrevocable on and after the prescribed deadline.</w:t>
      </w:r>
    </w:p>
    <w:p>
      <w:pPr>
        <w:spacing w:after="0" w:line="182"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7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PERFORMANCE SHARES</w:t>
      </w:r>
      <w:r>
        <w:rPr>
          <w:rFonts w:ascii="Times New Roman" w:cs="Times New Roman" w:eastAsia="Times New Roman" w:hAnsi="Times New Roman"/>
          <w:sz w:val="16"/>
          <w:szCs w:val="16"/>
          <w:b w:val="1"/>
          <w:bCs w:val="1"/>
          <w:color w:val="auto"/>
        </w:rPr>
        <w:t>.</w:t>
      </w:r>
    </w:p>
    <w:p>
      <w:pPr>
        <w:spacing w:after="0" w:line="250" w:lineRule="exact"/>
        <w:rPr>
          <w:rFonts w:ascii="Times New Roman" w:cs="Times New Roman" w:eastAsia="Times New Roman" w:hAnsi="Times New Roman"/>
          <w:sz w:val="16"/>
          <w:szCs w:val="16"/>
          <w:b w:val="1"/>
          <w:bCs w:val="1"/>
          <w:color w:val="auto"/>
        </w:rPr>
      </w:pPr>
    </w:p>
    <w:p>
      <w:pPr>
        <w:jc w:val="both"/>
        <w:ind w:firstLine="656"/>
        <w:spacing w:after="0" w:line="288" w:lineRule="auto"/>
        <w:tabs>
          <w:tab w:leader="none" w:pos="1008"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Grants</w:t>
      </w:r>
      <w:r>
        <w:rPr>
          <w:rFonts w:ascii="Times New Roman" w:cs="Times New Roman" w:eastAsia="Times New Roman" w:hAnsi="Times New Roman"/>
          <w:sz w:val="16"/>
          <w:szCs w:val="16"/>
          <w:color w:val="auto"/>
        </w:rPr>
        <w:t xml:space="preserve">. Subject to the provisions of the Plan, the Administrator shall have sole and complete authority to determine the Employees and Directors to whom, and the time or times at which, grants of Performance Shares will be made, the number of Performance Shares to be awarded, the price (if any) to be paid by the recipient of the Performance Shares, the time or times within which such Performance Shares may be subject to forfeiture and all other terms and conditions of the Performance Share Awards;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except as set forth in Section 15(b) or in the event of a Participant’s death or Disability, Performance Shares shall have a vesting period of not less than one year. The Administrator may condition the grant of Performance Share Awards upon the attainment of specified performance objectives established by the Administrator pursuant to Section 14 or such other factors as the Administrator may determine, in its sole discretion.</w:t>
      </w:r>
    </w:p>
    <w:p>
      <w:pPr>
        <w:spacing w:after="0" w:line="188"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6"/>
          <w:szCs w:val="16"/>
          <w:color w:val="auto"/>
        </w:rPr>
        <w:t>The terms of each Performance Share Award shall be set forth in a Performance Share Award Agreement between the Company and the Participant, which Agreement shall contain such provisions as the Administrator determines to be necessary or appropriate to carry out the intent of the Plan. With respect to a Performance Share Award, no certificate for shares of stock shall be issued at the time the grant is made (nor shall any book entry be made in the records of the Company), and the Participant shall have no right to or interest in shares of stock of the Company as a result of the grant of Performance Shares.</w:t>
      </w:r>
    </w:p>
    <w:p>
      <w:pPr>
        <w:sectPr>
          <w:pgSz w:w="11900" w:h="16838" w:orient="portrait"/>
          <w:cols w:equalWidth="0" w:num="1">
            <w:col w:w="11420"/>
          </w:cols>
          <w:pgMar w:left="240" w:top="596" w:right="239" w:bottom="1440" w:gutter="0" w:footer="0" w:header="0"/>
        </w:sectPr>
      </w:pPr>
    </w:p>
    <w:bookmarkStart w:id="112" w:name="page113"/>
    <w:bookmarkEnd w:id="112"/>
    <w:p>
      <w:pPr>
        <w:ind w:left="1020" w:hanging="364"/>
        <w:spacing w:after="0"/>
        <w:tabs>
          <w:tab w:leader="none" w:pos="1020"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 and Conditions</w:t>
      </w:r>
      <w:r>
        <w:rPr>
          <w:rFonts w:ascii="Times New Roman" w:cs="Times New Roman" w:eastAsia="Times New Roman" w:hAnsi="Times New Roman"/>
          <w:sz w:val="16"/>
          <w:szCs w:val="16"/>
          <w:color w:val="auto"/>
        </w:rPr>
        <w:t>. The Performance Shares awarded pursuant to this Section 11 shall be subject to the following restrictions and conditions:</w:t>
      </w:r>
    </w:p>
    <w:p>
      <w:pPr>
        <w:spacing w:after="0" w:line="248" w:lineRule="exact"/>
        <w:rPr>
          <w:rFonts w:ascii="Times New Roman" w:cs="Times New Roman" w:eastAsia="Times New Roman" w:hAnsi="Times New Roman"/>
          <w:sz w:val="16"/>
          <w:szCs w:val="16"/>
          <w:color w:val="auto"/>
        </w:rPr>
      </w:pPr>
    </w:p>
    <w:p>
      <w:pPr>
        <w:jc w:val="both"/>
        <w:ind w:left="340" w:firstLine="640"/>
        <w:spacing w:after="0" w:line="286" w:lineRule="auto"/>
        <w:tabs>
          <w:tab w:leader="none" w:pos="1348" w:val="left"/>
        </w:tabs>
        <w:numPr>
          <w:ilvl w:val="2"/>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At the time of grant of a Performance Share Award, the Administrator may set performance objectives in its discretion which, depending on the extent to which they are met, will determined the number of Performance Shares that will be paid out to the Participant. The time period during which the performance objectives must be met will be called the “Performance Period.” After the applicable Performance Period has ended, the recipient of the Performance Shares will be entitled to receive the number of Performance Shares earned by the Participant over the Performance Period, to be determined as a function of the extent to which the corresponding performance objectives have been achieved. After the grant of a Performance Share Award, the Administrator, in its sole discretion, may reduce or waive any performance objective for such Performance Share Award;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the Administrator may not waive the restriction in the proviso of Section 11(a) and further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performance objective may be waived or reduced for a Covered Employee and further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such action may alter the time of payment of the Performance Share Award if such alteration would cause the award to be subject to penalty under Code Section 409A.</w:t>
      </w:r>
    </w:p>
    <w:p>
      <w:pPr>
        <w:spacing w:after="0" w:line="190" w:lineRule="exact"/>
        <w:rPr>
          <w:rFonts w:ascii="Times New Roman" w:cs="Times New Roman" w:eastAsia="Times New Roman" w:hAnsi="Times New Roman"/>
          <w:sz w:val="16"/>
          <w:szCs w:val="16"/>
          <w:color w:val="auto"/>
        </w:rPr>
      </w:pPr>
    </w:p>
    <w:p>
      <w:pPr>
        <w:ind w:left="1360" w:hanging="380"/>
        <w:spacing w:after="0"/>
        <w:tabs>
          <w:tab w:leader="none" w:pos="1360" w:val="left"/>
        </w:tabs>
        <w:numPr>
          <w:ilvl w:val="2"/>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 equivalents will not be credited in respect of any unearned Performance Share Award during the applicable Performance Period.</w:t>
      </w:r>
    </w:p>
    <w:p>
      <w:pPr>
        <w:spacing w:after="0" w:line="246" w:lineRule="exact"/>
        <w:rPr>
          <w:rFonts w:ascii="Times New Roman" w:cs="Times New Roman" w:eastAsia="Times New Roman" w:hAnsi="Times New Roman"/>
          <w:sz w:val="16"/>
          <w:szCs w:val="16"/>
          <w:color w:val="auto"/>
        </w:rPr>
      </w:pPr>
    </w:p>
    <w:p>
      <w:pPr>
        <w:ind w:left="400" w:hanging="392"/>
        <w:spacing w:after="0"/>
        <w:tabs>
          <w:tab w:leader="none" w:pos="400" w:val="left"/>
        </w:tabs>
        <w:numPr>
          <w:ilvl w:val="0"/>
          <w:numId w:val="7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OTHER SHARE-BASED AWARDS</w:t>
      </w:r>
      <w:r>
        <w:rPr>
          <w:rFonts w:ascii="Times New Roman" w:cs="Times New Roman" w:eastAsia="Times New Roman" w:hAnsi="Times New Roman"/>
          <w:sz w:val="16"/>
          <w:szCs w:val="16"/>
          <w:b w:val="1"/>
          <w:bCs w:val="1"/>
          <w:color w:val="auto"/>
        </w:rPr>
        <w:t>.</w:t>
      </w:r>
    </w:p>
    <w:p>
      <w:pPr>
        <w:spacing w:after="0" w:line="250" w:lineRule="exact"/>
        <w:rPr>
          <w:rFonts w:ascii="Times New Roman" w:cs="Times New Roman" w:eastAsia="Times New Roman" w:hAnsi="Times New Roman"/>
          <w:sz w:val="16"/>
          <w:szCs w:val="16"/>
          <w:b w:val="1"/>
          <w:bCs w:val="1"/>
          <w:color w:val="auto"/>
        </w:rPr>
      </w:pPr>
    </w:p>
    <w:p>
      <w:pPr>
        <w:jc w:val="both"/>
        <w:ind w:firstLine="656"/>
        <w:spacing w:after="0" w:line="293" w:lineRule="auto"/>
        <w:tabs>
          <w:tab w:leader="none" w:pos="1035"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Grants</w:t>
      </w:r>
      <w:r>
        <w:rPr>
          <w:rFonts w:ascii="Times New Roman" w:cs="Times New Roman" w:eastAsia="Times New Roman" w:hAnsi="Times New Roman"/>
          <w:sz w:val="16"/>
          <w:szCs w:val="16"/>
          <w:color w:val="auto"/>
        </w:rPr>
        <w:t>. Other Awards of Shares and other Awards that are valued in whole or in part by reference to, or are otherwise based on, Shares (“Other Share-Based Awards”), may be granted either alone or in addition to or in conjunction with other Awards under this Plan. Awards under this Section 12 may include (without limitation) Stock Rights, the grant of Shares conditioned upon some specified event, the payment of cash based upon the performance of the Shares or the grant of securities convertible into Shares.</w:t>
      </w:r>
    </w:p>
    <w:p>
      <w:pPr>
        <w:spacing w:after="0" w:line="182" w:lineRule="exact"/>
        <w:rPr>
          <w:sz w:val="20"/>
          <w:szCs w:val="20"/>
          <w:color w:val="auto"/>
        </w:rPr>
      </w:pPr>
    </w:p>
    <w:p>
      <w:pPr>
        <w:jc w:val="both"/>
        <w:ind w:firstLine="648"/>
        <w:spacing w:after="0" w:line="285" w:lineRule="auto"/>
        <w:rPr>
          <w:sz w:val="20"/>
          <w:szCs w:val="20"/>
          <w:color w:val="auto"/>
        </w:rPr>
      </w:pPr>
      <w:r>
        <w:rPr>
          <w:rFonts w:ascii="Times New Roman" w:cs="Times New Roman" w:eastAsia="Times New Roman" w:hAnsi="Times New Roman"/>
          <w:sz w:val="16"/>
          <w:szCs w:val="16"/>
          <w:color w:val="auto"/>
        </w:rPr>
        <w:t xml:space="preserve">Subject to the provisions of the Plan, the Administrator shall have sole and complete authority to determine the Employees and Directors to whom and the time or times at which Other Share-Based Awards shall be made, the number of Shares or other securities, if any, to be granted pursuant to Other Share-Based Awards, and all other conditions of the Other Share-Based Awards;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except as set forth in Section 15(b) or in the event of a Participant’s death or Disability, Other Share-Based Awards shall have a vesting period of not less than one year. The Administrator may condition the grant of an Other Share-Based Award upon the attainment of specified performance goals or such other factors as the Administrator shall determine, in its sole discretion. In granting an Other Share-Based Award, the Administrator may determine that the recipient of an Other Share-Based Award shall be entitled to receive, currently or on a deferred basis, interest or dividends or dividend equivalents with respect to the Shares or other securities covered by the Award, and the Administrator may provide that such amounts (if any) shall be deemed to have been reinvested in additional Shares or otherwise reinvested;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Administrator shall provide that either (A) the payment of ordinary cash dividends shall be delayed unless and until the underlying Award becomes vested or (B) such ordinary cash dividends shall be invested in additional Shares, Share Equivalents or Restricted Stock Units to the extent available under Section 6, which shall be subject to the same restrictions as the underlying Award. The terms of any Other Share-Based Award shall be set forth in an Other Share-Based Award Agreement between the Company and the Participant, which Agreement shall contain such provisions as the Administrator determines to be necessary or appropriate to carry out the intent of the Plan.</w:t>
      </w:r>
    </w:p>
    <w:p>
      <w:pPr>
        <w:spacing w:after="0" w:line="187" w:lineRule="exact"/>
        <w:rPr>
          <w:sz w:val="20"/>
          <w:szCs w:val="20"/>
          <w:color w:val="auto"/>
        </w:rPr>
      </w:pPr>
    </w:p>
    <w:p>
      <w:pPr>
        <w:ind w:firstLine="656"/>
        <w:spacing w:after="0" w:line="316" w:lineRule="auto"/>
        <w:tabs>
          <w:tab w:leader="none" w:pos="1085"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Terms and Conditions</w:t>
      </w:r>
      <w:r>
        <w:rPr>
          <w:rFonts w:ascii="Times New Roman" w:cs="Times New Roman" w:eastAsia="Times New Roman" w:hAnsi="Times New Roman"/>
          <w:sz w:val="16"/>
          <w:szCs w:val="16"/>
          <w:color w:val="auto"/>
        </w:rPr>
        <w:t>. In addition to the terms and conditions specified in the Other Share-Based Award Agreement, Other Share-Based Awards shall be subject to the following:</w:t>
      </w:r>
    </w:p>
    <w:p>
      <w:pPr>
        <w:spacing w:after="0" w:line="163" w:lineRule="exact"/>
        <w:rPr>
          <w:rFonts w:ascii="Times New Roman" w:cs="Times New Roman" w:eastAsia="Times New Roman" w:hAnsi="Times New Roman"/>
          <w:sz w:val="16"/>
          <w:szCs w:val="16"/>
          <w:color w:val="auto"/>
        </w:rPr>
      </w:pPr>
    </w:p>
    <w:p>
      <w:pPr>
        <w:ind w:left="340" w:firstLine="640"/>
        <w:spacing w:after="0" w:line="316" w:lineRule="auto"/>
        <w:tabs>
          <w:tab w:leader="none" w:pos="1321" w:val="left"/>
        </w:tabs>
        <w:numPr>
          <w:ilvl w:val="2"/>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Share-Based Award may not be sold, assigned, transferred, pledged or otherwise encumbered prior to the date on which the Shares are issued or the Award becomes payable, or, if later, the date on which any applicable restriction, performance or deferral period lapses.</w:t>
      </w:r>
    </w:p>
    <w:p>
      <w:pPr>
        <w:spacing w:after="0" w:line="163" w:lineRule="exact"/>
        <w:rPr>
          <w:rFonts w:ascii="Times New Roman" w:cs="Times New Roman" w:eastAsia="Times New Roman" w:hAnsi="Times New Roman"/>
          <w:sz w:val="16"/>
          <w:szCs w:val="16"/>
          <w:color w:val="auto"/>
        </w:rPr>
      </w:pPr>
    </w:p>
    <w:p>
      <w:pPr>
        <w:jc w:val="both"/>
        <w:ind w:left="340" w:firstLine="640"/>
        <w:spacing w:after="0" w:line="293" w:lineRule="auto"/>
        <w:tabs>
          <w:tab w:leader="none" w:pos="1474" w:val="left"/>
        </w:tabs>
        <w:numPr>
          <w:ilvl w:val="2"/>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Other Share-Based Award Agreement shall contain provisions dealing with the disposition of such Award in the event of termination of the Employee's employment or the Director’s service prior to the exercise, realization or payment of such Award, and, subject to the achievement of one-year minimum vesting (unless otherwise in connection with a Change-in-Control), the Administrator in its sole discretion may provide for payment of the Award in the event of the Participant’s Disability or death, with such provisions to take account of the specific nature and purpose of the Award.</w:t>
      </w:r>
    </w:p>
    <w:p>
      <w:pPr>
        <w:spacing w:after="0" w:line="179" w:lineRule="exact"/>
        <w:rPr>
          <w:rFonts w:ascii="Times New Roman" w:cs="Times New Roman" w:eastAsia="Times New Roman" w:hAnsi="Times New Roman"/>
          <w:sz w:val="16"/>
          <w:szCs w:val="16"/>
          <w:color w:val="auto"/>
        </w:rPr>
      </w:pPr>
    </w:p>
    <w:p>
      <w:pPr>
        <w:ind w:left="400" w:hanging="392"/>
        <w:spacing w:after="0"/>
        <w:tabs>
          <w:tab w:leader="none" w:pos="400" w:val="left"/>
        </w:tabs>
        <w:numPr>
          <w:ilvl w:val="0"/>
          <w:numId w:val="7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OTHER PAYMENTS IN SHARES</w:t>
      </w:r>
      <w:r>
        <w:rPr>
          <w:rFonts w:ascii="Times New Roman" w:cs="Times New Roman" w:eastAsia="Times New Roman" w:hAnsi="Times New Roman"/>
          <w:sz w:val="16"/>
          <w:szCs w:val="16"/>
          <w:b w:val="1"/>
          <w:bCs w:val="1"/>
          <w:color w:val="auto"/>
        </w:rPr>
        <w:t>.</w:t>
      </w:r>
    </w:p>
    <w:p>
      <w:pPr>
        <w:spacing w:after="0" w:line="250" w:lineRule="exact"/>
        <w:rPr>
          <w:sz w:val="20"/>
          <w:szCs w:val="20"/>
          <w:color w:val="auto"/>
        </w:rPr>
      </w:pPr>
    </w:p>
    <w:p>
      <w:pPr>
        <w:jc w:val="both"/>
        <w:ind w:firstLine="648"/>
        <w:spacing w:after="0" w:line="299" w:lineRule="auto"/>
        <w:rPr>
          <w:sz w:val="20"/>
          <w:szCs w:val="20"/>
          <w:color w:val="auto"/>
        </w:rPr>
      </w:pPr>
      <w:r>
        <w:rPr>
          <w:rFonts w:ascii="Times New Roman" w:cs="Times New Roman" w:eastAsia="Times New Roman" w:hAnsi="Times New Roman"/>
          <w:sz w:val="16"/>
          <w:szCs w:val="16"/>
          <w:color w:val="auto"/>
        </w:rPr>
        <w:t>Shares may be issued under this Plan to satisfy the payment of all or part of an award pursuant to the Company’s annual bonus plan. In addition, all or part of any Director’s fees may be paid in Shares or Share Equivalents issued under this Plan. Any Shares issued pursuant to this Section 13 shall reduce the number of Shares authorized under Section 6 but shall not be considered an Award for purposes of the maximum grant limitation in Section 5(b).</w:t>
      </w:r>
    </w:p>
    <w:p>
      <w:pPr>
        <w:sectPr>
          <w:pgSz w:w="11900" w:h="16838" w:orient="portrait"/>
          <w:cols w:equalWidth="0" w:num="1">
            <w:col w:w="11420"/>
          </w:cols>
          <w:pgMar w:left="240" w:top="598" w:right="239" w:bottom="1440" w:gutter="0" w:footer="0" w:header="0"/>
        </w:sectPr>
      </w:pPr>
    </w:p>
    <w:bookmarkStart w:id="113" w:name="page114"/>
    <w:bookmarkEnd w:id="113"/>
    <w:p>
      <w:pPr>
        <w:ind w:left="400" w:hanging="392"/>
        <w:spacing w:after="0"/>
        <w:tabs>
          <w:tab w:leader="none" w:pos="400" w:val="left"/>
        </w:tabs>
        <w:numPr>
          <w:ilvl w:val="0"/>
          <w:numId w:val="7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PERFORMANCE OBJECTIVES</w:t>
      </w:r>
      <w:r>
        <w:rPr>
          <w:rFonts w:ascii="Times New Roman" w:cs="Times New Roman" w:eastAsia="Times New Roman" w:hAnsi="Times New Roman"/>
          <w:sz w:val="16"/>
          <w:szCs w:val="16"/>
          <w:b w:val="1"/>
          <w:bCs w:val="1"/>
          <w:color w:val="auto"/>
        </w:rPr>
        <w:t>.</w:t>
      </w:r>
    </w:p>
    <w:p>
      <w:pPr>
        <w:spacing w:after="0" w:line="250" w:lineRule="exact"/>
        <w:rPr>
          <w:rFonts w:ascii="Times New Roman" w:cs="Times New Roman" w:eastAsia="Times New Roman" w:hAnsi="Times New Roman"/>
          <w:sz w:val="16"/>
          <w:szCs w:val="16"/>
          <w:b w:val="1"/>
          <w:bCs w:val="1"/>
          <w:color w:val="auto"/>
        </w:rPr>
      </w:pPr>
    </w:p>
    <w:p>
      <w:pPr>
        <w:ind w:firstLine="656"/>
        <w:spacing w:after="0" w:line="316" w:lineRule="auto"/>
        <w:tabs>
          <w:tab w:leader="none" w:pos="1062"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Authority to Establish</w:t>
      </w:r>
      <w:r>
        <w:rPr>
          <w:rFonts w:ascii="Times New Roman" w:cs="Times New Roman" w:eastAsia="Times New Roman" w:hAnsi="Times New Roman"/>
          <w:sz w:val="16"/>
          <w:szCs w:val="16"/>
          <w:color w:val="auto"/>
        </w:rPr>
        <w:t xml:space="preserve">. The Administrator shall determine the terms and conditions of Awards at the date of grant or thereafter;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performance objectives for each year, if any, shall be established by the Administrator not later than the latest date permissible under Code Section 162(m).</w:t>
      </w:r>
    </w:p>
    <w:p>
      <w:pPr>
        <w:spacing w:after="0" w:line="163" w:lineRule="exact"/>
        <w:rPr>
          <w:rFonts w:ascii="Times New Roman" w:cs="Times New Roman" w:eastAsia="Times New Roman" w:hAnsi="Times New Roman"/>
          <w:sz w:val="16"/>
          <w:szCs w:val="16"/>
          <w:color w:val="auto"/>
        </w:rPr>
      </w:pPr>
    </w:p>
    <w:p>
      <w:pPr>
        <w:ind w:left="1040" w:hanging="384"/>
        <w:spacing w:after="0"/>
        <w:tabs>
          <w:tab w:leader="none" w:pos="1040"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Criteria</w:t>
      </w:r>
      <w:r>
        <w:rPr>
          <w:rFonts w:ascii="Times New Roman" w:cs="Times New Roman" w:eastAsia="Times New Roman" w:hAnsi="Times New Roman"/>
          <w:sz w:val="16"/>
          <w:szCs w:val="16"/>
          <w:color w:val="auto"/>
        </w:rPr>
        <w:t>. To the extent that such Awards are paid to Employees the performance objectives to be used, if any, shall be expressed in terms of one or more of the</w:t>
      </w:r>
    </w:p>
    <w:p>
      <w:pPr>
        <w:spacing w:after="0" w:line="32" w:lineRule="exact"/>
        <w:rPr>
          <w:rFonts w:ascii="Times New Roman" w:cs="Times New Roman" w:eastAsia="Times New Roman" w:hAnsi="Times New Roman"/>
          <w:sz w:val="16"/>
          <w:szCs w:val="16"/>
          <w:color w:val="auto"/>
        </w:rPr>
      </w:pPr>
    </w:p>
    <w:p>
      <w:pPr>
        <w:jc w:val="both"/>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total shareholder return; earnings per share; stock price; return on equity; net earnings; income from continuing operations; related return ratios; cash flow; net earnings growth; earnings before interest, taxes, depreciation and amortization (“EBITDA”); gross or operating margins; productivity ratios; expense targets; operating efficiency; market share; customer satisfaction; working capital targets (including, but not limited to days sales outstanding); return on assets; increase in revenues; decrease in expenses; increase in funds from operations (“FFO”); and increase in FFO per share. Awards may be based on performance against objectives for more than one Subsidiary or segment of the Company. For example, awards for a Participant employed by the Company may be based on overall corporate performance against objectives, but awards for a Participant employed by a Subsidiary may be based on a combination of corporate, segment and Subsidiary performance against objectives. Performance objectives, if any, established by the Administrator may be (but need not be) different from year-to-year, and different performance objectives may be applicable to different Participants. Performance objectives may be determined on an absolute basis or relative to internal goals or relative to levels attained in prior years or related to other companies or indices or as ratios expressing relationships between two or more performance objectives. In addition, performance objectives may be based upon the attainment of specified levels of Company performance under one or more of the measures described above relative to the performance of other corporations.</w:t>
      </w:r>
    </w:p>
    <w:p>
      <w:pPr>
        <w:spacing w:after="0" w:line="192" w:lineRule="exact"/>
        <w:rPr>
          <w:rFonts w:ascii="Times New Roman" w:cs="Times New Roman" w:eastAsia="Times New Roman" w:hAnsi="Times New Roman"/>
          <w:sz w:val="16"/>
          <w:szCs w:val="16"/>
          <w:color w:val="auto"/>
        </w:rPr>
      </w:pPr>
    </w:p>
    <w:p>
      <w:pPr>
        <w:jc w:val="both"/>
        <w:ind w:firstLine="656"/>
        <w:spacing w:after="0" w:line="288" w:lineRule="auto"/>
        <w:tabs>
          <w:tab w:leader="none" w:pos="1035"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Adjustments</w:t>
      </w:r>
      <w:r>
        <w:rPr>
          <w:rFonts w:ascii="Times New Roman" w:cs="Times New Roman" w:eastAsia="Times New Roman" w:hAnsi="Times New Roman"/>
          <w:sz w:val="16"/>
          <w:szCs w:val="16"/>
          <w:color w:val="auto"/>
        </w:rPr>
        <w:t>. The Committee shall specify the manner of adjustment of any performance objectives to the extent necessary to prevent dilution or enlargement of any award as a result of extraordinary events or circumstances, as determined by the Committee, or to exclude the effects of extraordinary, unusual or nonrecurring items; changes in applicable laws, regulations, or accounting principles; currency fluctuations; discontinued operations; noncash items, such as amortization, depreciation or reserves; asset impairment; or any recapitalization, restructuring, reorganization, merger, acquisition, divestiture, consolidation, spin-off, split-up, combination, liquidation, dissolution, sale of assets or other similar corporate transaction. Any adjustment to performance objectives pursuant to this Section 14(c) shall be done in accordance with Code Section 162(m).</w:t>
      </w:r>
    </w:p>
    <w:p>
      <w:pPr>
        <w:spacing w:after="0" w:line="185" w:lineRule="exact"/>
        <w:rPr>
          <w:rFonts w:ascii="Times New Roman" w:cs="Times New Roman" w:eastAsia="Times New Roman" w:hAnsi="Times New Roman"/>
          <w:sz w:val="16"/>
          <w:szCs w:val="16"/>
          <w:color w:val="auto"/>
        </w:rPr>
      </w:pPr>
    </w:p>
    <w:p>
      <w:pPr>
        <w:ind w:left="400" w:hanging="392"/>
        <w:spacing w:after="0"/>
        <w:tabs>
          <w:tab w:leader="none" w:pos="400" w:val="left"/>
        </w:tabs>
        <w:numPr>
          <w:ilvl w:val="0"/>
          <w:numId w:val="7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CHANGE-IN-CONTROL</w:t>
      </w:r>
      <w:r>
        <w:rPr>
          <w:rFonts w:ascii="Times New Roman" w:cs="Times New Roman" w:eastAsia="Times New Roman" w:hAnsi="Times New Roman"/>
          <w:sz w:val="16"/>
          <w:szCs w:val="16"/>
          <w:b w:val="1"/>
          <w:bCs w:val="1"/>
          <w:color w:val="auto"/>
        </w:rPr>
        <w:t>.</w:t>
      </w:r>
    </w:p>
    <w:p>
      <w:pPr>
        <w:spacing w:after="0" w:line="250" w:lineRule="exact"/>
        <w:rPr>
          <w:rFonts w:ascii="Times New Roman" w:cs="Times New Roman" w:eastAsia="Times New Roman" w:hAnsi="Times New Roman"/>
          <w:sz w:val="16"/>
          <w:szCs w:val="16"/>
          <w:b w:val="1"/>
          <w:bCs w:val="1"/>
          <w:color w:val="auto"/>
        </w:rPr>
      </w:pPr>
    </w:p>
    <w:p>
      <w:pPr>
        <w:jc w:val="both"/>
        <w:ind w:firstLine="656"/>
        <w:spacing w:after="0" w:line="288" w:lineRule="auto"/>
        <w:tabs>
          <w:tab w:leader="none" w:pos="1076"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Effect of Change-in-Control on Options and Stock Appreciation Rights</w:t>
      </w:r>
      <w:r>
        <w:rPr>
          <w:rFonts w:ascii="Times New Roman" w:cs="Times New Roman" w:eastAsia="Times New Roman" w:hAnsi="Times New Roman"/>
          <w:sz w:val="16"/>
          <w:szCs w:val="16"/>
          <w:color w:val="auto"/>
        </w:rPr>
        <w:t>. Subject to the limitations set forth in Section 15(c), in the event of a Change-in-Control, the surviving, continuing, successor or purchasing Company or other business entity or parent thereof, as the case may be (the “Acquiror”) may, without the consent of any Participant, either assume or continue the Company’s rights and obligations under outstanding Options and Stock Appreciation Rights or substitute for outstanding Options and Stock Appreciation Rights substantially equivalent options covering the Acquiror’s stock. All Options and Stock Appreciation Rights assumed or continued by the Acquiror in connection with a Change-in-Control will become fully vested and exercisable if the Participant’s employment is terminated without Cause at any time during the 12-month period following the Change-in-Control.</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6"/>
          <w:szCs w:val="16"/>
          <w:color w:val="auto"/>
        </w:rPr>
        <w:t>Any Option or Stock Appreciation Right granted one year or more prior to the Change-in-Control that is neither assumed nor continued by the Acquiror in connection with the Change-in-Control shall, contingent on the Change-in-Control, become fully vested and exercisable immediately prior to the Change-in-Control. Any Option or Stock Appreciation Right granted less than one year prior to the Change-in-Control that is neither assumed nor continued by the Acquiror in connection with the Change-in-Control shall, to the extent not previously vested and exercisable, immediately prior to the Change-in-Control become vested and exercisable as to the number of Shares subject to such Option or Stock Appreciation Right equal to (i) the number of Shares originally subject to such Option or Stock Appreciation Right, multiplied by (ii) the number of whole months between the Grant Date and the Change-in-Control, divided by (iii) the number of months between the Grant Date and the date on which all Shares originally subject to such Option or Stock Appreciation Right would have been fully vested and exercisable; and such Option or Stock Appreciation Right shall terminate with respect to all remaining Shares subject to such Option or Stock Appreciation Right.</w:t>
      </w:r>
    </w:p>
    <w:p>
      <w:pPr>
        <w:spacing w:after="0" w:line="191" w:lineRule="exact"/>
        <w:rPr>
          <w:sz w:val="20"/>
          <w:szCs w:val="20"/>
          <w:color w:val="auto"/>
        </w:rPr>
      </w:pPr>
    </w:p>
    <w:p>
      <w:pPr>
        <w:jc w:val="both"/>
        <w:ind w:firstLine="656"/>
        <w:spacing w:after="0" w:line="285" w:lineRule="auto"/>
        <w:tabs>
          <w:tab w:leader="none" w:pos="891"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Effect of Change-in-Control on Awards Other Than Options</w:t>
      </w:r>
      <w:r>
        <w:rPr>
          <w:rFonts w:ascii="Times New Roman" w:cs="Times New Roman" w:eastAsia="Times New Roman" w:hAnsi="Times New Roman"/>
          <w:sz w:val="16"/>
          <w:szCs w:val="16"/>
          <w:color w:val="auto"/>
        </w:rPr>
        <w:t>. Subject to the limitations set forth in Section 15(c), in the event of a Change-in-Control, the Acquiror may, without the consent of any Participant, either assume or continue the Company’s rights and obligations under outstanding Awards other than Options or substitute for such Awards substantially equivalent awards covering the Acquiror’s stock. All Awards other than Options assumed or continued by the Acquiror in connection with a Change-in-Control will become fully vested and all restrictions on such Awards will lapse if the Participant’s employment is terminated without Cause at any time during the 12-month period following the Change-in-Control. Any Award that is neither assumed nor continued by the Acquiror in connection with the Change-in-Control shall, upon the Change-in-Control, become fully vested and all restrictions shall be released immediately prior to the Change-in-Control, and all Restricted Unit Awards and Performance Share Awards shall become immediately payable. Notwithstanding anything in this Section 15(b) to the contrary, with respect to any Award of Restricted Stock Units or Performance Shares granted under this Plan that constitutes deferred compensation within the meaning of Section 409A of the Code, if the Change-in-Control does not constitute a “change in effective ownership or control” of the Company within the meaning of Section 409A of the Code, Restricted Stock Units and Performance Shares shall vest as provided in this Section 15(b), but shall be payable to the Participant in accordance with the payment provisions of the applicable Award Agreement.</w:t>
      </w:r>
    </w:p>
    <w:p>
      <w:pPr>
        <w:sectPr>
          <w:pgSz w:w="11900" w:h="16838" w:orient="portrait"/>
          <w:cols w:equalWidth="0" w:num="1">
            <w:col w:w="11420"/>
          </w:cols>
          <w:pgMar w:left="240" w:top="596" w:right="239" w:bottom="1440" w:gutter="0" w:footer="0" w:header="0"/>
        </w:sectPr>
      </w:pPr>
    </w:p>
    <w:bookmarkStart w:id="114" w:name="page115"/>
    <w:bookmarkEnd w:id="114"/>
    <w:p>
      <w:pPr>
        <w:jc w:val="both"/>
        <w:ind w:firstLine="656"/>
        <w:spacing w:after="0" w:line="284" w:lineRule="auto"/>
        <w:tabs>
          <w:tab w:leader="none" w:pos="869" w:val="left"/>
        </w:tabs>
        <w:numPr>
          <w:ilvl w:val="1"/>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Limitation on Acceleration</w:t>
      </w:r>
      <w:r>
        <w:rPr>
          <w:rFonts w:ascii="Times New Roman" w:cs="Times New Roman" w:eastAsia="Times New Roman" w:hAnsi="Times New Roman"/>
          <w:sz w:val="16"/>
          <w:szCs w:val="16"/>
          <w:color w:val="auto"/>
        </w:rPr>
        <w:t xml:space="preserve">. In connection with any acceleration of vesting or change in exercisability upon or after a Change-in-Control, if any amount or benefit to be paid or provided under an Award or under any other agreement between a Participant and Company would be an Excess Parachute Payment (including after taking into account the value, to the maximum extent permitted by Code Section 280G, of covenants by or restrictions on Participant following the Change-in-Control), then the payments and benefits to be paid or provided will be reduced to the minimum extent necessary (but in no event to less than zero) so that no portion of any such payment or benefit, as so reduced, constitutes an Excess Parachute Payment;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the foregoing reduction will not be made if such reduction would result in a Participant’s receiving an After-Tax Amount less than 90% of the After-Tax Amount of the payments Participant would have received under such Awards or any other agreement without regard to this limitation. Whether requested by a Participant or the Company, the determination of whether any reduction in such payments or benefits is required pursuant to the preceding sentence, and the value to be assigned to any covenants by or restrictions on Participant, for purposes of determining the amount, if any, of the Excess Parachute Payment will be made at the expense of the Company by the Company’s independent accountants or benefits consultant. The fact that a Participant’s right to payments or benefits may be reduced by reason of the limitations contained in this paragraph will not of itself limit or otherwise affect any other rights of a Participant under any other agreement. In the event that any payment or benefit intended to be provided is required to be reduced pursuant to this paragraph, a Participant will be entitled to designate the payments and/or benefits to be so reduced in order to give effect to this paragraph,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if any such payments and/or benefits constitute deferred compensation within the meaning of Section 409A, the following rules shall apply: first a pro rata reduction of (i) cash payments subject to Section 409A of the Code as deferred compensation and (ii) cash payments not subject to Section 409A of the Code, and second a pro rata cancellation of (x) equity-based compensation subject to Section 409A of the Code as deferred compensation and (y) equity-based compensation not subject to Section 409A of the Code. The Company will provide Participant with all information reasonably requested by Participant to permit Participant to make such designation. In the event that Participant fails to make such designation within ten business days after receiving notice from the Company of a reduction under this paragraph, the Company may effect such reduction in any manner it deems appropriate.</w:t>
      </w:r>
    </w:p>
    <w:p>
      <w:pPr>
        <w:spacing w:after="0" w:line="186" w:lineRule="exact"/>
        <w:rPr>
          <w:rFonts w:ascii="Times New Roman" w:cs="Times New Roman" w:eastAsia="Times New Roman" w:hAnsi="Times New Roman"/>
          <w:sz w:val="16"/>
          <w:szCs w:val="16"/>
          <w:color w:val="auto"/>
        </w:rPr>
      </w:pPr>
    </w:p>
    <w:p>
      <w:pPr>
        <w:ind w:left="400" w:hanging="392"/>
        <w:spacing w:after="0"/>
        <w:tabs>
          <w:tab w:leader="none" w:pos="400" w:val="left"/>
        </w:tabs>
        <w:numPr>
          <w:ilvl w:val="0"/>
          <w:numId w:val="8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FORFEITURE FOR CAUSE</w:t>
      </w:r>
      <w:r>
        <w:rPr>
          <w:rFonts w:ascii="Times New Roman" w:cs="Times New Roman" w:eastAsia="Times New Roman" w:hAnsi="Times New Roman"/>
          <w:sz w:val="16"/>
          <w:szCs w:val="16"/>
          <w:b w:val="1"/>
          <w:bCs w:val="1"/>
          <w:color w:val="auto"/>
        </w:rPr>
        <w:t>.</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Notwithstanding any other provision of this Plan to the contrary, if the independent members of the Board or the Independent Committee determines that 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Participant has engaged in conduct which constitutes Cause, the following provisions shall apply:</w:t>
      </w:r>
    </w:p>
    <w:p>
      <w:pPr>
        <w:spacing w:after="0" w:line="248" w:lineRule="exact"/>
        <w:rPr>
          <w:sz w:val="20"/>
          <w:szCs w:val="20"/>
          <w:color w:val="auto"/>
        </w:rPr>
      </w:pPr>
    </w:p>
    <w:p>
      <w:pPr>
        <w:jc w:val="both"/>
        <w:ind w:firstLine="656"/>
        <w:spacing w:after="0" w:line="299" w:lineRule="auto"/>
        <w:tabs>
          <w:tab w:leader="none" w:pos="1008"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outstanding Option shall immediately and automatically terminate, be forfeited and shall cease to be exercisable, without limitation. In addition, any shares of Restricted Stock, Restricted Stock Units or Performance Shares as to which the restrictions have not lapsed shall immediately and automatically be forfeited, all of the rights of the Participant to such shares or share equivalents shall immediately terminate, and any Restricted Stock shall be returned to the Company.</w:t>
      </w:r>
    </w:p>
    <w:p>
      <w:pPr>
        <w:spacing w:after="0" w:line="176" w:lineRule="exact"/>
        <w:rPr>
          <w:rFonts w:ascii="Times New Roman" w:cs="Times New Roman" w:eastAsia="Times New Roman" w:hAnsi="Times New Roman"/>
          <w:sz w:val="16"/>
          <w:szCs w:val="16"/>
          <w:color w:val="auto"/>
        </w:rPr>
      </w:pPr>
    </w:p>
    <w:p>
      <w:pPr>
        <w:jc w:val="both"/>
        <w:ind w:firstLine="656"/>
        <w:spacing w:after="0" w:line="293" w:lineRule="auto"/>
        <w:tabs>
          <w:tab w:leader="none" w:pos="1044"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lapse of restrictions on or vesting of Restricted Stock, Restricted Stock Units or Performance Shares that have vested or upon which the restrictions have lapsed within the 36-month period immediately prior to the date it is determined that the Participant engaged in conduct constituting Cause (the “Determination Date”) shall be rescinded and all outstanding Awards shall be canceled. The Participant shall deliver to the Company the Shares delivered upon vesting or lapse of restrictions if such vesting or lapse of restrictions has been rescinded and the Shares retained by the Participant.</w:t>
      </w:r>
    </w:p>
    <w:p>
      <w:pPr>
        <w:spacing w:after="0" w:line="181" w:lineRule="exact"/>
        <w:rPr>
          <w:rFonts w:ascii="Times New Roman" w:cs="Times New Roman" w:eastAsia="Times New Roman" w:hAnsi="Times New Roman"/>
          <w:sz w:val="16"/>
          <w:szCs w:val="16"/>
          <w:color w:val="auto"/>
        </w:rPr>
      </w:pPr>
    </w:p>
    <w:p>
      <w:pPr>
        <w:ind w:firstLine="656"/>
        <w:spacing w:after="0" w:line="316" w:lineRule="auto"/>
        <w:tabs>
          <w:tab w:leader="none" w:pos="1103"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independent members of the Board or the Independent Committee may, to the extent permitted by applicable law, rescind any Awards made to the Participant within the 36-month period immediately prior to the Determination Date.</w:t>
      </w:r>
    </w:p>
    <w:p>
      <w:pPr>
        <w:spacing w:after="0" w:line="163" w:lineRule="exact"/>
        <w:rPr>
          <w:rFonts w:ascii="Times New Roman" w:cs="Times New Roman" w:eastAsia="Times New Roman" w:hAnsi="Times New Roman"/>
          <w:sz w:val="16"/>
          <w:szCs w:val="16"/>
          <w:color w:val="auto"/>
        </w:rPr>
      </w:pPr>
    </w:p>
    <w:p>
      <w:pPr>
        <w:jc w:val="both"/>
        <w:ind w:firstLine="656"/>
        <w:spacing w:after="0" w:line="299" w:lineRule="auto"/>
        <w:tabs>
          <w:tab w:leader="none" w:pos="1031"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independent members of the Board or the Independent Committee may, to the extent permitted by applicable law, recover any gains realized from the sale of vested Shares or the sale or other disposition of any Shares issued or issuable upon the exercise of an Option, in the case of any such sale or other disposition during the 36-month period immediately prior to the Determination Date.</w:t>
      </w:r>
    </w:p>
    <w:p>
      <w:pPr>
        <w:spacing w:after="0" w:line="177" w:lineRule="exact"/>
        <w:rPr>
          <w:sz w:val="20"/>
          <w:szCs w:val="20"/>
          <w:color w:val="auto"/>
        </w:rPr>
      </w:pPr>
    </w:p>
    <w:p>
      <w:pPr>
        <w:jc w:val="both"/>
        <w:ind w:firstLine="648"/>
        <w:spacing w:after="0" w:line="316" w:lineRule="auto"/>
        <w:rPr>
          <w:sz w:val="20"/>
          <w:szCs w:val="20"/>
          <w:color w:val="auto"/>
        </w:rPr>
      </w:pPr>
      <w:r>
        <w:rPr>
          <w:rFonts w:ascii="Times New Roman" w:cs="Times New Roman" w:eastAsia="Times New Roman" w:hAnsi="Times New Roman"/>
          <w:sz w:val="16"/>
          <w:szCs w:val="16"/>
          <w:color w:val="auto"/>
        </w:rPr>
        <w:t>The independent members of the Board or the Independent Committee shall determine in such body’s sole discretion whether the Participant has engaged in conduct that constitutes Cause.</w:t>
      </w:r>
    </w:p>
    <w:p>
      <w:pPr>
        <w:spacing w:after="0" w:line="164" w:lineRule="exact"/>
        <w:rPr>
          <w:sz w:val="20"/>
          <w:szCs w:val="20"/>
          <w:color w:val="auto"/>
        </w:rPr>
      </w:pPr>
    </w:p>
    <w:p>
      <w:pPr>
        <w:jc w:val="both"/>
        <w:ind w:firstLine="648"/>
        <w:spacing w:after="0" w:line="299" w:lineRule="auto"/>
        <w:rPr>
          <w:sz w:val="20"/>
          <w:szCs w:val="20"/>
          <w:color w:val="auto"/>
        </w:rPr>
      </w:pPr>
      <w:r>
        <w:rPr>
          <w:rFonts w:ascii="Times New Roman" w:cs="Times New Roman" w:eastAsia="Times New Roman" w:hAnsi="Times New Roman"/>
          <w:sz w:val="16"/>
          <w:szCs w:val="16"/>
          <w:color w:val="auto"/>
        </w:rPr>
        <w:t>Any provision of this Section 16 which is determined by a court of competent jurisdiction to be invalid or unenforceable should be construed or limited in a manner that is valid and enforceable and that comes closest to the business objectives intended by such invalid or unenforceable provision, without invalidating or rendering unenforceable the remaining provisions of this Section 16.</w:t>
      </w:r>
    </w:p>
    <w:p>
      <w:pPr>
        <w:sectPr>
          <w:pgSz w:w="11900" w:h="16838" w:orient="portrait"/>
          <w:cols w:equalWidth="0" w:num="1">
            <w:col w:w="11420"/>
          </w:cols>
          <w:pgMar w:left="240" w:top="598" w:right="239" w:bottom="1440" w:gutter="0" w:footer="0" w:header="0"/>
        </w:sectPr>
      </w:pPr>
    </w:p>
    <w:bookmarkStart w:id="115" w:name="page116"/>
    <w:bookmarkEnd w:id="115"/>
    <w:p>
      <w:pPr>
        <w:ind w:left="400" w:hanging="392"/>
        <w:spacing w:after="0"/>
        <w:tabs>
          <w:tab w:leader="none" w:pos="400" w:val="left"/>
        </w:tabs>
        <w:numPr>
          <w:ilvl w:val="0"/>
          <w:numId w:val="8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RECOUPMENT</w:t>
      </w:r>
      <w:r>
        <w:rPr>
          <w:rFonts w:ascii="Times New Roman" w:cs="Times New Roman" w:eastAsia="Times New Roman" w:hAnsi="Times New Roman"/>
          <w:sz w:val="16"/>
          <w:szCs w:val="16"/>
          <w:b w:val="1"/>
          <w:bCs w:val="1"/>
          <w:color w:val="auto"/>
        </w:rPr>
        <w:t>.</w:t>
      </w:r>
    </w:p>
    <w:p>
      <w:pPr>
        <w:spacing w:after="0" w:line="250"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16"/>
          <w:szCs w:val="16"/>
          <w:u w:val="single" w:color="auto"/>
          <w:color w:val="auto"/>
        </w:rPr>
        <w:t>Dodd-Frank Clawback</w:t>
      </w:r>
      <w:r>
        <w:rPr>
          <w:rFonts w:ascii="Times New Roman" w:cs="Times New Roman" w:eastAsia="Times New Roman" w:hAnsi="Times New Roman"/>
          <w:sz w:val="16"/>
          <w:szCs w:val="16"/>
          <w:color w:val="auto"/>
        </w:rPr>
        <w:t>. The Committee shall have full authority to implement any policies and procedures necessary to comply with Section 10D of the Exchange Act and any rules promulgated thereunder. Without limiting the foregoing, the Committee may provide in award agreements or with respect to any Award granted hereunder that, in event of a financial restatement that reduces amount of previously awarded incentive compensation that would not have been earned had results been properly reported, outstanding awards will be cancelled and Company may clawback (i.e., recapture) realized Option/Stock Appreciation Right gains and realized value for vested Restricted Stock or Restricted Stock Units or earned Performance Shares or Other Share-Based Awards within 12 months preceding financial restatement.</w:t>
      </w:r>
    </w:p>
    <w:p>
      <w:pPr>
        <w:spacing w:after="0" w:line="185" w:lineRule="exact"/>
        <w:rPr>
          <w:sz w:val="20"/>
          <w:szCs w:val="20"/>
          <w:color w:val="auto"/>
        </w:rPr>
      </w:pPr>
    </w:p>
    <w:p>
      <w:pPr>
        <w:jc w:val="both"/>
        <w:ind w:right="20" w:firstLine="648"/>
        <w:spacing w:after="0" w:line="316" w:lineRule="auto"/>
        <w:rPr>
          <w:sz w:val="20"/>
          <w:szCs w:val="20"/>
          <w:color w:val="auto"/>
        </w:rPr>
      </w:pPr>
      <w:r>
        <w:rPr>
          <w:rFonts w:ascii="Times New Roman" w:cs="Times New Roman" w:eastAsia="Times New Roman" w:hAnsi="Times New Roman"/>
          <w:sz w:val="16"/>
          <w:szCs w:val="16"/>
          <w:u w:val="single" w:color="auto"/>
          <w:color w:val="auto"/>
        </w:rPr>
        <w:t>Recoupment in the Event of Restatement</w:t>
      </w:r>
      <w:r>
        <w:rPr>
          <w:rFonts w:ascii="Times New Roman" w:cs="Times New Roman" w:eastAsia="Times New Roman" w:hAnsi="Times New Roman"/>
          <w:sz w:val="16"/>
          <w:szCs w:val="16"/>
          <w:color w:val="auto"/>
        </w:rPr>
        <w:t>. Notwithstanding any other provision of this Plan to the contrary, if the Company’s financial statements are the subject of a restatement due to misconduct, fraud or malfeasance, then the following shall apply:</w:t>
      </w:r>
    </w:p>
    <w:p>
      <w:pPr>
        <w:spacing w:after="0" w:line="164" w:lineRule="exact"/>
        <w:rPr>
          <w:sz w:val="20"/>
          <w:szCs w:val="20"/>
          <w:color w:val="auto"/>
        </w:rPr>
      </w:pPr>
    </w:p>
    <w:p>
      <w:pPr>
        <w:jc w:val="both"/>
        <w:ind w:firstLine="656"/>
        <w:spacing w:after="0" w:line="281" w:lineRule="auto"/>
        <w:tabs>
          <w:tab w:leader="none" w:pos="1035"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permitted by governing law, the independent members of the Board or the Independent Committee may, in its discretion, (i) rescind any Excess Equity Award or portion thereof made to an Executive Officer within the 36-month period immediately prior to the date such material restatement is first publicly disclosed and</w:t>
      </w:r>
    </w:p>
    <w:p>
      <w:pPr>
        <w:spacing w:after="0" w:line="1" w:lineRule="exact"/>
        <w:rPr>
          <w:rFonts w:ascii="Times New Roman" w:cs="Times New Roman" w:eastAsia="Times New Roman" w:hAnsi="Times New Roman"/>
          <w:sz w:val="16"/>
          <w:szCs w:val="16"/>
          <w:color w:val="auto"/>
        </w:rPr>
      </w:pPr>
    </w:p>
    <w:p>
      <w:pPr>
        <w:jc w:val="both"/>
        <w:ind w:firstLine="8"/>
        <w:spacing w:after="0" w:line="293" w:lineRule="auto"/>
        <w:tabs>
          <w:tab w:leader="none" w:pos="24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an Executive Officer has sold or otherwise disposed of some or all of the Shares subject to the Excess Equity Award, recover any gains made from the sale or other disposition of such Shares that was effected during the 36-month period immediately prior to the date such material restatement is first publicly disclosed. In no event shall the Company be required to award an Executive Officer additional equity incentive compensation should the restated financial statements result in a higher equity incentive payment.</w:t>
      </w:r>
    </w:p>
    <w:p>
      <w:pPr>
        <w:spacing w:after="0" w:line="181" w:lineRule="exact"/>
        <w:rPr>
          <w:rFonts w:ascii="Times New Roman" w:cs="Times New Roman" w:eastAsia="Times New Roman" w:hAnsi="Times New Roman"/>
          <w:sz w:val="16"/>
          <w:szCs w:val="16"/>
          <w:color w:val="auto"/>
        </w:rPr>
      </w:pPr>
    </w:p>
    <w:p>
      <w:pPr>
        <w:jc w:val="both"/>
        <w:ind w:firstLine="656"/>
        <w:spacing w:after="0" w:line="299" w:lineRule="auto"/>
        <w:tabs>
          <w:tab w:leader="none" w:pos="1031"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the foregoing, the independent members of the Board or the Independent Committee may, in its discretion, require that an Executive Officer pay the Company, in cash and upon demand, Option Proceeds resulting from the sale or other disposition of Shares issued or issuable upon the exercise of an Option if the sale or disposition was effected during the 36-month period immediately prior to the date such material restatement is first publicly disclosed.</w:t>
      </w:r>
    </w:p>
    <w:p>
      <w:pPr>
        <w:spacing w:after="0" w:line="177" w:lineRule="exact"/>
        <w:rPr>
          <w:sz w:val="20"/>
          <w:szCs w:val="20"/>
          <w:color w:val="auto"/>
        </w:rPr>
      </w:pPr>
    </w:p>
    <w:p>
      <w:pPr>
        <w:jc w:val="both"/>
        <w:ind w:firstLine="648"/>
        <w:spacing w:after="0" w:line="299" w:lineRule="auto"/>
        <w:rPr>
          <w:sz w:val="20"/>
          <w:szCs w:val="20"/>
          <w:color w:val="auto"/>
        </w:rPr>
      </w:pPr>
      <w:r>
        <w:rPr>
          <w:rFonts w:ascii="Times New Roman" w:cs="Times New Roman" w:eastAsia="Times New Roman" w:hAnsi="Times New Roman"/>
          <w:sz w:val="16"/>
          <w:szCs w:val="16"/>
          <w:color w:val="auto"/>
        </w:rPr>
        <w:t>Any provision of this Section 17 which is determined by a court of competent jurisdiction to be invalid or unenforceable should be construed or limited in a manner that is valid and enforceable and that comes closest to the business objectives intended by such invalid or unenforceable provision, without invalidating or rendering unenforceable the remaining provisions of this Section 17.</w:t>
      </w:r>
    </w:p>
    <w:p>
      <w:pPr>
        <w:spacing w:after="0" w:line="175" w:lineRule="exact"/>
        <w:rPr>
          <w:sz w:val="20"/>
          <w:szCs w:val="20"/>
          <w:color w:val="auto"/>
        </w:rPr>
      </w:pPr>
    </w:p>
    <w:p>
      <w:pPr>
        <w:ind w:left="400" w:hanging="392"/>
        <w:spacing w:after="0"/>
        <w:tabs>
          <w:tab w:leader="none" w:pos="400" w:val="left"/>
        </w:tabs>
        <w:numPr>
          <w:ilvl w:val="0"/>
          <w:numId w:val="8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TERM OF PLAN</w:t>
      </w:r>
      <w:r>
        <w:rPr>
          <w:rFonts w:ascii="Times New Roman" w:cs="Times New Roman" w:eastAsia="Times New Roman" w:hAnsi="Times New Roman"/>
          <w:sz w:val="16"/>
          <w:szCs w:val="16"/>
          <w:b w:val="1"/>
          <w:bCs w:val="1"/>
          <w:color w:val="auto"/>
        </w:rPr>
        <w:t>.</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Awards may be granted pursuant to the Plan until the termination of the Plan on January 10, 2022.</w:t>
      </w:r>
    </w:p>
    <w:p>
      <w:pPr>
        <w:spacing w:after="0" w:line="246" w:lineRule="exact"/>
        <w:rPr>
          <w:sz w:val="20"/>
          <w:szCs w:val="20"/>
          <w:color w:val="auto"/>
        </w:rPr>
      </w:pPr>
    </w:p>
    <w:p>
      <w:pPr>
        <w:ind w:left="400" w:hanging="392"/>
        <w:spacing w:after="0"/>
        <w:tabs>
          <w:tab w:leader="none" w:pos="400" w:val="left"/>
        </w:tabs>
        <w:numPr>
          <w:ilvl w:val="0"/>
          <w:numId w:val="8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RECAPITALIZATION</w:t>
      </w:r>
      <w:r>
        <w:rPr>
          <w:rFonts w:ascii="Times New Roman" w:cs="Times New Roman" w:eastAsia="Times New Roman" w:hAnsi="Times New Roman"/>
          <w:sz w:val="16"/>
          <w:szCs w:val="16"/>
          <w:b w:val="1"/>
          <w:bCs w:val="1"/>
          <w:color w:val="auto"/>
        </w:rPr>
        <w:t>.</w:t>
      </w:r>
    </w:p>
    <w:p>
      <w:pPr>
        <w:spacing w:after="0" w:line="250"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16"/>
          <w:szCs w:val="16"/>
          <w:color w:val="auto"/>
        </w:rPr>
        <w:t>Subject to any required action by the shareholders, the number of Shares covered by this Plan as provided in Section 6, the maximum grant limitation in Section 5(b), the number of Shares or Share Equivalents covered by or referenced in each outstanding Award, and the Exercise Price of each outstanding Option or Stock Appreciation Right and any price required to be paid for Restricted Stock or Other Share-Based Award shall be proportionately adjusted for any increase or decrease in the number of issued Shares resulting from a subdivision or consolidation of Shares, the payment of a stock dividend (but only of Common Stock) or any other increase or decrease in the number of such Shares effected without receipt of consideration by the Company or the declaration of a dividend payable in cash that has a material effect on the price of issued Shares.</w:t>
      </w:r>
    </w:p>
    <w:p>
      <w:pPr>
        <w:spacing w:after="0" w:line="185"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6"/>
          <w:szCs w:val="16"/>
          <w:color w:val="auto"/>
        </w:rPr>
        <w:t>Subject to any required action by the shareholders, if the Company shall be a party to any merger, consolidation or other reorganization, each outstanding Award shall pertain and apply to the securities to which a holder of the number of Shares or Share Equivalents subject to the Award would have been entitled. In the event of a change in the Common Stock as presently constituted, which is limited to a change of all of its authorized shares with par value into the same number of shares with a different par value or without par value, the shares resulting from any such change shall be deemed to be the Common Stock within the meaning of the Plan.</w:t>
      </w:r>
    </w:p>
    <w:p>
      <w:pPr>
        <w:spacing w:after="0" w:line="182" w:lineRule="exact"/>
        <w:rPr>
          <w:sz w:val="20"/>
          <w:szCs w:val="20"/>
          <w:color w:val="auto"/>
        </w:rPr>
      </w:pPr>
    </w:p>
    <w:p>
      <w:pPr>
        <w:jc w:val="both"/>
        <w:ind w:firstLine="648"/>
        <w:spacing w:after="0" w:line="299" w:lineRule="auto"/>
        <w:rPr>
          <w:sz w:val="20"/>
          <w:szCs w:val="20"/>
          <w:color w:val="auto"/>
        </w:rPr>
      </w:pPr>
      <w:r>
        <w:rPr>
          <w:rFonts w:ascii="Times New Roman" w:cs="Times New Roman" w:eastAsia="Times New Roman" w:hAnsi="Times New Roman"/>
          <w:sz w:val="16"/>
          <w:szCs w:val="16"/>
          <w:color w:val="auto"/>
        </w:rPr>
        <w:t>To the extent that the foregoing adjustments relate to stock or securities of the Company, such adjustments shall be made by the Administrator, whose determination in that respect shall be final, binding and conclusive, provided that each Incentive Stock Option granted pursuant to this Plan shall not be adjusted in a manner that causes the Option to fail to continue to qualify as an incentive stock option within the meaning of Code Section 422 or subject the Option to the requirements of Code Section 409A.</w:t>
      </w:r>
    </w:p>
    <w:p>
      <w:pPr>
        <w:spacing w:after="0" w:line="177" w:lineRule="exact"/>
        <w:rPr>
          <w:sz w:val="20"/>
          <w:szCs w:val="20"/>
          <w:color w:val="auto"/>
        </w:rPr>
      </w:pPr>
    </w:p>
    <w:p>
      <w:pPr>
        <w:jc w:val="both"/>
        <w:ind w:right="20" w:firstLine="648"/>
        <w:spacing w:after="0" w:line="293" w:lineRule="auto"/>
        <w:rPr>
          <w:sz w:val="20"/>
          <w:szCs w:val="20"/>
          <w:color w:val="auto"/>
        </w:rPr>
      </w:pPr>
      <w:r>
        <w:rPr>
          <w:rFonts w:ascii="Times New Roman" w:cs="Times New Roman" w:eastAsia="Times New Roman" w:hAnsi="Times New Roman"/>
          <w:sz w:val="16"/>
          <w:szCs w:val="16"/>
          <w:color w:val="auto"/>
        </w:rPr>
        <w:t>Except as expressly provided in this Section 19, a Participant shall have no rights by reason of any subdivision or consolidation of shares of stock of any class or the payment of any stock dividend or any other increase or decrease in the number of shares of stock of any class or by reason of any dissolution, liquidation, merger or consolidation or spin-off of assets or stock of another company, and any issue by the Company of shares of stock of any class or securities convertible into shares of stock of any class, shall not affect the number or price of Shares subject to the Award.</w:t>
      </w:r>
    </w:p>
    <w:p>
      <w:pPr>
        <w:sectPr>
          <w:pgSz w:w="11900" w:h="16838" w:orient="portrait"/>
          <w:cols w:equalWidth="0" w:num="1">
            <w:col w:w="11420"/>
          </w:cols>
          <w:pgMar w:left="240" w:top="596" w:right="239" w:bottom="1440" w:gutter="0" w:footer="0" w:header="0"/>
        </w:sectPr>
      </w:pPr>
    </w:p>
    <w:bookmarkStart w:id="116" w:name="page117"/>
    <w:bookmarkEnd w:id="116"/>
    <w:p>
      <w:pPr>
        <w:ind w:firstLine="648"/>
        <w:spacing w:after="0" w:line="316" w:lineRule="auto"/>
        <w:rPr>
          <w:sz w:val="20"/>
          <w:szCs w:val="20"/>
          <w:color w:val="auto"/>
        </w:rPr>
      </w:pPr>
      <w:r>
        <w:rPr>
          <w:rFonts w:ascii="Times New Roman" w:cs="Times New Roman" w:eastAsia="Times New Roman" w:hAnsi="Times New Roman"/>
          <w:sz w:val="16"/>
          <w:szCs w:val="16"/>
          <w:color w:val="auto"/>
        </w:rPr>
        <w:t>The grant of an Award pursuant to the Plan shall not affect in any way the right or power of the Company to make adjustments, reclassifications, reorganizations or changes in its capital or business structure or to merge or consolidate or to dissolve, liquidate, sell or transfer all or any part of its business assets.</w:t>
      </w:r>
    </w:p>
    <w:p>
      <w:pPr>
        <w:spacing w:after="0" w:line="162" w:lineRule="exact"/>
        <w:rPr>
          <w:sz w:val="20"/>
          <w:szCs w:val="20"/>
          <w:color w:val="auto"/>
        </w:rPr>
      </w:pPr>
    </w:p>
    <w:p>
      <w:pPr>
        <w:ind w:left="400" w:hanging="392"/>
        <w:spacing w:after="0"/>
        <w:tabs>
          <w:tab w:leader="none" w:pos="400" w:val="left"/>
        </w:tabs>
        <w:numPr>
          <w:ilvl w:val="0"/>
          <w:numId w:val="8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SECURITIES LAW REQUIREMENTS AND LIMITATION OF RIGHTS</w:t>
      </w:r>
      <w:r>
        <w:rPr>
          <w:rFonts w:ascii="Times New Roman" w:cs="Times New Roman" w:eastAsia="Times New Roman" w:hAnsi="Times New Roman"/>
          <w:sz w:val="16"/>
          <w:szCs w:val="16"/>
          <w:b w:val="1"/>
          <w:bCs w:val="1"/>
          <w:color w:val="auto"/>
        </w:rPr>
        <w:t>.</w:t>
      </w:r>
    </w:p>
    <w:p>
      <w:pPr>
        <w:spacing w:after="0" w:line="250" w:lineRule="exact"/>
        <w:rPr>
          <w:rFonts w:ascii="Times New Roman" w:cs="Times New Roman" w:eastAsia="Times New Roman" w:hAnsi="Times New Roman"/>
          <w:sz w:val="16"/>
          <w:szCs w:val="16"/>
          <w:b w:val="1"/>
          <w:bCs w:val="1"/>
          <w:color w:val="auto"/>
        </w:rPr>
      </w:pPr>
    </w:p>
    <w:p>
      <w:pPr>
        <w:jc w:val="both"/>
        <w:ind w:firstLine="656"/>
        <w:spacing w:after="0" w:line="299" w:lineRule="auto"/>
        <w:tabs>
          <w:tab w:leader="none" w:pos="1008"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Securities Law</w:t>
      </w:r>
      <w:r>
        <w:rPr>
          <w:rFonts w:ascii="Times New Roman" w:cs="Times New Roman" w:eastAsia="Times New Roman" w:hAnsi="Times New Roman"/>
          <w:sz w:val="16"/>
          <w:szCs w:val="16"/>
          <w:color w:val="auto"/>
        </w:rPr>
        <w:t>. No Shares shall be issued pursuant to the Plan unless and until the Company has determined that: (i) it and the Participant have taken all actions required to register the Shares under the Securities Act of 1933 or perfect an exemption from registration; (ii) any applicable listing requirement of any stock exchange on which the Common Stock is listed has been satisfied; and (iii) any other applicable provision of state or federal law has been satisfied.</w:t>
      </w:r>
    </w:p>
    <w:p>
      <w:pPr>
        <w:spacing w:after="0" w:line="176" w:lineRule="exact"/>
        <w:rPr>
          <w:rFonts w:ascii="Times New Roman" w:cs="Times New Roman" w:eastAsia="Times New Roman" w:hAnsi="Times New Roman"/>
          <w:sz w:val="16"/>
          <w:szCs w:val="16"/>
          <w:color w:val="auto"/>
        </w:rPr>
      </w:pPr>
    </w:p>
    <w:p>
      <w:pPr>
        <w:jc w:val="both"/>
        <w:ind w:firstLine="656"/>
        <w:spacing w:after="0" w:line="293" w:lineRule="auto"/>
        <w:tabs>
          <w:tab w:leader="none" w:pos="1017"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Employment Rights</w:t>
      </w:r>
      <w:r>
        <w:rPr>
          <w:rFonts w:ascii="Times New Roman" w:cs="Times New Roman" w:eastAsia="Times New Roman" w:hAnsi="Times New Roman"/>
          <w:sz w:val="16"/>
          <w:szCs w:val="16"/>
          <w:color w:val="auto"/>
        </w:rPr>
        <w:t>. Neither the Plan nor any Award granted under the Plan shall be deemed to give any individual a right to remain employed by the Company or an Affiliate or to remain a Director. The Company and its Affiliates reserve the right to terminate the employment of any employee at any time, with or without cause or for no cause, subject only to a written employment contract (if any), and the Board reserves the right to terminate a Director’s membership on the Board for cause in accordance with the Company’s Restated Certificate of Incorporation.</w:t>
      </w:r>
    </w:p>
    <w:p>
      <w:pPr>
        <w:spacing w:after="0" w:line="181" w:lineRule="exact"/>
        <w:rPr>
          <w:rFonts w:ascii="Times New Roman" w:cs="Times New Roman" w:eastAsia="Times New Roman" w:hAnsi="Times New Roman"/>
          <w:sz w:val="16"/>
          <w:szCs w:val="16"/>
          <w:color w:val="auto"/>
        </w:rPr>
      </w:pPr>
    </w:p>
    <w:p>
      <w:pPr>
        <w:jc w:val="both"/>
        <w:ind w:firstLine="656"/>
        <w:spacing w:after="0" w:line="299" w:lineRule="auto"/>
        <w:tabs>
          <w:tab w:leader="none" w:pos="1022"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Shareholders' Rights</w:t>
      </w:r>
      <w:r>
        <w:rPr>
          <w:rFonts w:ascii="Times New Roman" w:cs="Times New Roman" w:eastAsia="Times New Roman" w:hAnsi="Times New Roman"/>
          <w:sz w:val="16"/>
          <w:szCs w:val="16"/>
          <w:color w:val="auto"/>
        </w:rPr>
        <w:t>. Except as provided by the Administrator in accordance with Section 12, a Participant shall have no dividend rights, voting rights or other rights as a shareholder with respect to any Shares covered by his or her Award prior to the issuance of a stock certificate for such Shares. No adjustment shall be made for cash dividends or other rights for which the record date is prior to the date when such certificate is issued.</w:t>
      </w:r>
    </w:p>
    <w:p>
      <w:pPr>
        <w:spacing w:after="0" w:line="176" w:lineRule="exact"/>
        <w:rPr>
          <w:rFonts w:ascii="Times New Roman" w:cs="Times New Roman" w:eastAsia="Times New Roman" w:hAnsi="Times New Roman"/>
          <w:sz w:val="16"/>
          <w:szCs w:val="16"/>
          <w:color w:val="auto"/>
        </w:rPr>
      </w:pPr>
    </w:p>
    <w:p>
      <w:pPr>
        <w:jc w:val="both"/>
        <w:ind w:firstLine="656"/>
        <w:spacing w:after="0" w:line="299" w:lineRule="auto"/>
        <w:tabs>
          <w:tab w:leader="none" w:pos="1031"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Creditors’ Rights</w:t>
      </w:r>
      <w:r>
        <w:rPr>
          <w:rFonts w:ascii="Times New Roman" w:cs="Times New Roman" w:eastAsia="Times New Roman" w:hAnsi="Times New Roman"/>
          <w:sz w:val="16"/>
          <w:szCs w:val="16"/>
          <w:color w:val="auto"/>
        </w:rPr>
        <w:t>. A holder of an Other Share-Based Award shall have no rights other than those of a general creditor of the Company. An Other Share-Based Award shall represent an unfunded and unsecured obligation of the Company, subject to the terms and conditions of the applicable Other Share-Based Award Agreement. An Other Share-Based Award shall not be deemed to create a trust for the benefit of any individual.</w:t>
      </w:r>
    </w:p>
    <w:p>
      <w:pPr>
        <w:spacing w:after="0" w:line="174" w:lineRule="exact"/>
        <w:rPr>
          <w:rFonts w:ascii="Times New Roman" w:cs="Times New Roman" w:eastAsia="Times New Roman" w:hAnsi="Times New Roman"/>
          <w:sz w:val="16"/>
          <w:szCs w:val="16"/>
          <w:color w:val="auto"/>
        </w:rPr>
      </w:pPr>
    </w:p>
    <w:p>
      <w:pPr>
        <w:ind w:left="400" w:hanging="392"/>
        <w:spacing w:after="0"/>
        <w:tabs>
          <w:tab w:leader="none" w:pos="400" w:val="left"/>
        </w:tabs>
        <w:numPr>
          <w:ilvl w:val="0"/>
          <w:numId w:val="8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BENEFICIARY DESIGNATION</w:t>
      </w:r>
      <w:r>
        <w:rPr>
          <w:rFonts w:ascii="Times New Roman" w:cs="Times New Roman" w:eastAsia="Times New Roman" w:hAnsi="Times New Roman"/>
          <w:sz w:val="16"/>
          <w:szCs w:val="16"/>
          <w:b w:val="1"/>
          <w:bCs w:val="1"/>
          <w:color w:val="auto"/>
        </w:rPr>
        <w:t>.</w:t>
      </w:r>
    </w:p>
    <w:p>
      <w:pPr>
        <w:spacing w:after="0" w:line="250"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6"/>
          <w:szCs w:val="16"/>
          <w:color w:val="auto"/>
        </w:rPr>
        <w:t>Participants and their Beneficiaries may designate on the prescribed form one or more Beneficiaries to whom distribution shall be made of any Award outstanding at the time of the Participant’s or Beneficiary’s death. A Participant or Beneficiary may change such designation at any time by filing the prescribed form with the Administrator. If a Beneficiary has not been designated or if no designated Beneficiary survives the Participant or Beneficiary, distribution will be made to the residuary beneficiary under the terms of the Participant’s or Beneficiary’s last will and testament or, in the absence of a last will and testament, to the Participant’s or Beneficiary’s estate as Beneficiary.</w:t>
      </w:r>
    </w:p>
    <w:p>
      <w:pPr>
        <w:spacing w:after="0" w:line="180" w:lineRule="exact"/>
        <w:rPr>
          <w:sz w:val="20"/>
          <w:szCs w:val="20"/>
          <w:color w:val="auto"/>
        </w:rPr>
      </w:pPr>
    </w:p>
    <w:p>
      <w:pPr>
        <w:ind w:left="400" w:hanging="392"/>
        <w:spacing w:after="0"/>
        <w:tabs>
          <w:tab w:leader="none" w:pos="400" w:val="left"/>
        </w:tabs>
        <w:numPr>
          <w:ilvl w:val="0"/>
          <w:numId w:val="9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AMENDMENT OF THE PLAN</w:t>
      </w:r>
      <w:r>
        <w:rPr>
          <w:rFonts w:ascii="Times New Roman" w:cs="Times New Roman" w:eastAsia="Times New Roman" w:hAnsi="Times New Roman"/>
          <w:sz w:val="16"/>
          <w:szCs w:val="16"/>
          <w:b w:val="1"/>
          <w:bCs w:val="1"/>
          <w:color w:val="auto"/>
        </w:rPr>
        <w:t>.</w:t>
      </w:r>
    </w:p>
    <w:p>
      <w:pPr>
        <w:spacing w:after="0" w:line="250" w:lineRule="exact"/>
        <w:rPr>
          <w:sz w:val="20"/>
          <w:szCs w:val="20"/>
          <w:color w:val="auto"/>
        </w:rPr>
      </w:pPr>
    </w:p>
    <w:p>
      <w:pPr>
        <w:ind w:right="20" w:firstLine="648"/>
        <w:spacing w:after="0" w:line="316" w:lineRule="auto"/>
        <w:rPr>
          <w:sz w:val="20"/>
          <w:szCs w:val="20"/>
          <w:color w:val="auto"/>
        </w:rPr>
      </w:pPr>
      <w:r>
        <w:rPr>
          <w:rFonts w:ascii="Times New Roman" w:cs="Times New Roman" w:eastAsia="Times New Roman" w:hAnsi="Times New Roman"/>
          <w:sz w:val="16"/>
          <w:szCs w:val="16"/>
          <w:color w:val="auto"/>
        </w:rPr>
        <w:t>The Board may suspend or discontinue the Plan or revise or amend it with respect to any Shares at the time not subject to Awards except that, without approval of the shareholders of the Company, no such revision or amendment shall:</w:t>
      </w:r>
    </w:p>
    <w:p>
      <w:pPr>
        <w:spacing w:after="0" w:line="164" w:lineRule="exact"/>
        <w:rPr>
          <w:sz w:val="20"/>
          <w:szCs w:val="20"/>
          <w:color w:val="auto"/>
        </w:rPr>
      </w:pPr>
    </w:p>
    <w:p>
      <w:pPr>
        <w:ind w:left="1020" w:hanging="364"/>
        <w:spacing w:after="0"/>
        <w:tabs>
          <w:tab w:leader="none" w:pos="10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the number of Shares subject to the Plan;</w:t>
      </w:r>
    </w:p>
    <w:p>
      <w:pPr>
        <w:spacing w:after="0" w:line="248" w:lineRule="exact"/>
        <w:rPr>
          <w:rFonts w:ascii="Times New Roman" w:cs="Times New Roman" w:eastAsia="Times New Roman" w:hAnsi="Times New Roman"/>
          <w:sz w:val="16"/>
          <w:szCs w:val="16"/>
          <w:color w:val="auto"/>
        </w:rPr>
      </w:pPr>
    </w:p>
    <w:p>
      <w:pPr>
        <w:ind w:left="1020" w:hanging="364"/>
        <w:spacing w:after="0"/>
        <w:tabs>
          <w:tab w:leader="none" w:pos="10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the designation in Section 5 of the class of Employees eligible to receive Awards;</w:t>
      </w:r>
    </w:p>
    <w:p>
      <w:pPr>
        <w:spacing w:after="0" w:line="248" w:lineRule="exact"/>
        <w:rPr>
          <w:rFonts w:ascii="Times New Roman" w:cs="Times New Roman" w:eastAsia="Times New Roman" w:hAnsi="Times New Roman"/>
          <w:sz w:val="16"/>
          <w:szCs w:val="16"/>
          <w:color w:val="auto"/>
        </w:rPr>
      </w:pPr>
    </w:p>
    <w:p>
      <w:pPr>
        <w:ind w:left="1020" w:hanging="364"/>
        <w:spacing w:after="0"/>
        <w:tabs>
          <w:tab w:leader="none" w:pos="10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 the price at which Incentive Stock Options may be granted;</w:t>
      </w:r>
    </w:p>
    <w:p>
      <w:pPr>
        <w:spacing w:after="0" w:line="248" w:lineRule="exact"/>
        <w:rPr>
          <w:rFonts w:ascii="Times New Roman" w:cs="Times New Roman" w:eastAsia="Times New Roman" w:hAnsi="Times New Roman"/>
          <w:sz w:val="16"/>
          <w:szCs w:val="16"/>
          <w:color w:val="auto"/>
        </w:rPr>
      </w:pPr>
    </w:p>
    <w:p>
      <w:pPr>
        <w:ind w:left="1020" w:hanging="364"/>
        <w:spacing w:after="0"/>
        <w:tabs>
          <w:tab w:leader="none" w:pos="10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Remove the administration of the Plan from the Administrator;</w:t>
      </w:r>
    </w:p>
    <w:p>
      <w:pPr>
        <w:spacing w:after="0" w:line="248" w:lineRule="exact"/>
        <w:rPr>
          <w:rFonts w:ascii="Times New Roman" w:cs="Times New Roman" w:eastAsia="Times New Roman" w:hAnsi="Times New Roman"/>
          <w:sz w:val="16"/>
          <w:szCs w:val="16"/>
          <w:color w:val="auto"/>
        </w:rPr>
      </w:pPr>
    </w:p>
    <w:p>
      <w:pPr>
        <w:ind w:left="1020" w:hanging="364"/>
        <w:spacing w:after="0"/>
        <w:tabs>
          <w:tab w:leader="none" w:pos="10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Section 23; or</w:t>
      </w:r>
    </w:p>
    <w:p>
      <w:pPr>
        <w:spacing w:after="0" w:line="248" w:lineRule="exact"/>
        <w:rPr>
          <w:rFonts w:ascii="Times New Roman" w:cs="Times New Roman" w:eastAsia="Times New Roman" w:hAnsi="Times New Roman"/>
          <w:sz w:val="16"/>
          <w:szCs w:val="16"/>
          <w:color w:val="auto"/>
        </w:rPr>
      </w:pPr>
    </w:p>
    <w:p>
      <w:pPr>
        <w:ind w:left="1000" w:hanging="344"/>
        <w:spacing w:after="0"/>
        <w:tabs>
          <w:tab w:leader="none" w:pos="100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this Section 22 to defeat its purpose.</w:t>
      </w:r>
    </w:p>
    <w:p>
      <w:pPr>
        <w:spacing w:after="0" w:line="248" w:lineRule="exact"/>
        <w:rPr>
          <w:sz w:val="20"/>
          <w:szCs w:val="20"/>
          <w:color w:val="auto"/>
        </w:rPr>
      </w:pPr>
    </w:p>
    <w:p>
      <w:pPr>
        <w:ind w:firstLine="648"/>
        <w:spacing w:after="0" w:line="316" w:lineRule="auto"/>
        <w:rPr>
          <w:sz w:val="20"/>
          <w:szCs w:val="20"/>
          <w:color w:val="auto"/>
        </w:rPr>
      </w:pPr>
      <w:r>
        <w:rPr>
          <w:rFonts w:ascii="Times New Roman" w:cs="Times New Roman" w:eastAsia="Times New Roman" w:hAnsi="Times New Roman"/>
          <w:sz w:val="16"/>
          <w:szCs w:val="16"/>
          <w:color w:val="auto"/>
        </w:rPr>
        <w:t>Notwithstanding anything to the contrary in the Plan, the Committee may grant Awards with such terms, or create sub-plans, as may be necessary for the purpose of qualifying for preferred tax treatment under non-U.S. tax laws or complying with local rules and regulations.</w:t>
      </w:r>
    </w:p>
    <w:p>
      <w:pPr>
        <w:spacing w:after="0" w:line="162" w:lineRule="exact"/>
        <w:rPr>
          <w:sz w:val="20"/>
          <w:szCs w:val="20"/>
          <w:color w:val="auto"/>
        </w:rPr>
      </w:pPr>
    </w:p>
    <w:p>
      <w:pPr>
        <w:ind w:left="400" w:hanging="392"/>
        <w:spacing w:after="0"/>
        <w:tabs>
          <w:tab w:leader="none" w:pos="400" w:val="left"/>
        </w:tabs>
        <w:numPr>
          <w:ilvl w:val="0"/>
          <w:numId w:val="9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AUTHORITY TO REPRICE</w:t>
      </w:r>
      <w:r>
        <w:rPr>
          <w:rFonts w:ascii="Times New Roman" w:cs="Times New Roman" w:eastAsia="Times New Roman" w:hAnsi="Times New Roman"/>
          <w:sz w:val="16"/>
          <w:szCs w:val="16"/>
          <w:b w:val="1"/>
          <w:bCs w:val="1"/>
          <w:color w:val="auto"/>
        </w:rPr>
        <w:t>.</w:t>
      </w:r>
    </w:p>
    <w:p>
      <w:pPr>
        <w:spacing w:after="0" w:line="250"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6"/>
          <w:szCs w:val="16"/>
          <w:color w:val="auto"/>
        </w:rPr>
        <w:t>Without the consent of the shareholders of the Company, except as provided in Section 19, the Administrator shall have no authority to effect (i) the repricing of any outstanding Options or Stock Appreciation Rights under the Plan, (ii) the cancellation of any outstanding Options or Stock Appreciation Rights under the Plan and the grant in substitution therefor of new Options or Stock Appreciation Rights, or of new Restricted Stock or Restricted Stock Units or Other Stock-Based Awards, in any case covering the same or different numbers of shares of Common</w:t>
      </w:r>
    </w:p>
    <w:p>
      <w:pPr>
        <w:sectPr>
          <w:pgSz w:w="11900" w:h="16838" w:orient="portrait"/>
          <w:cols w:equalWidth="0" w:num="1">
            <w:col w:w="11420"/>
          </w:cols>
          <w:pgMar w:left="240" w:top="598" w:right="239" w:bottom="1440" w:gutter="0" w:footer="0" w:header="0"/>
        </w:sectPr>
      </w:pPr>
    </w:p>
    <w:bookmarkStart w:id="117" w:name="page118"/>
    <w:bookmarkEnd w:id="117"/>
    <w:p>
      <w:pPr>
        <w:ind w:right="20"/>
        <w:spacing w:after="0" w:line="281" w:lineRule="auto"/>
        <w:rPr>
          <w:sz w:val="20"/>
          <w:szCs w:val="20"/>
          <w:color w:val="auto"/>
        </w:rPr>
      </w:pPr>
      <w:r>
        <w:rPr>
          <w:rFonts w:ascii="Times New Roman" w:cs="Times New Roman" w:eastAsia="Times New Roman" w:hAnsi="Times New Roman"/>
          <w:sz w:val="16"/>
          <w:szCs w:val="16"/>
          <w:color w:val="auto"/>
        </w:rPr>
        <w:t>Stock that has the effect of an indirect repricing, or (iii) cashing out Options or Stock Appreciation Rights that have an Exercise Price greater than the then-Fair Market Value of the Shares.</w:t>
      </w:r>
    </w:p>
    <w:p>
      <w:pPr>
        <w:spacing w:after="0" w:line="175" w:lineRule="exact"/>
        <w:rPr>
          <w:sz w:val="20"/>
          <w:szCs w:val="20"/>
          <w:color w:val="auto"/>
        </w:rPr>
      </w:pPr>
    </w:p>
    <w:p>
      <w:pPr>
        <w:ind w:left="400" w:hanging="392"/>
        <w:spacing w:after="0"/>
        <w:tabs>
          <w:tab w:leader="none" w:pos="400" w:val="left"/>
        </w:tabs>
        <w:numPr>
          <w:ilvl w:val="0"/>
          <w:numId w:val="9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OBLIGATION TO EXERCISE OPTION</w:t>
      </w:r>
      <w:r>
        <w:rPr>
          <w:rFonts w:ascii="Times New Roman" w:cs="Times New Roman" w:eastAsia="Times New Roman" w:hAnsi="Times New Roman"/>
          <w:sz w:val="16"/>
          <w:szCs w:val="16"/>
          <w:b w:val="1"/>
          <w:bCs w:val="1"/>
          <w:color w:val="auto"/>
        </w:rPr>
        <w:t>.</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granting of an Option shall impose no obligation upon the Participant to exercise such Option.</w:t>
      </w:r>
    </w:p>
    <w:p>
      <w:pPr>
        <w:spacing w:after="0" w:line="246" w:lineRule="exact"/>
        <w:rPr>
          <w:sz w:val="20"/>
          <w:szCs w:val="20"/>
          <w:color w:val="auto"/>
        </w:rPr>
      </w:pPr>
    </w:p>
    <w:p>
      <w:pPr>
        <w:ind w:left="400" w:hanging="392"/>
        <w:spacing w:after="0"/>
        <w:tabs>
          <w:tab w:leader="none" w:pos="400" w:val="left"/>
        </w:tabs>
        <w:numPr>
          <w:ilvl w:val="0"/>
          <w:numId w:val="9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APPROVAL OF SHAREHOLDERS</w:t>
      </w:r>
      <w:r>
        <w:rPr>
          <w:rFonts w:ascii="Times New Roman" w:cs="Times New Roman" w:eastAsia="Times New Roman" w:hAnsi="Times New Roman"/>
          <w:sz w:val="16"/>
          <w:szCs w:val="16"/>
          <w:b w:val="1"/>
          <w:bCs w:val="1"/>
          <w:color w:val="auto"/>
        </w:rPr>
        <w:t>.</w:t>
      </w:r>
    </w:p>
    <w:p>
      <w:pPr>
        <w:spacing w:after="0" w:line="250" w:lineRule="exact"/>
        <w:rPr>
          <w:sz w:val="20"/>
          <w:szCs w:val="20"/>
          <w:color w:val="auto"/>
        </w:rPr>
      </w:pPr>
    </w:p>
    <w:p>
      <w:pPr>
        <w:jc w:val="both"/>
        <w:ind w:firstLine="648"/>
        <w:spacing w:after="0" w:line="299" w:lineRule="auto"/>
        <w:rPr>
          <w:sz w:val="20"/>
          <w:szCs w:val="20"/>
          <w:color w:val="auto"/>
        </w:rPr>
      </w:pPr>
      <w:r>
        <w:rPr>
          <w:rFonts w:ascii="Times New Roman" w:cs="Times New Roman" w:eastAsia="Times New Roman" w:hAnsi="Times New Roman"/>
          <w:sz w:val="16"/>
          <w:szCs w:val="16"/>
          <w:color w:val="auto"/>
        </w:rPr>
        <w:t>This Plan and any amendments requiring shareholder approval pursuant to Section 22 shall be subject to approval by affirmative vote of the shareholders of the Company. Such vote shall be taken at the first annual meeting of shareholders following the adoption of the Plan or of any such amendments, or any adjournment of such meeting.</w:t>
      </w:r>
    </w:p>
    <w:p>
      <w:pPr>
        <w:spacing w:after="0" w:line="175" w:lineRule="exact"/>
        <w:rPr>
          <w:sz w:val="20"/>
          <w:szCs w:val="20"/>
          <w:color w:val="auto"/>
        </w:rPr>
      </w:pPr>
    </w:p>
    <w:p>
      <w:pPr>
        <w:ind w:left="400" w:hanging="392"/>
        <w:spacing w:after="0"/>
        <w:tabs>
          <w:tab w:leader="none" w:pos="400" w:val="left"/>
        </w:tabs>
        <w:numPr>
          <w:ilvl w:val="0"/>
          <w:numId w:val="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WITHHOLDING TAXES</w:t>
      </w:r>
      <w:r>
        <w:rPr>
          <w:rFonts w:ascii="Times New Roman" w:cs="Times New Roman" w:eastAsia="Times New Roman" w:hAnsi="Times New Roman"/>
          <w:sz w:val="16"/>
          <w:szCs w:val="16"/>
          <w:b w:val="1"/>
          <w:bCs w:val="1"/>
          <w:color w:val="auto"/>
        </w:rPr>
        <w:t>.</w:t>
      </w:r>
    </w:p>
    <w:p>
      <w:pPr>
        <w:spacing w:after="0" w:line="250" w:lineRule="exact"/>
        <w:rPr>
          <w:rFonts w:ascii="Times New Roman" w:cs="Times New Roman" w:eastAsia="Times New Roman" w:hAnsi="Times New Roman"/>
          <w:sz w:val="16"/>
          <w:szCs w:val="16"/>
          <w:b w:val="1"/>
          <w:bCs w:val="1"/>
          <w:color w:val="auto"/>
        </w:rPr>
      </w:pPr>
    </w:p>
    <w:p>
      <w:pPr>
        <w:jc w:val="both"/>
        <w:ind w:firstLine="656"/>
        <w:spacing w:after="0" w:line="299" w:lineRule="auto"/>
        <w:tabs>
          <w:tab w:leader="none" w:pos="1008"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General</w:t>
      </w:r>
      <w:r>
        <w:rPr>
          <w:rFonts w:ascii="Times New Roman" w:cs="Times New Roman" w:eastAsia="Times New Roman" w:hAnsi="Times New Roman"/>
          <w:sz w:val="16"/>
          <w:szCs w:val="16"/>
          <w:color w:val="auto"/>
        </w:rPr>
        <w:t>. To the extent required by applicable law, the person exercising any Option granted under the Plan or the recipient of any payment or distribution under the Plan shall make arrangements satisfactory to the Company for the satisfaction of any applicable withholding tax obligations. The Company shall not be required to make such payment or distribution until such obligations are satisfied.</w:t>
      </w:r>
    </w:p>
    <w:p>
      <w:pPr>
        <w:spacing w:after="0" w:line="176" w:lineRule="exact"/>
        <w:rPr>
          <w:rFonts w:ascii="Times New Roman" w:cs="Times New Roman" w:eastAsia="Times New Roman" w:hAnsi="Times New Roman"/>
          <w:sz w:val="16"/>
          <w:szCs w:val="16"/>
          <w:color w:val="auto"/>
        </w:rPr>
      </w:pPr>
    </w:p>
    <w:p>
      <w:pPr>
        <w:jc w:val="both"/>
        <w:ind w:firstLine="656"/>
        <w:spacing w:after="0" w:line="288" w:lineRule="auto"/>
        <w:tabs>
          <w:tab w:leader="none" w:pos="1071"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Awards</w:t>
      </w:r>
      <w:r>
        <w:rPr>
          <w:rFonts w:ascii="Times New Roman" w:cs="Times New Roman" w:eastAsia="Times New Roman" w:hAnsi="Times New Roman"/>
          <w:sz w:val="16"/>
          <w:szCs w:val="16"/>
          <w:color w:val="auto"/>
        </w:rPr>
        <w:t>. The Administrator may permit a Participant who exercises Nonqualified Stock Options or who vests in Restricted Stock Awards, Restricted Stock Unit Awards, Performance Share Awards or, as applicable, Stock Appreciation Rights and Other Share-Based Awards, to satisfy all or part of his or her tax obligations, up to the maximum amount necessary to satisfy federal, state, and local taxes, domestic or foreign tax obligations with respect to any taxable event arising as a result of the Plan, by having the Company withhold a portion of the Shares that otherwise would be issued to him or her under such Awards. Such Shares shall be valued at the Fair Market Value on the day preceding the day when taxes otherwise would be withheld in cash. The payment of withholding taxes by surrendering Shares to the Company, if permitted by the Administrator, shall be subject to such restrictions as the Administrator may impose, including any restrictions required by rules of the Securities and Exchange Commission.</w:t>
      </w:r>
    </w:p>
    <w:p>
      <w:pPr>
        <w:spacing w:after="0" w:line="200" w:lineRule="exact"/>
        <w:rPr>
          <w:rFonts w:ascii="Times New Roman" w:cs="Times New Roman" w:eastAsia="Times New Roman" w:hAnsi="Times New Roman"/>
          <w:sz w:val="16"/>
          <w:szCs w:val="16"/>
          <w:color w:val="auto"/>
        </w:rPr>
      </w:pPr>
    </w:p>
    <w:p>
      <w:pPr>
        <w:spacing w:after="0" w:line="201" w:lineRule="exact"/>
        <w:rPr>
          <w:rFonts w:ascii="Times New Roman" w:cs="Times New Roman" w:eastAsia="Times New Roman" w:hAnsi="Times New Roman"/>
          <w:sz w:val="16"/>
          <w:szCs w:val="16"/>
          <w:color w:val="auto"/>
        </w:rPr>
      </w:pPr>
    </w:p>
    <w:p>
      <w:pPr>
        <w:ind w:left="400" w:hanging="392"/>
        <w:spacing w:after="0"/>
        <w:tabs>
          <w:tab w:leader="none" w:pos="400" w:val="left"/>
        </w:tabs>
        <w:numPr>
          <w:ilvl w:val="0"/>
          <w:numId w:val="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SUCCESSORS AND ASSIGNS</w:t>
      </w:r>
      <w:r>
        <w:rPr>
          <w:rFonts w:ascii="Times New Roman" w:cs="Times New Roman" w:eastAsia="Times New Roman" w:hAnsi="Times New Roman"/>
          <w:sz w:val="16"/>
          <w:szCs w:val="16"/>
          <w:b w:val="1"/>
          <w:bCs w:val="1"/>
          <w:color w:val="auto"/>
        </w:rPr>
        <w:t>.</w:t>
      </w:r>
    </w:p>
    <w:p>
      <w:pPr>
        <w:spacing w:after="0" w:line="250" w:lineRule="exact"/>
        <w:rPr>
          <w:sz w:val="20"/>
          <w:szCs w:val="20"/>
          <w:color w:val="auto"/>
        </w:rPr>
      </w:pPr>
    </w:p>
    <w:p>
      <w:pPr>
        <w:jc w:val="both"/>
        <w:ind w:firstLine="648"/>
        <w:spacing w:after="0" w:line="299" w:lineRule="auto"/>
        <w:rPr>
          <w:sz w:val="20"/>
          <w:szCs w:val="20"/>
          <w:color w:val="auto"/>
        </w:rPr>
      </w:pPr>
      <w:r>
        <w:rPr>
          <w:rFonts w:ascii="Times New Roman" w:cs="Times New Roman" w:eastAsia="Times New Roman" w:hAnsi="Times New Roman"/>
          <w:sz w:val="16"/>
          <w:szCs w:val="16"/>
          <w:color w:val="auto"/>
        </w:rPr>
        <w:t>The Plan shall be binding upon the Company, its successors and assigns, and any parent Company of the Company’s successors or assigns. Notwithstanding that the Plan may be binding upon a successor or assign by operation of law, the Company shall require any successor or assign to expressly assume and agree to be bound by the Plan in the same manner and to the same extent that the Company would be if no succession or assignment had taken place.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0" w:hanging="392"/>
        <w:spacing w:after="0"/>
        <w:tabs>
          <w:tab w:leader="none" w:pos="400" w:val="left"/>
        </w:tabs>
        <w:numPr>
          <w:ilvl w:val="0"/>
          <w:numId w:val="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EXECUTION</w:t>
      </w:r>
      <w:r>
        <w:rPr>
          <w:rFonts w:ascii="Times New Roman" w:cs="Times New Roman" w:eastAsia="Times New Roman" w:hAnsi="Times New Roman"/>
          <w:sz w:val="16"/>
          <w:szCs w:val="16"/>
          <w:b w:val="1"/>
          <w:bCs w:val="1"/>
          <w:color w:val="auto"/>
        </w:rPr>
        <w:t>.</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To record the adoption of the Plan as amended and restated on October 20, 2016, the Company has caused its authorized officer to execute the same.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b w:val="1"/>
          <w:bCs w:val="1"/>
          <w:color w:val="auto"/>
        </w:rPr>
        <w:t>ABM INDUSTRIES INCORPORATED</w:t>
      </w:r>
    </w:p>
    <w:p>
      <w:pPr>
        <w:spacing w:after="0" w:line="21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8"/>
          <w:szCs w:val="18"/>
          <w:u w:val="single" w:color="auto"/>
          <w:color w:val="auto"/>
        </w:rPr>
        <w:t>/s/ David Goodes</w:t>
      </w:r>
      <w:r>
        <w:rPr>
          <w:rFonts w:ascii="Times New Roman" w:cs="Times New Roman" w:eastAsia="Times New Roman" w:hAnsi="Times New Roman"/>
          <w:sz w:val="16"/>
          <w:szCs w:val="16"/>
          <w:color w:val="auto"/>
        </w:rPr>
        <w:t>__________________</w:t>
      </w:r>
    </w:p>
    <w:p>
      <w:pPr>
        <w:spacing w:after="0" w:line="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David Goodes</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Senior Vice President-Human Resources</w:t>
      </w:r>
    </w:p>
    <w:p>
      <w:pPr>
        <w:sectPr>
          <w:pgSz w:w="11900" w:h="16838" w:orient="portrait"/>
          <w:cols w:equalWidth="0" w:num="1">
            <w:col w:w="11420"/>
          </w:cols>
          <w:pgMar w:left="240" w:top="585" w:right="2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8"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3980" w:type="dxa"/>
            <w:vAlign w:val="bottom"/>
          </w:tcPr>
          <w:p>
            <w:pPr>
              <w:spacing w:after="0"/>
              <w:rPr>
                <w:sz w:val="17"/>
                <w:szCs w:val="17"/>
                <w:color w:val="auto"/>
              </w:rPr>
            </w:pP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SUBSIDIARIES OF REGISTRANT</w:t>
            </w:r>
          </w:p>
        </w:tc>
      </w:tr>
      <w:tr>
        <w:trPr>
          <w:trHeight w:val="238"/>
        </w:trPr>
        <w:tc>
          <w:tcPr>
            <w:tcW w:w="3980" w:type="dxa"/>
            <w:vAlign w:val="bottom"/>
          </w:tcPr>
          <w:p>
            <w:pPr>
              <w:spacing w:after="0"/>
              <w:rPr>
                <w:sz w:val="20"/>
                <w:szCs w:val="20"/>
                <w:color w:val="auto"/>
              </w:rPr>
            </w:pPr>
          </w:p>
        </w:tc>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AS OF OCTOBER 31, 2016</w:t>
            </w:r>
          </w:p>
        </w:tc>
      </w:tr>
      <w:tr>
        <w:trPr>
          <w:trHeight w:val="339"/>
        </w:trPr>
        <w:tc>
          <w:tcPr>
            <w:tcW w:w="3980" w:type="dxa"/>
            <w:vAlign w:val="bottom"/>
          </w:tcPr>
          <w:p>
            <w:pPr>
              <w:spacing w:after="0"/>
              <w:rPr>
                <w:sz w:val="24"/>
                <w:szCs w:val="24"/>
                <w:color w:val="auto"/>
              </w:rPr>
            </w:pP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b w:val="1"/>
                <w:bCs w:val="1"/>
                <w:color w:val="auto"/>
              </w:rPr>
              <w:t>Where Incorporated or</w:t>
            </w:r>
          </w:p>
        </w:tc>
      </w:tr>
      <w:tr>
        <w:trPr>
          <w:trHeight w:val="226"/>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Company</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b w:val="1"/>
                <w:bCs w:val="1"/>
                <w:color w:val="auto"/>
              </w:rPr>
              <w:t>Organized</w:t>
            </w:r>
          </w:p>
        </w:tc>
      </w:tr>
      <w:tr>
        <w:trPr>
          <w:trHeight w:val="29"/>
        </w:trPr>
        <w:tc>
          <w:tcPr>
            <w:tcW w:w="3980" w:type="dxa"/>
            <w:vAlign w:val="bottom"/>
            <w:tcBorders>
              <w:bottom w:val="single" w:sz="8" w:color="auto"/>
            </w:tcBorders>
          </w:tcPr>
          <w:p>
            <w:pPr>
              <w:spacing w:after="0"/>
              <w:rPr>
                <w:sz w:val="2"/>
                <w:szCs w:val="2"/>
                <w:color w:val="auto"/>
              </w:rPr>
            </w:pPr>
          </w:p>
        </w:tc>
        <w:tc>
          <w:tcPr>
            <w:tcW w:w="6860" w:type="dxa"/>
            <w:vAlign w:val="bottom"/>
            <w:tcBorders>
              <w:bottom w:val="single" w:sz="8" w:color="auto"/>
            </w:tcBorders>
          </w:tcPr>
          <w:p>
            <w:pPr>
              <w:spacing w:after="0"/>
              <w:rPr>
                <w:sz w:val="2"/>
                <w:szCs w:val="2"/>
                <w:color w:val="auto"/>
              </w:rPr>
            </w:pPr>
          </w:p>
        </w:tc>
      </w:tr>
      <w:tr>
        <w:trPr>
          <w:trHeight w:val="221"/>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ABM INDUSTRIES INCORPORATED</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Delaware</w:t>
            </w:r>
          </w:p>
        </w:tc>
      </w:tr>
      <w:tr>
        <w:trPr>
          <w:trHeight w:val="257"/>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ABM Onsite Services, Inc.</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Delaware</w:t>
            </w:r>
          </w:p>
        </w:tc>
      </w:tr>
      <w:tr>
        <w:trPr>
          <w:trHeight w:val="257"/>
        </w:trPr>
        <w:tc>
          <w:tcPr>
            <w:tcW w:w="39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ABM Janitorial Services – Mid-Atlantic, Inc.</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California</w:t>
            </w:r>
          </w:p>
        </w:tc>
      </w:tr>
      <w:tr>
        <w:trPr>
          <w:trHeight w:val="257"/>
        </w:trPr>
        <w:tc>
          <w:tcPr>
            <w:tcW w:w="39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ABM Janitorial Services – Northeast, Inc.</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California</w:t>
            </w:r>
          </w:p>
        </w:tc>
      </w:tr>
      <w:tr>
        <w:trPr>
          <w:trHeight w:val="257"/>
        </w:trPr>
        <w:tc>
          <w:tcPr>
            <w:tcW w:w="39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ABM Janitorial Services – South Central, Inc.</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California</w:t>
            </w:r>
          </w:p>
        </w:tc>
      </w:tr>
      <w:tr>
        <w:trPr>
          <w:trHeight w:val="257"/>
        </w:trPr>
        <w:tc>
          <w:tcPr>
            <w:tcW w:w="398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Servall Services Inc.</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Texas</w:t>
            </w:r>
          </w:p>
        </w:tc>
      </w:tr>
      <w:tr>
        <w:trPr>
          <w:trHeight w:val="257"/>
        </w:trPr>
        <w:tc>
          <w:tcPr>
            <w:tcW w:w="39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ABM Janitorial Services – Southeast, LLC</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California</w:t>
            </w:r>
          </w:p>
        </w:tc>
      </w:tr>
      <w:tr>
        <w:trPr>
          <w:trHeight w:val="257"/>
        </w:trPr>
        <w:tc>
          <w:tcPr>
            <w:tcW w:w="39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ABM Industrial Services, Inc.</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Delaware</w:t>
            </w:r>
          </w:p>
        </w:tc>
      </w:tr>
      <w:tr>
        <w:trPr>
          <w:trHeight w:val="257"/>
        </w:trPr>
        <w:tc>
          <w:tcPr>
            <w:tcW w:w="39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ABM Onsite Services -Midwest, Inc.</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Delaware</w:t>
            </w:r>
          </w:p>
        </w:tc>
      </w:tr>
      <w:tr>
        <w:trPr>
          <w:trHeight w:val="257"/>
        </w:trPr>
        <w:tc>
          <w:tcPr>
            <w:tcW w:w="39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ABM Onsite Services - West, Inc.</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Delaware</w:t>
            </w:r>
          </w:p>
        </w:tc>
      </w:tr>
      <w:tr>
        <w:trPr>
          <w:trHeight w:val="257"/>
        </w:trPr>
        <w:tc>
          <w:tcPr>
            <w:tcW w:w="39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ABM Facility Services, Inc.</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California</w:t>
            </w:r>
          </w:p>
        </w:tc>
      </w:tr>
      <w:tr>
        <w:trPr>
          <w:trHeight w:val="257"/>
        </w:trPr>
        <w:tc>
          <w:tcPr>
            <w:tcW w:w="39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ABM Parking Services, Inc.</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California</w:t>
            </w:r>
          </w:p>
        </w:tc>
      </w:tr>
      <w:tr>
        <w:trPr>
          <w:trHeight w:val="257"/>
        </w:trPr>
        <w:tc>
          <w:tcPr>
            <w:tcW w:w="39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ABM Security Services, Inc.</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California</w:t>
            </w:r>
          </w:p>
        </w:tc>
      </w:tr>
      <w:tr>
        <w:trPr>
          <w:trHeight w:val="257"/>
        </w:trPr>
        <w:tc>
          <w:tcPr>
            <w:tcW w:w="39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OneSource Facility Services, Inc.</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Delaware</w:t>
            </w:r>
          </w:p>
        </w:tc>
      </w:tr>
      <w:tr>
        <w:trPr>
          <w:trHeight w:val="257"/>
        </w:trPr>
        <w:tc>
          <w:tcPr>
            <w:tcW w:w="39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Diversco, Inc.</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South Carolina</w:t>
            </w:r>
          </w:p>
        </w:tc>
      </w:tr>
      <w:tr>
        <w:trPr>
          <w:trHeight w:val="257"/>
        </w:trPr>
        <w:tc>
          <w:tcPr>
            <w:tcW w:w="39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Southern Management ABM, LLC</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Delaware</w:t>
            </w:r>
          </w:p>
        </w:tc>
      </w:tr>
      <w:tr>
        <w:trPr>
          <w:trHeight w:val="257"/>
        </w:trPr>
        <w:tc>
          <w:tcPr>
            <w:tcW w:w="39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ABM Healthcare Support Services, Inc.</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Michigan</w:t>
            </w:r>
          </w:p>
        </w:tc>
      </w:tr>
      <w:tr>
        <w:trPr>
          <w:trHeight w:val="257"/>
        </w:trPr>
        <w:tc>
          <w:tcPr>
            <w:tcW w:w="39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Air Serv Corporation</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Georgia</w:t>
            </w:r>
          </w:p>
        </w:tc>
      </w:tr>
      <w:tr>
        <w:trPr>
          <w:trHeight w:val="257"/>
        </w:trPr>
        <w:tc>
          <w:tcPr>
            <w:tcW w:w="39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Air Serv Facility Services, Inc.</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Georgia</w:t>
            </w:r>
          </w:p>
        </w:tc>
      </w:tr>
      <w:tr>
        <w:trPr>
          <w:trHeight w:val="257"/>
        </w:trPr>
        <w:tc>
          <w:tcPr>
            <w:tcW w:w="39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Omni Serv Limited</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England</w:t>
            </w:r>
          </w:p>
        </w:tc>
      </w:tr>
      <w:tr>
        <w:trPr>
          <w:trHeight w:val="257"/>
        </w:trPr>
        <w:tc>
          <w:tcPr>
            <w:tcW w:w="39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IFM Capital Ltd.</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Bermuda</w:t>
            </w:r>
          </w:p>
        </w:tc>
      </w:tr>
      <w:tr>
        <w:trPr>
          <w:trHeight w:val="257"/>
        </w:trPr>
        <w:tc>
          <w:tcPr>
            <w:tcW w:w="39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ABM Group UK Limited</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England</w:t>
            </w:r>
          </w:p>
        </w:tc>
      </w:tr>
      <w:tr>
        <w:trPr>
          <w:trHeight w:val="257"/>
        </w:trPr>
        <w:tc>
          <w:tcPr>
            <w:tcW w:w="398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ABM Facility Services UK Limited</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England</w:t>
            </w:r>
          </w:p>
        </w:tc>
      </w:tr>
      <w:tr>
        <w:trPr>
          <w:trHeight w:val="257"/>
        </w:trPr>
        <w:tc>
          <w:tcPr>
            <w:tcW w:w="398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ABM Facility Services Scotland Limited</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England</w:t>
            </w:r>
          </w:p>
        </w:tc>
      </w:tr>
      <w:tr>
        <w:trPr>
          <w:trHeight w:val="257"/>
        </w:trPr>
        <w:tc>
          <w:tcPr>
            <w:tcW w:w="398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Eclipse Contract Cleaning Limited</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Scotland</w:t>
            </w:r>
          </w:p>
        </w:tc>
      </w:tr>
      <w:tr>
        <w:trPr>
          <w:trHeight w:val="257"/>
        </w:trPr>
        <w:tc>
          <w:tcPr>
            <w:tcW w:w="398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GBM Services (Civic) Limited</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England</w:t>
            </w:r>
          </w:p>
        </w:tc>
      </w:tr>
      <w:tr>
        <w:trPr>
          <w:trHeight w:val="257"/>
        </w:trPr>
        <w:tc>
          <w:tcPr>
            <w:tcW w:w="398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BRBIBR Limited</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England</w:t>
            </w:r>
          </w:p>
        </w:tc>
      </w:tr>
      <w:tr>
        <w:trPr>
          <w:trHeight w:val="257"/>
        </w:trPr>
        <w:tc>
          <w:tcPr>
            <w:tcW w:w="398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8Solutions Limited</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England</w:t>
            </w:r>
          </w:p>
        </w:tc>
      </w:tr>
      <w:tr>
        <w:trPr>
          <w:trHeight w:val="257"/>
        </w:trPr>
        <w:tc>
          <w:tcPr>
            <w:tcW w:w="39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Westway Services Holdings (2014) Ltd.</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England</w:t>
            </w:r>
          </w:p>
        </w:tc>
      </w:tr>
      <w:tr>
        <w:trPr>
          <w:trHeight w:val="257"/>
        </w:trPr>
        <w:tc>
          <w:tcPr>
            <w:tcW w:w="398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Westway Services Holdings (2010) Ltd.</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England</w:t>
            </w:r>
          </w:p>
        </w:tc>
      </w:tr>
      <w:tr>
        <w:trPr>
          <w:trHeight w:val="257"/>
        </w:trPr>
        <w:tc>
          <w:tcPr>
            <w:tcW w:w="398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Westway Services Limited</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England</w:t>
            </w:r>
          </w:p>
        </w:tc>
      </w:tr>
      <w:tr>
        <w:trPr>
          <w:trHeight w:val="257"/>
        </w:trPr>
        <w:tc>
          <w:tcPr>
            <w:tcW w:w="39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ABM Onsite Services - Canada ULC</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Canada</w:t>
            </w:r>
          </w:p>
        </w:tc>
      </w:tr>
      <w:tr>
        <w:trPr>
          <w:trHeight w:val="257"/>
        </w:trPr>
        <w:tc>
          <w:tcPr>
            <w:tcW w:w="39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ABM Facility Solutions Group, LLC</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Delaware</w:t>
            </w:r>
          </w:p>
        </w:tc>
      </w:tr>
      <w:tr>
        <w:trPr>
          <w:trHeight w:val="257"/>
        </w:trPr>
        <w:tc>
          <w:tcPr>
            <w:tcW w:w="39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ABM Building &amp; Energy Solutions, Inc.</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Delaware</w:t>
            </w:r>
          </w:p>
        </w:tc>
      </w:tr>
      <w:tr>
        <w:trPr>
          <w:trHeight w:val="257"/>
        </w:trPr>
        <w:tc>
          <w:tcPr>
            <w:tcW w:w="39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ABM Building Solutions, LLC</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Delaware</w:t>
            </w:r>
          </w:p>
        </w:tc>
      </w:tr>
      <w:tr>
        <w:trPr>
          <w:trHeight w:val="257"/>
        </w:trPr>
        <w:tc>
          <w:tcPr>
            <w:tcW w:w="39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ABM Building Services, LLC</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Delaware</w:t>
            </w:r>
          </w:p>
        </w:tc>
      </w:tr>
      <w:tr>
        <w:trPr>
          <w:trHeight w:val="257"/>
        </w:trPr>
        <w:tc>
          <w:tcPr>
            <w:tcW w:w="39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ABM Electrical Network, Inc.</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Delaware</w:t>
            </w:r>
          </w:p>
        </w:tc>
      </w:tr>
      <w:tr>
        <w:trPr>
          <w:trHeight w:val="257"/>
        </w:trPr>
        <w:tc>
          <w:tcPr>
            <w:tcW w:w="39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ABM Electrical Power Solutions, LLC</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Delaware</w:t>
            </w:r>
          </w:p>
        </w:tc>
      </w:tr>
      <w:tr>
        <w:trPr>
          <w:trHeight w:val="257"/>
        </w:trPr>
        <w:tc>
          <w:tcPr>
            <w:tcW w:w="398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ABM Electrical Power Solutions, LLC</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Delaware</w:t>
            </w:r>
          </w:p>
        </w:tc>
      </w:tr>
      <w:tr>
        <w:trPr>
          <w:trHeight w:val="257"/>
        </w:trPr>
        <w:tc>
          <w:tcPr>
            <w:tcW w:w="39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ABM Electrical &amp; Lighting Solutions, Inc.</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Delaware</w:t>
            </w:r>
          </w:p>
        </w:tc>
      </w:tr>
      <w:tr>
        <w:trPr>
          <w:trHeight w:val="257"/>
        </w:trPr>
        <w:tc>
          <w:tcPr>
            <w:tcW w:w="398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ABM Electrical &amp; Lighting Services, LLC</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Delaware</w:t>
            </w:r>
          </w:p>
        </w:tc>
      </w:tr>
      <w:tr>
        <w:trPr>
          <w:trHeight w:val="257"/>
        </w:trPr>
        <w:tc>
          <w:tcPr>
            <w:tcW w:w="39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ABM Facility Support Services, LLC</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Delaware</w:t>
            </w:r>
          </w:p>
        </w:tc>
      </w:tr>
      <w:tr>
        <w:trPr>
          <w:trHeight w:val="257"/>
        </w:trPr>
        <w:tc>
          <w:tcPr>
            <w:tcW w:w="39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ABM Health, Inc.</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Massachusetts</w:t>
            </w:r>
          </w:p>
        </w:tc>
      </w:tr>
      <w:tr>
        <w:trPr>
          <w:trHeight w:val="257"/>
        </w:trPr>
        <w:tc>
          <w:tcPr>
            <w:tcW w:w="39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ABM Government Services, LLC</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Kentucky</w:t>
            </w:r>
          </w:p>
        </w:tc>
      </w:tr>
      <w:tr>
        <w:trPr>
          <w:trHeight w:val="257"/>
        </w:trPr>
        <w:tc>
          <w:tcPr>
            <w:tcW w:w="39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ABM Franchising Group, LLC</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Delaware</w:t>
            </w:r>
          </w:p>
        </w:tc>
      </w:tr>
      <w:tr>
        <w:trPr>
          <w:trHeight w:val="257"/>
        </w:trPr>
        <w:tc>
          <w:tcPr>
            <w:tcW w:w="39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GreenHomes America, LLC</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Delaware</w:t>
            </w:r>
          </w:p>
        </w:tc>
      </w:tr>
      <w:tr>
        <w:trPr>
          <w:trHeight w:val="257"/>
        </w:trPr>
        <w:tc>
          <w:tcPr>
            <w:tcW w:w="39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IFM Assurance Company</w:t>
            </w:r>
          </w:p>
        </w:tc>
        <w:tc>
          <w:tcPr>
            <w:tcW w:w="6860" w:type="dxa"/>
            <w:vAlign w:val="bottom"/>
          </w:tcPr>
          <w:p>
            <w:pPr>
              <w:ind w:left="4940"/>
              <w:spacing w:after="0"/>
              <w:rPr>
                <w:sz w:val="20"/>
                <w:szCs w:val="20"/>
                <w:color w:val="auto"/>
              </w:rPr>
            </w:pPr>
            <w:r>
              <w:rPr>
                <w:rFonts w:ascii="Times New Roman" w:cs="Times New Roman" w:eastAsia="Times New Roman" w:hAnsi="Times New Roman"/>
                <w:sz w:val="17"/>
                <w:szCs w:val="17"/>
                <w:color w:val="auto"/>
              </w:rPr>
              <w:t>New York</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relationship to Company or to subsidiary parents shown by progressive indentation.</w:t>
      </w:r>
    </w:p>
    <w:p>
      <w:pPr>
        <w:sectPr>
          <w:pgSz w:w="11900" w:h="16838" w:orient="portrait"/>
          <w:cols w:equalWidth="0" w:num="1">
            <w:col w:w="11420"/>
          </w:cols>
          <w:pgMar w:left="240" w:top="360" w:right="2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Consent of Independent Registered Public Accounting Firm</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Board of Directors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ABM Industries Incorporated:</w:t>
      </w:r>
    </w:p>
    <w:p>
      <w:pPr>
        <w:spacing w:after="0" w:line="2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We consent to the incorporation by reference in the registration statements listed below of ABM Industries Incorporated of our report, dated December 21, 2016, with respect to the consolidated balance sheets of ABM Industries Incorporated and subsidiaries as of October 31, 2016 and 2015, and the related consolidated statements of comprehensive income, stockholders' equity, and cash flows for each of the years in the three-year period ended October 31, 2016 and the related financial statement Schedule II, and the effectiveness of internal control over financial reporting as of October 31, 2016, which report appears in the October 31, 2016 annual report on Form 10-K of ABM Industries Incorporated.</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Our report dated December 21, 2016, on the effectiveness of internal control over financial reporting as of October 31, 2016, contains an explanatory paragraph that states the Company acquired Westway Services Holdings (2014) Ltd. (“Westway”) on December 1, 2015 and 8 Solutions Ltd. (“8 Solutions”) on September 30, 2016. Management excluded these two businesses from its assessment of the effectiveness of the Company’s internal control over financial reporting as of October 31, 2016. Westway and 8 Solutions represented approximately 4% and 1% of the Company’s total consolidated assets and total consolidated revenues, respectively, as of and for the year ended October 31, 2016. Our audit of internal control over financial reporting of ABM Industries Incorporated and subsidiaries also excluded an evaluation of the internal control over financial reporting of Westway and 8 Solutions.</w:t>
      </w:r>
    </w:p>
    <w:p>
      <w:pPr>
        <w:spacing w:after="0" w:line="362" w:lineRule="exact"/>
        <w:rPr>
          <w:sz w:val="20"/>
          <w:szCs w:val="20"/>
          <w:color w:val="auto"/>
        </w:rPr>
      </w:pPr>
    </w:p>
    <w:tbl>
      <w:tblPr>
        <w:tblLayout w:type="fixed"/>
        <w:tblInd w:w="740" w:type="dxa"/>
        <w:tblCellMar>
          <w:top w:w="0" w:type="dxa"/>
          <w:left w:w="0" w:type="dxa"/>
          <w:bottom w:w="0" w:type="dxa"/>
          <w:right w:w="0" w:type="dxa"/>
        </w:tblCellMar>
      </w:tblPr>
      <w:tr>
        <w:trPr>
          <w:trHeight w:val="258"/>
        </w:trPr>
        <w:tc>
          <w:tcPr>
            <w:tcW w:w="1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Registration No.</w:t>
            </w:r>
          </w:p>
        </w:tc>
        <w:tc>
          <w:tcPr>
            <w:tcW w:w="13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Form</w:t>
            </w:r>
          </w:p>
        </w:tc>
        <w:tc>
          <w:tcPr>
            <w:tcW w:w="8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Plan</w:t>
            </w:r>
          </w:p>
        </w:tc>
        <w:tc>
          <w:tcPr>
            <w:tcW w:w="5920" w:type="dxa"/>
            <w:vAlign w:val="bottom"/>
          </w:tcPr>
          <w:p>
            <w:pPr>
              <w:spacing w:after="0"/>
              <w:rPr>
                <w:sz w:val="22"/>
                <w:szCs w:val="22"/>
                <w:color w:val="auto"/>
              </w:rPr>
            </w:pPr>
          </w:p>
        </w:tc>
      </w:tr>
      <w:tr>
        <w:trPr>
          <w:trHeight w:val="21"/>
        </w:trPr>
        <w:tc>
          <w:tcPr>
            <w:tcW w:w="18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920" w:type="dxa"/>
            <w:vAlign w:val="bottom"/>
            <w:tcBorders>
              <w:bottom w:val="single" w:sz="8" w:color="auto"/>
            </w:tcBorders>
          </w:tcPr>
          <w:p>
            <w:pPr>
              <w:spacing w:after="0" w:line="20" w:lineRule="exact"/>
              <w:rPr>
                <w:sz w:val="1"/>
                <w:szCs w:val="1"/>
                <w:color w:val="auto"/>
              </w:rPr>
            </w:pPr>
          </w:p>
        </w:tc>
      </w:tr>
      <w:tr>
        <w:trPr>
          <w:trHeight w:val="256"/>
        </w:trPr>
        <w:tc>
          <w:tcPr>
            <w:tcW w:w="1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333-167464</w:t>
            </w:r>
          </w:p>
        </w:tc>
        <w:tc>
          <w:tcPr>
            <w:tcW w:w="13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S-8</w:t>
            </w:r>
          </w:p>
        </w:tc>
        <w:tc>
          <w:tcPr>
            <w:tcW w:w="860" w:type="dxa"/>
            <w:vAlign w:val="bottom"/>
          </w:tcPr>
          <w:p>
            <w:pPr>
              <w:ind w:left="440"/>
              <w:spacing w:after="0"/>
              <w:rPr>
                <w:sz w:val="20"/>
                <w:szCs w:val="20"/>
                <w:color w:val="auto"/>
              </w:rPr>
            </w:pPr>
            <w:r>
              <w:rPr>
                <w:rFonts w:ascii="Times New Roman" w:cs="Times New Roman" w:eastAsia="Times New Roman" w:hAnsi="Times New Roman"/>
                <w:sz w:val="20"/>
                <w:szCs w:val="20"/>
                <w:color w:val="auto"/>
                <w:w w:val="99"/>
              </w:rPr>
              <w:t>2004</w:t>
            </w:r>
          </w:p>
        </w:tc>
        <w:tc>
          <w:tcPr>
            <w:tcW w:w="5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Employee Stock Purchase Plan</w:t>
            </w:r>
          </w:p>
        </w:tc>
      </w:tr>
      <w:tr>
        <w:trPr>
          <w:trHeight w:val="284"/>
        </w:trPr>
        <w:tc>
          <w:tcPr>
            <w:tcW w:w="1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333-78423</w:t>
            </w:r>
          </w:p>
        </w:tc>
        <w:tc>
          <w:tcPr>
            <w:tcW w:w="13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S-8</w:t>
            </w:r>
          </w:p>
        </w:tc>
        <w:tc>
          <w:tcPr>
            <w:tcW w:w="6780" w:type="dxa"/>
            <w:vAlign w:val="bottom"/>
            <w:gridSpan w:val="2"/>
          </w:tcPr>
          <w:p>
            <w:pPr>
              <w:ind w:left="440"/>
              <w:spacing w:after="0"/>
              <w:rPr>
                <w:sz w:val="20"/>
                <w:szCs w:val="20"/>
                <w:color w:val="auto"/>
              </w:rPr>
            </w:pPr>
            <w:r>
              <w:rPr>
                <w:rFonts w:ascii="Times New Roman" w:cs="Times New Roman" w:eastAsia="Times New Roman" w:hAnsi="Times New Roman"/>
                <w:sz w:val="20"/>
                <w:szCs w:val="20"/>
                <w:color w:val="auto"/>
              </w:rPr>
              <w:t>“Age-Vested” Career Stock Option Plan</w:t>
            </w:r>
          </w:p>
        </w:tc>
      </w:tr>
      <w:tr>
        <w:trPr>
          <w:trHeight w:val="284"/>
        </w:trPr>
        <w:tc>
          <w:tcPr>
            <w:tcW w:w="1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333-78421</w:t>
            </w:r>
          </w:p>
        </w:tc>
        <w:tc>
          <w:tcPr>
            <w:tcW w:w="13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S-8</w:t>
            </w:r>
          </w:p>
        </w:tc>
        <w:tc>
          <w:tcPr>
            <w:tcW w:w="6780" w:type="dxa"/>
            <w:vAlign w:val="bottom"/>
            <w:gridSpan w:val="2"/>
          </w:tcPr>
          <w:p>
            <w:pPr>
              <w:ind w:left="440"/>
              <w:spacing w:after="0"/>
              <w:rPr>
                <w:sz w:val="20"/>
                <w:szCs w:val="20"/>
                <w:color w:val="auto"/>
              </w:rPr>
            </w:pPr>
            <w:r>
              <w:rPr>
                <w:rFonts w:ascii="Times New Roman" w:cs="Times New Roman" w:eastAsia="Times New Roman" w:hAnsi="Times New Roman"/>
                <w:sz w:val="20"/>
                <w:szCs w:val="20"/>
                <w:color w:val="auto"/>
              </w:rPr>
              <w:t>“Time-Vested” Incentive Stock Option Plan</w:t>
            </w:r>
          </w:p>
        </w:tc>
      </w:tr>
      <w:tr>
        <w:trPr>
          <w:trHeight w:val="284"/>
        </w:trPr>
        <w:tc>
          <w:tcPr>
            <w:tcW w:w="1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333-48857</w:t>
            </w:r>
          </w:p>
        </w:tc>
        <w:tc>
          <w:tcPr>
            <w:tcW w:w="13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S-8</w:t>
            </w:r>
          </w:p>
        </w:tc>
        <w:tc>
          <w:tcPr>
            <w:tcW w:w="860" w:type="dxa"/>
            <w:vAlign w:val="bottom"/>
          </w:tcPr>
          <w:p>
            <w:pPr>
              <w:ind w:left="440"/>
              <w:spacing w:after="0"/>
              <w:rPr>
                <w:sz w:val="20"/>
                <w:szCs w:val="20"/>
                <w:color w:val="auto"/>
              </w:rPr>
            </w:pPr>
            <w:r>
              <w:rPr>
                <w:rFonts w:ascii="Times New Roman" w:cs="Times New Roman" w:eastAsia="Times New Roman" w:hAnsi="Times New Roman"/>
                <w:sz w:val="20"/>
                <w:szCs w:val="20"/>
                <w:color w:val="auto"/>
                <w:w w:val="99"/>
              </w:rPr>
              <w:t>1996</w:t>
            </w:r>
          </w:p>
        </w:tc>
        <w:tc>
          <w:tcPr>
            <w:tcW w:w="5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Price Vested Performance Stock Option Plan</w:t>
            </w:r>
          </w:p>
        </w:tc>
      </w:tr>
      <w:tr>
        <w:trPr>
          <w:trHeight w:val="284"/>
        </w:trPr>
        <w:tc>
          <w:tcPr>
            <w:tcW w:w="1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333-85390</w:t>
            </w:r>
          </w:p>
        </w:tc>
        <w:tc>
          <w:tcPr>
            <w:tcW w:w="13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S-8</w:t>
            </w:r>
          </w:p>
        </w:tc>
        <w:tc>
          <w:tcPr>
            <w:tcW w:w="860" w:type="dxa"/>
            <w:vAlign w:val="bottom"/>
          </w:tcPr>
          <w:p>
            <w:pPr>
              <w:ind w:left="440"/>
              <w:spacing w:after="0"/>
              <w:rPr>
                <w:sz w:val="20"/>
                <w:szCs w:val="20"/>
                <w:color w:val="auto"/>
              </w:rPr>
            </w:pPr>
            <w:r>
              <w:rPr>
                <w:rFonts w:ascii="Times New Roman" w:cs="Times New Roman" w:eastAsia="Times New Roman" w:hAnsi="Times New Roman"/>
                <w:sz w:val="20"/>
                <w:szCs w:val="20"/>
                <w:color w:val="auto"/>
                <w:w w:val="99"/>
              </w:rPr>
              <w:t>2002</w:t>
            </w:r>
          </w:p>
        </w:tc>
        <w:tc>
          <w:tcPr>
            <w:tcW w:w="5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Price Vested Performance Stock Option Plan</w:t>
            </w:r>
          </w:p>
        </w:tc>
      </w:tr>
      <w:tr>
        <w:trPr>
          <w:trHeight w:val="284"/>
        </w:trPr>
        <w:tc>
          <w:tcPr>
            <w:tcW w:w="1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333-116487</w:t>
            </w:r>
          </w:p>
        </w:tc>
        <w:tc>
          <w:tcPr>
            <w:tcW w:w="13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S-8</w:t>
            </w:r>
          </w:p>
        </w:tc>
        <w:tc>
          <w:tcPr>
            <w:tcW w:w="860" w:type="dxa"/>
            <w:vAlign w:val="bottom"/>
          </w:tcPr>
          <w:p>
            <w:pPr>
              <w:ind w:left="440"/>
              <w:spacing w:after="0"/>
              <w:rPr>
                <w:sz w:val="20"/>
                <w:szCs w:val="20"/>
                <w:color w:val="auto"/>
              </w:rPr>
            </w:pPr>
            <w:r>
              <w:rPr>
                <w:rFonts w:ascii="Times New Roman" w:cs="Times New Roman" w:eastAsia="Times New Roman" w:hAnsi="Times New Roman"/>
                <w:sz w:val="20"/>
                <w:szCs w:val="20"/>
                <w:color w:val="auto"/>
                <w:w w:val="99"/>
              </w:rPr>
              <w:t>2004</w:t>
            </w:r>
          </w:p>
        </w:tc>
        <w:tc>
          <w:tcPr>
            <w:tcW w:w="5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Employee Stock Purchase Plan</w:t>
            </w:r>
          </w:p>
        </w:tc>
      </w:tr>
      <w:tr>
        <w:trPr>
          <w:trHeight w:val="284"/>
        </w:trPr>
        <w:tc>
          <w:tcPr>
            <w:tcW w:w="1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333-137241</w:t>
            </w:r>
          </w:p>
        </w:tc>
        <w:tc>
          <w:tcPr>
            <w:tcW w:w="13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S-8</w:t>
            </w:r>
          </w:p>
        </w:tc>
        <w:tc>
          <w:tcPr>
            <w:tcW w:w="860" w:type="dxa"/>
            <w:vAlign w:val="bottom"/>
          </w:tcPr>
          <w:p>
            <w:pPr>
              <w:ind w:left="440"/>
              <w:spacing w:after="0"/>
              <w:rPr>
                <w:sz w:val="20"/>
                <w:szCs w:val="20"/>
                <w:color w:val="auto"/>
              </w:rPr>
            </w:pPr>
            <w:r>
              <w:rPr>
                <w:rFonts w:ascii="Times New Roman" w:cs="Times New Roman" w:eastAsia="Times New Roman" w:hAnsi="Times New Roman"/>
                <w:sz w:val="20"/>
                <w:szCs w:val="20"/>
                <w:color w:val="auto"/>
                <w:w w:val="99"/>
              </w:rPr>
              <w:t>2006</w:t>
            </w:r>
          </w:p>
        </w:tc>
        <w:tc>
          <w:tcPr>
            <w:tcW w:w="5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Equity Incentive Plan</w:t>
            </w:r>
          </w:p>
        </w:tc>
      </w:tr>
      <w:tr>
        <w:trPr>
          <w:trHeight w:val="284"/>
        </w:trPr>
        <w:tc>
          <w:tcPr>
            <w:tcW w:w="1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333-159770</w:t>
            </w:r>
          </w:p>
        </w:tc>
        <w:tc>
          <w:tcPr>
            <w:tcW w:w="13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S-8</w:t>
            </w:r>
          </w:p>
        </w:tc>
        <w:tc>
          <w:tcPr>
            <w:tcW w:w="860" w:type="dxa"/>
            <w:vAlign w:val="bottom"/>
          </w:tcPr>
          <w:p>
            <w:pPr>
              <w:ind w:left="440"/>
              <w:spacing w:after="0"/>
              <w:rPr>
                <w:sz w:val="20"/>
                <w:szCs w:val="20"/>
                <w:color w:val="auto"/>
              </w:rPr>
            </w:pPr>
            <w:r>
              <w:rPr>
                <w:rFonts w:ascii="Times New Roman" w:cs="Times New Roman" w:eastAsia="Times New Roman" w:hAnsi="Times New Roman"/>
                <w:sz w:val="20"/>
                <w:szCs w:val="20"/>
                <w:color w:val="auto"/>
                <w:w w:val="99"/>
              </w:rPr>
              <w:t>2006</w:t>
            </w:r>
          </w:p>
        </w:tc>
        <w:tc>
          <w:tcPr>
            <w:tcW w:w="5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Equity Incentive Plan</w:t>
            </w:r>
          </w:p>
        </w:tc>
      </w:tr>
      <w:tr>
        <w:trPr>
          <w:trHeight w:val="284"/>
        </w:trPr>
        <w:tc>
          <w:tcPr>
            <w:tcW w:w="1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333-179991</w:t>
            </w:r>
          </w:p>
        </w:tc>
        <w:tc>
          <w:tcPr>
            <w:tcW w:w="13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S-8</w:t>
            </w:r>
          </w:p>
        </w:tc>
        <w:tc>
          <w:tcPr>
            <w:tcW w:w="860" w:type="dxa"/>
            <w:vAlign w:val="bottom"/>
          </w:tcPr>
          <w:p>
            <w:pPr>
              <w:ind w:left="440"/>
              <w:spacing w:after="0"/>
              <w:rPr>
                <w:sz w:val="20"/>
                <w:szCs w:val="20"/>
                <w:color w:val="auto"/>
              </w:rPr>
            </w:pPr>
            <w:r>
              <w:rPr>
                <w:rFonts w:ascii="Times New Roman" w:cs="Times New Roman" w:eastAsia="Times New Roman" w:hAnsi="Times New Roman"/>
                <w:sz w:val="20"/>
                <w:szCs w:val="20"/>
                <w:color w:val="auto"/>
                <w:w w:val="99"/>
              </w:rPr>
              <w:t>2006</w:t>
            </w:r>
          </w:p>
        </w:tc>
        <w:tc>
          <w:tcPr>
            <w:tcW w:w="5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Equity Incentive Plan</w:t>
            </w:r>
          </w:p>
        </w:tc>
      </w:tr>
      <w:tr>
        <w:trPr>
          <w:trHeight w:val="284"/>
        </w:trPr>
        <w:tc>
          <w:tcPr>
            <w:tcW w:w="1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333-202521</w:t>
            </w:r>
          </w:p>
        </w:tc>
        <w:tc>
          <w:tcPr>
            <w:tcW w:w="13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S-8</w:t>
            </w:r>
          </w:p>
        </w:tc>
        <w:tc>
          <w:tcPr>
            <w:tcW w:w="860" w:type="dxa"/>
            <w:vAlign w:val="bottom"/>
          </w:tcPr>
          <w:p>
            <w:pPr>
              <w:ind w:left="440"/>
              <w:spacing w:after="0"/>
              <w:rPr>
                <w:sz w:val="20"/>
                <w:szCs w:val="20"/>
                <w:color w:val="auto"/>
              </w:rPr>
            </w:pPr>
            <w:r>
              <w:rPr>
                <w:rFonts w:ascii="Times New Roman" w:cs="Times New Roman" w:eastAsia="Times New Roman" w:hAnsi="Times New Roman"/>
                <w:sz w:val="20"/>
                <w:szCs w:val="20"/>
                <w:color w:val="auto"/>
                <w:w w:val="99"/>
              </w:rPr>
              <w:t>2006</w:t>
            </w:r>
          </w:p>
        </w:tc>
        <w:tc>
          <w:tcPr>
            <w:tcW w:w="5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Equity Incentive Plan</w:t>
            </w:r>
          </w:p>
        </w:tc>
      </w:tr>
      <w:tr>
        <w:trPr>
          <w:trHeight w:val="284"/>
        </w:trPr>
        <w:tc>
          <w:tcPr>
            <w:tcW w:w="1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333-211991</w:t>
            </w:r>
          </w:p>
        </w:tc>
        <w:tc>
          <w:tcPr>
            <w:tcW w:w="13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S-8</w:t>
            </w:r>
          </w:p>
        </w:tc>
        <w:tc>
          <w:tcPr>
            <w:tcW w:w="860" w:type="dxa"/>
            <w:vAlign w:val="bottom"/>
          </w:tcPr>
          <w:p>
            <w:pPr>
              <w:ind w:left="440"/>
              <w:spacing w:after="0"/>
              <w:rPr>
                <w:sz w:val="20"/>
                <w:szCs w:val="20"/>
                <w:color w:val="auto"/>
              </w:rPr>
            </w:pPr>
            <w:r>
              <w:rPr>
                <w:rFonts w:ascii="Times New Roman" w:cs="Times New Roman" w:eastAsia="Times New Roman" w:hAnsi="Times New Roman"/>
                <w:sz w:val="20"/>
                <w:szCs w:val="20"/>
                <w:color w:val="auto"/>
                <w:w w:val="99"/>
              </w:rPr>
              <w:t>2004</w:t>
            </w:r>
          </w:p>
        </w:tc>
        <w:tc>
          <w:tcPr>
            <w:tcW w:w="5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Employee Stock Purchase Plan</w:t>
            </w:r>
          </w:p>
        </w:tc>
      </w:tr>
    </w:tbl>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(signed) KPMG LLP</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21, 2016</w:t>
      </w:r>
    </w:p>
    <w:p>
      <w:pPr>
        <w:sectPr>
          <w:pgSz w:w="11900" w:h="16838" w:orient="portrait"/>
          <w:cols w:equalWidth="0" w:num="1">
            <w:col w:w="11420"/>
          </w:cols>
          <w:pgMar w:left="240" w:top="576" w:right="2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OF 1934</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RULE 13a-14(a) OR 15d-14(a)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Salmirs, certify that:</w:t>
      </w:r>
    </w:p>
    <w:p>
      <w:pPr>
        <w:spacing w:after="0" w:line="225" w:lineRule="exact"/>
        <w:rPr>
          <w:sz w:val="20"/>
          <w:szCs w:val="20"/>
          <w:color w:val="auto"/>
        </w:rPr>
      </w:pPr>
    </w:p>
    <w:p>
      <w:pPr>
        <w:ind w:left="320" w:hanging="312"/>
        <w:spacing w:after="0"/>
        <w:tabs>
          <w:tab w:leader="none" w:pos="3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ABM Industries Incorporated;</w:t>
      </w:r>
    </w:p>
    <w:p>
      <w:pPr>
        <w:spacing w:after="0" w:line="225"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0" w:hanging="332"/>
        <w:spacing w:after="0" w:line="266" w:lineRule="auto"/>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2120" w:val="left"/>
        </w:tabs>
        <w:rPr>
          <w:sz w:val="20"/>
          <w:szCs w:val="20"/>
          <w:color w:val="auto"/>
        </w:rPr>
      </w:pPr>
      <w:r>
        <w:rPr>
          <w:rFonts w:ascii="Times New Roman" w:cs="Times New Roman" w:eastAsia="Times New Roman" w:hAnsi="Times New Roman"/>
          <w:sz w:val="18"/>
          <w:szCs w:val="18"/>
          <w:color w:val="auto"/>
        </w:rPr>
        <w:t>December 21, 2016</w:t>
      </w:r>
      <w:r>
        <w:rPr>
          <w:sz w:val="20"/>
          <w:szCs w:val="20"/>
          <w:color w:val="auto"/>
        </w:rPr>
        <w:tab/>
      </w:r>
      <w:r>
        <w:rPr>
          <w:rFonts w:ascii="Times New Roman" w:cs="Times New Roman" w:eastAsia="Times New Roman" w:hAnsi="Times New Roman"/>
          <w:sz w:val="17"/>
          <w:szCs w:val="17"/>
          <w:color w:val="auto"/>
        </w:rPr>
        <w:t>/s/ Scott Salmirs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1360805</wp:posOffset>
            </wp:positionH>
            <wp:positionV relativeFrom="paragraph">
              <wp:posOffset>-7620</wp:posOffset>
            </wp:positionV>
            <wp:extent cx="1206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650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Scott Salmirs</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360" w:right="2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15d-14(a)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 Anthony Scaglione, certify that:</w:t>
      </w:r>
    </w:p>
    <w:p>
      <w:pPr>
        <w:spacing w:after="0" w:line="225" w:lineRule="exact"/>
        <w:rPr>
          <w:sz w:val="20"/>
          <w:szCs w:val="20"/>
          <w:color w:val="auto"/>
        </w:rPr>
      </w:pPr>
    </w:p>
    <w:p>
      <w:pPr>
        <w:ind w:left="320" w:hanging="312"/>
        <w:spacing w:after="0"/>
        <w:tabs>
          <w:tab w:leader="none" w:pos="3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ABM Industries Incorporated;</w:t>
      </w:r>
    </w:p>
    <w:p>
      <w:pPr>
        <w:spacing w:after="0" w:line="225"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0" w:hanging="332"/>
        <w:spacing w:after="0" w:line="266" w:lineRule="auto"/>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December 21, 2016</w:t>
            </w:r>
          </w:p>
        </w:tc>
        <w:tc>
          <w:tcPr>
            <w:tcW w:w="2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 Anthony Scaglione</w:t>
            </w:r>
          </w:p>
        </w:tc>
        <w:tc>
          <w:tcPr>
            <w:tcW w:w="1440" w:type="dxa"/>
            <w:vAlign w:val="bottom"/>
          </w:tcPr>
          <w:p>
            <w:pPr>
              <w:spacing w:after="0"/>
              <w:rPr>
                <w:sz w:val="18"/>
                <w:szCs w:val="18"/>
                <w:color w:val="auto"/>
              </w:rPr>
            </w:pPr>
          </w:p>
        </w:tc>
      </w:tr>
      <w:tr>
        <w:trPr>
          <w:trHeight w:val="218"/>
        </w:trPr>
        <w:tc>
          <w:tcPr>
            <w:tcW w:w="2140" w:type="dxa"/>
            <w:vAlign w:val="bottom"/>
          </w:tcPr>
          <w:p>
            <w:pPr>
              <w:spacing w:after="0"/>
              <w:rPr>
                <w:sz w:val="18"/>
                <w:szCs w:val="18"/>
                <w:color w:val="auto"/>
              </w:rPr>
            </w:pPr>
          </w:p>
        </w:tc>
        <w:tc>
          <w:tcPr>
            <w:tcW w:w="380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D. Anthony Scaglione</w:t>
            </w:r>
          </w:p>
        </w:tc>
      </w:tr>
      <w:tr>
        <w:trPr>
          <w:trHeight w:val="216"/>
        </w:trPr>
        <w:tc>
          <w:tcPr>
            <w:tcW w:w="2140" w:type="dxa"/>
            <w:vAlign w:val="bottom"/>
          </w:tcPr>
          <w:p>
            <w:pPr>
              <w:spacing w:after="0"/>
              <w:rPr>
                <w:sz w:val="18"/>
                <w:szCs w:val="18"/>
                <w:color w:val="auto"/>
              </w:rPr>
            </w:pPr>
          </w:p>
        </w:tc>
        <w:tc>
          <w:tcPr>
            <w:tcW w:w="380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140" w:type="dxa"/>
            <w:vAlign w:val="bottom"/>
          </w:tcPr>
          <w:p>
            <w:pPr>
              <w:spacing w:after="0"/>
              <w:rPr>
                <w:sz w:val="20"/>
                <w:szCs w:val="20"/>
                <w:color w:val="auto"/>
              </w:rPr>
            </w:pPr>
          </w:p>
        </w:tc>
        <w:tc>
          <w:tcPr>
            <w:tcW w:w="380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w w:val="98"/>
              </w:rPr>
              <w:t>(Principal Financial Officer)</w:t>
            </w:r>
          </w:p>
        </w:tc>
      </w:tr>
    </w:tbl>
    <w:p>
      <w:pPr>
        <w:sectPr>
          <w:pgSz w:w="11900" w:h="16838" w:orient="portrait"/>
          <w:cols w:equalWidth="0" w:num="1">
            <w:col w:w="11420"/>
          </w:cols>
          <w:pgMar w:left="240" w:top="360" w:right="2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CERTIFICATIONS PURSUANT TO SECURITIES EXCHANGE ACT OF 1934</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 13a-14(b) OR 15d-14(b) AND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ABM Industries Incorporated (the “Company”) for the year ended October 31, 2016, as filed with the Securities and Exchange Commission on the date hereof (the “Report”), Scott Salmirs, Chief Executive Officer of the Company, and D. Anthony Scaglione,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180" w:lineRule="exact"/>
        <w:rPr>
          <w:sz w:val="20"/>
          <w:szCs w:val="20"/>
          <w:color w:val="auto"/>
        </w:rPr>
      </w:pPr>
    </w:p>
    <w:p>
      <w:pPr>
        <w:ind w:left="980" w:hanging="648"/>
        <w:spacing w:after="0"/>
        <w:tabs>
          <w:tab w:leader="none" w:pos="9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2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December 21, 2016</w:t>
            </w: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Salmirs</w:t>
            </w:r>
          </w:p>
        </w:tc>
        <w:tc>
          <w:tcPr>
            <w:tcW w:w="1960" w:type="dxa"/>
            <w:vAlign w:val="bottom"/>
            <w:gridSpan w:val="2"/>
          </w:tcPr>
          <w:p>
            <w:pPr>
              <w:spacing w:after="0"/>
              <w:rPr>
                <w:sz w:val="17"/>
                <w:szCs w:val="17"/>
                <w:color w:val="auto"/>
              </w:rPr>
            </w:pPr>
          </w:p>
        </w:tc>
      </w:tr>
      <w:tr>
        <w:trPr>
          <w:trHeight w:val="218"/>
        </w:trPr>
        <w:tc>
          <w:tcPr>
            <w:tcW w:w="2140" w:type="dxa"/>
            <w:vAlign w:val="bottom"/>
          </w:tcPr>
          <w:p>
            <w:pPr>
              <w:spacing w:after="0"/>
              <w:rPr>
                <w:sz w:val="18"/>
                <w:szCs w:val="18"/>
                <w:color w:val="auto"/>
              </w:rPr>
            </w:pPr>
          </w:p>
        </w:tc>
        <w:tc>
          <w:tcPr>
            <w:tcW w:w="386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rPr>
              <w:t>Scott Salmirs</w:t>
            </w:r>
          </w:p>
        </w:tc>
      </w:tr>
      <w:tr>
        <w:trPr>
          <w:trHeight w:val="216"/>
        </w:trPr>
        <w:tc>
          <w:tcPr>
            <w:tcW w:w="2140" w:type="dxa"/>
            <w:vAlign w:val="bottom"/>
          </w:tcPr>
          <w:p>
            <w:pPr>
              <w:spacing w:after="0"/>
              <w:rPr>
                <w:sz w:val="18"/>
                <w:szCs w:val="18"/>
                <w:color w:val="auto"/>
              </w:rPr>
            </w:pPr>
          </w:p>
        </w:tc>
        <w:tc>
          <w:tcPr>
            <w:tcW w:w="386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2140" w:type="dxa"/>
            <w:vAlign w:val="bottom"/>
          </w:tcPr>
          <w:p>
            <w:pPr>
              <w:spacing w:after="0"/>
              <w:rPr>
                <w:sz w:val="20"/>
                <w:szCs w:val="20"/>
                <w:color w:val="auto"/>
              </w:rPr>
            </w:pPr>
          </w:p>
        </w:tc>
        <w:tc>
          <w:tcPr>
            <w:tcW w:w="386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r>
        <w:trPr>
          <w:trHeight w:val="608"/>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December 21, 2016</w:t>
            </w:r>
          </w:p>
        </w:tc>
        <w:tc>
          <w:tcPr>
            <w:tcW w:w="2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 Anthony Scaglione</w:t>
            </w:r>
          </w:p>
        </w:tc>
        <w:tc>
          <w:tcPr>
            <w:tcW w:w="1500" w:type="dxa"/>
            <w:vAlign w:val="bottom"/>
          </w:tcPr>
          <w:p>
            <w:pPr>
              <w:spacing w:after="0"/>
              <w:rPr>
                <w:sz w:val="24"/>
                <w:szCs w:val="24"/>
                <w:color w:val="auto"/>
              </w:rPr>
            </w:pPr>
          </w:p>
        </w:tc>
      </w:tr>
      <w:tr>
        <w:trPr>
          <w:trHeight w:val="218"/>
        </w:trPr>
        <w:tc>
          <w:tcPr>
            <w:tcW w:w="2140" w:type="dxa"/>
            <w:vAlign w:val="bottom"/>
          </w:tcPr>
          <w:p>
            <w:pPr>
              <w:spacing w:after="0"/>
              <w:rPr>
                <w:sz w:val="18"/>
                <w:szCs w:val="18"/>
                <w:color w:val="auto"/>
              </w:rPr>
            </w:pPr>
          </w:p>
        </w:tc>
        <w:tc>
          <w:tcPr>
            <w:tcW w:w="386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rPr>
              <w:t>D. Anthony Scaglione</w:t>
            </w:r>
          </w:p>
        </w:tc>
      </w:tr>
      <w:tr>
        <w:trPr>
          <w:trHeight w:val="216"/>
        </w:trPr>
        <w:tc>
          <w:tcPr>
            <w:tcW w:w="2140" w:type="dxa"/>
            <w:vAlign w:val="bottom"/>
          </w:tcPr>
          <w:p>
            <w:pPr>
              <w:spacing w:after="0"/>
              <w:rPr>
                <w:sz w:val="18"/>
                <w:szCs w:val="18"/>
                <w:color w:val="auto"/>
              </w:rPr>
            </w:pPr>
          </w:p>
        </w:tc>
        <w:tc>
          <w:tcPr>
            <w:tcW w:w="386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140" w:type="dxa"/>
            <w:vAlign w:val="bottom"/>
          </w:tcPr>
          <w:p>
            <w:pPr>
              <w:spacing w:after="0"/>
              <w:rPr>
                <w:sz w:val="20"/>
                <w:szCs w:val="20"/>
                <w:color w:val="auto"/>
              </w:rPr>
            </w:pPr>
          </w:p>
        </w:tc>
        <w:tc>
          <w:tcPr>
            <w:tcW w:w="386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1"/>
      <w:numFmt w:val="decimal"/>
      <w:start w:val="54"/>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1)"/>
      <w:numFmt w:val="decimal"/>
      <w:start w:val="1"/>
    </w:lvl>
    <w:lvl w:ilvl="1">
      <w:lvlJc w:val="left"/>
      <w:lvlText w:val="•"/>
      <w:numFmt w:val="bullet"/>
      <w:start w:val="1"/>
    </w:lvl>
  </w:abstractNum>
  <w:abstractNum w:abstractNumId="5">
    <w:nsid w:val="12E685FB"/>
    <w:multiLevelType w:val="hybridMultilevel"/>
    <w:lvl w:ilvl="0">
      <w:lvlJc w:val="left"/>
      <w:lvlText w:val="(%1)"/>
      <w:numFmt w:val="decimal"/>
      <w:start w:val="2"/>
    </w:lvl>
    <w:lvl w:ilvl="1">
      <w:lvlJc w:val="left"/>
      <w:lvlText w:val="•"/>
      <w:numFmt w:val="bullet"/>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1)"/>
      <w:numFmt w:val="lowerRoman"/>
      <w:start w:val="2"/>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1)"/>
      <w:numFmt w:val="decimal"/>
      <w:start w:val="1"/>
    </w:lvl>
  </w:abstractNum>
  <w:abstractNum w:abstractNumId="18">
    <w:nsid w:val="354FE9F9"/>
    <w:multiLevelType w:val="hybridMultilevel"/>
    <w:lvl w:ilvl="0">
      <w:lvlJc w:val="left"/>
      <w:lvlText w:val="(%1)"/>
      <w:numFmt w:val="decimal"/>
      <w:start w:val="4"/>
    </w:lvl>
  </w:abstractNum>
  <w:abstractNum w:abstractNumId="19">
    <w:nsid w:val="15B5AF5C"/>
    <w:multiLevelType w:val="hybridMultilevel"/>
    <w:lvl w:ilvl="0">
      <w:lvlJc w:val="left"/>
      <w:lvlText w:val="(%1)"/>
      <w:numFmt w:val="decimal"/>
      <w:start w:val="8"/>
    </w:lvl>
  </w:abstractNum>
  <w:abstractNum w:abstractNumId="20">
    <w:nsid w:val="741226BB"/>
    <w:multiLevelType w:val="hybridMultilevel"/>
    <w:lvl w:ilvl="0">
      <w:lvlJc w:val="left"/>
      <w:lvlText w:val="(%1)"/>
      <w:numFmt w:val="decimal"/>
      <w:start w:val="1"/>
    </w:lvl>
  </w:abstractNum>
  <w:abstractNum w:abstractNumId="21">
    <w:nsid w:val="D34B6A8"/>
    <w:multiLevelType w:val="hybridMultilevel"/>
    <w:lvl w:ilvl="0">
      <w:lvlJc w:val="left"/>
      <w:lvlText w:val="(%1)"/>
      <w:numFmt w:val="decimal"/>
      <w:start w:val="1"/>
    </w:lvl>
  </w:abstractNum>
  <w:abstractNum w:abstractNumId="22">
    <w:nsid w:val="10233C99"/>
    <w:multiLevelType w:val="hybridMultilevel"/>
    <w:lvl w:ilvl="0">
      <w:lvlJc w:val="left"/>
      <w:lvlText w:val="%1."/>
      <w:numFmt w:val="decimal"/>
      <w:start w:val="2"/>
    </w:lvl>
  </w:abstractNum>
  <w:abstractNum w:abstractNumId="23">
    <w:nsid w:val="3F6AB60F"/>
    <w:multiLevelType w:val="hybridMultilevel"/>
    <w:lvl w:ilvl="0">
      <w:lvlJc w:val="left"/>
      <w:lvlText w:val="(%1)"/>
      <w:numFmt w:val="decimal"/>
      <w:start w:val="1"/>
    </w:lvl>
  </w:abstractNum>
  <w:abstractNum w:abstractNumId="24">
    <w:nsid w:val="61574095"/>
    <w:multiLevelType w:val="hybridMultilevel"/>
    <w:lvl w:ilvl="0">
      <w:lvlJc w:val="left"/>
      <w:lvlText w:val="(%1)"/>
      <w:numFmt w:val="decimal"/>
      <w:start w:val="1"/>
    </w:lvl>
  </w:abstractNum>
  <w:abstractNum w:abstractNumId="25">
    <w:nsid w:val="7E0C57B1"/>
    <w:multiLevelType w:val="hybridMultilevel"/>
    <w:lvl w:ilvl="0">
      <w:lvlJc w:val="left"/>
      <w:lvlText w:val="%1."/>
      <w:numFmt w:val="decimal"/>
      <w:start w:val="11"/>
    </w:lvl>
  </w:abstractNum>
  <w:abstractNum w:abstractNumId="26">
    <w:nsid w:val="77AE35EB"/>
    <w:multiLevelType w:val="hybridMultilevel"/>
    <w:lvl w:ilvl="0">
      <w:lvlJc w:val="left"/>
      <w:lvlText w:val="(%1)"/>
      <w:numFmt w:val="decimal"/>
      <w:start w:val="1"/>
    </w:lvl>
  </w:abstractNum>
  <w:abstractNum w:abstractNumId="27">
    <w:nsid w:val="579BE4F1"/>
    <w:multiLevelType w:val="hybridMultilevel"/>
    <w:lvl w:ilvl="0">
      <w:lvlJc w:val="left"/>
      <w:lvlText w:val="%1."/>
      <w:numFmt w:val="decimal"/>
      <w:start w:val="12"/>
    </w:lvl>
  </w:abstractNum>
  <w:abstractNum w:abstractNumId="28">
    <w:nsid w:val="310C50B3"/>
    <w:multiLevelType w:val="hybridMultilevel"/>
    <w:lvl w:ilvl="0">
      <w:lvlJc w:val="left"/>
      <w:lvlText w:val="(%1)"/>
      <w:numFmt w:val="decimal"/>
      <w:start w:val="1"/>
    </w:lvl>
  </w:abstractNum>
  <w:abstractNum w:abstractNumId="29">
    <w:nsid w:val="5FF87E05"/>
    <w:multiLevelType w:val="hybridMultilevel"/>
    <w:lvl w:ilvl="0">
      <w:lvlJc w:val="left"/>
      <w:lvlText w:val="(%1)"/>
      <w:numFmt w:val="decimal"/>
      <w:start w:val="1"/>
    </w:lvl>
  </w:abstractNum>
  <w:abstractNum w:abstractNumId="30">
    <w:nsid w:val="2F305DEF"/>
    <w:multiLevelType w:val="hybridMultilevel"/>
    <w:lvl w:ilvl="0">
      <w:lvlJc w:val="left"/>
      <w:lvlText w:val="(%1)"/>
      <w:numFmt w:val="decimal"/>
      <w:start w:val="1"/>
    </w:lvl>
  </w:abstractNum>
  <w:abstractNum w:abstractNumId="31">
    <w:nsid w:val="25A70BF7"/>
    <w:multiLevelType w:val="hybridMultilevel"/>
    <w:lvl w:ilvl="0">
      <w:lvlJc w:val="left"/>
      <w:lvlText w:val="(%1)"/>
      <w:numFmt w:val="decimal"/>
      <w:start w:val="1"/>
    </w:lvl>
  </w:abstractNum>
  <w:abstractNum w:abstractNumId="32">
    <w:nsid w:val="1DBABF00"/>
    <w:multiLevelType w:val="hybridMultilevel"/>
    <w:lvl w:ilvl="0">
      <w:lvlJc w:val="left"/>
      <w:lvlText w:val="%1."/>
      <w:numFmt w:val="decimal"/>
      <w:start w:val="15"/>
    </w:lvl>
  </w:abstractNum>
  <w:abstractNum w:abstractNumId="33">
    <w:nsid w:val="4AD084E9"/>
    <w:multiLevelType w:val="hybridMultilevel"/>
    <w:lvl w:ilvl="0">
      <w:lvlJc w:val="left"/>
      <w:lvlText w:val="(%1)"/>
      <w:numFmt w:val="decimal"/>
      <w:start w:val="1"/>
    </w:lvl>
  </w:abstractNum>
  <w:abstractNum w:abstractNumId="34">
    <w:nsid w:val="1F48EAA1"/>
    <w:multiLevelType w:val="hybridMultilevel"/>
    <w:lvl w:ilvl="0">
      <w:lvlJc w:val="left"/>
      <w:lvlText w:val="*"/>
      <w:numFmt w:val="bullet"/>
      <w:start w:val="1"/>
    </w:lvl>
  </w:abstractNum>
  <w:abstractNum w:abstractNumId="35">
    <w:nsid w:val="1381823A"/>
    <w:multiLevelType w:val="hybridMultilevel"/>
    <w:lvl w:ilvl="0">
      <w:lvlJc w:val="left"/>
      <w:lvlText w:val="%1."/>
      <w:numFmt w:val="decimal"/>
      <w:start w:val="16"/>
    </w:lvl>
  </w:abstractNum>
  <w:abstractNum w:abstractNumId="36">
    <w:nsid w:val="5DB70AE5"/>
    <w:multiLevelType w:val="hybridMultilevel"/>
    <w:lvl w:ilvl="0">
      <w:lvlJc w:val="left"/>
      <w:lvlText w:val="(%1)"/>
      <w:numFmt w:val="decimal"/>
      <w:start w:val="1"/>
    </w:lvl>
  </w:abstractNum>
  <w:abstractNum w:abstractNumId="37">
    <w:nsid w:val="100F8FCA"/>
    <w:multiLevelType w:val="hybridMultilevel"/>
    <w:lvl w:ilvl="0">
      <w:lvlJc w:val="left"/>
      <w:lvlText w:val="%1."/>
      <w:numFmt w:val="decimal"/>
      <w:start w:val="17"/>
    </w:lvl>
  </w:abstractNum>
  <w:abstractNum w:abstractNumId="38">
    <w:nsid w:val="6590700B"/>
    <w:multiLevelType w:val="hybridMultilevel"/>
    <w:lvl w:ilvl="0">
      <w:lvlJc w:val="left"/>
      <w:lvlText w:val="(%1)"/>
      <w:numFmt w:val="decimal"/>
      <w:start w:val="1"/>
    </w:lvl>
  </w:abstractNum>
  <w:abstractNum w:abstractNumId="39">
    <w:nsid w:val="15014ACB"/>
    <w:multiLevelType w:val="hybridMultilevel"/>
    <w:lvl w:ilvl="0">
      <w:lvlJc w:val="left"/>
      <w:lvlText w:val="(%1)"/>
      <w:numFmt w:val="decimal"/>
      <w:start w:val="1"/>
    </w:lvl>
  </w:abstractNum>
  <w:abstractNum w:abstractNumId="40">
    <w:nsid w:val="5F5E7FD0"/>
    <w:multiLevelType w:val="hybridMultilevel"/>
    <w:lvl w:ilvl="0">
      <w:lvlJc w:val="left"/>
      <w:lvlText w:val="(%1)"/>
      <w:numFmt w:val="decimal"/>
      <w:start w:val="1"/>
    </w:lvl>
  </w:abstractNum>
  <w:abstractNum w:abstractNumId="41">
    <w:nsid w:val="98A3148"/>
    <w:multiLevelType w:val="hybridMultilevel"/>
    <w:lvl w:ilvl="0">
      <w:lvlJc w:val="left"/>
      <w:lvlText w:val="%1."/>
      <w:numFmt w:val="decimal"/>
      <w:start w:val="20"/>
    </w:lvl>
  </w:abstractNum>
  <w:abstractNum w:abstractNumId="42">
    <w:nsid w:val="799D0247"/>
    <w:multiLevelType w:val="hybridMultilevel"/>
    <w:lvl w:ilvl="0">
      <w:lvlJc w:val="left"/>
      <w:lvlText w:val="•"/>
      <w:numFmt w:val="bullet"/>
      <w:start w:val="1"/>
    </w:lvl>
  </w:abstractNum>
  <w:abstractNum w:abstractNumId="43">
    <w:nsid w:val="6B94764"/>
    <w:multiLevelType w:val="hybridMultilevel"/>
    <w:lvl w:ilvl="0">
      <w:lvlJc w:val="left"/>
      <w:lvlText w:val="(%1)"/>
      <w:numFmt w:val="decimal"/>
      <w:start w:val="1"/>
    </w:lvl>
  </w:abstractNum>
  <w:abstractNum w:abstractNumId="44">
    <w:nsid w:val="42C296BD"/>
    <w:multiLevelType w:val="hybridMultilevel"/>
    <w:lvl w:ilvl="0">
      <w:lvlJc w:val="left"/>
      <w:lvlText w:val="(%1)"/>
      <w:numFmt w:val="decimal"/>
      <w:start w:val="1"/>
    </w:lvl>
  </w:abstractNum>
  <w:abstractNum w:abstractNumId="45">
    <w:nsid w:val="168E121F"/>
    <w:multiLevelType w:val="hybridMultilevel"/>
    <w:lvl w:ilvl="0">
      <w:lvlJc w:val="left"/>
      <w:lvlText w:val="(%1)"/>
      <w:numFmt w:val="decimal"/>
      <w:start w:val="1"/>
    </w:lvl>
  </w:abstractNum>
  <w:abstractNum w:abstractNumId="46">
    <w:nsid w:val="1EBA5D23"/>
    <w:multiLevelType w:val="hybridMultilevel"/>
    <w:lvl w:ilvl="0">
      <w:lvlJc w:val="left"/>
      <w:lvlText w:val="%1."/>
      <w:numFmt w:val="decimal"/>
      <w:start w:val="22"/>
    </w:lvl>
  </w:abstractNum>
  <w:abstractNum w:abstractNumId="47">
    <w:nsid w:val="661E3F1E"/>
    <w:multiLevelType w:val="hybridMultilevel"/>
    <w:lvl w:ilvl="0">
      <w:lvlJc w:val="left"/>
      <w:lvlText w:val="(%1)"/>
      <w:numFmt w:val="decimal"/>
      <w:start w:val="1"/>
    </w:lvl>
  </w:abstractNum>
  <w:abstractNum w:abstractNumId="48">
    <w:nsid w:val="5DC79EA8"/>
    <w:multiLevelType w:val="hybridMultilevel"/>
    <w:lvl w:ilvl="0">
      <w:lvlJc w:val="left"/>
      <w:lvlText w:val="%1."/>
      <w:numFmt w:val="decimal"/>
      <w:start w:val="101"/>
    </w:lvl>
  </w:abstractNum>
  <w:abstractNum w:abstractNumId="49">
    <w:nsid w:val="540A471C"/>
    <w:multiLevelType w:val="hybridMultilevel"/>
    <w:lvl w:ilvl="0">
      <w:lvlJc w:val="left"/>
      <w:lvlText w:val="*"/>
      <w:numFmt w:val="bullet"/>
      <w:start w:val="1"/>
    </w:lvl>
  </w:abstractNum>
  <w:abstractNum w:abstractNumId="50">
    <w:nsid w:val="7BD3EE7B"/>
    <w:multiLevelType w:val="hybridMultilevel"/>
    <w:lvl w:ilvl="0">
      <w:lvlJc w:val="left"/>
      <w:lvlText w:val="%1."/>
      <w:numFmt w:val="decimal"/>
      <w:start w:val="1"/>
    </w:lvl>
  </w:abstractNum>
  <w:abstractNum w:abstractNumId="51">
    <w:nsid w:val="51D9C56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lowerLetter"/>
      <w:start w:val="35"/>
    </w:lvl>
  </w:abstractNum>
  <w:abstractNum w:abstractNumId="52">
    <w:nsid w:val="613EFDC5"/>
    <w:multiLevelType w:val="hybridMultilevel"/>
    <w:lvl w:ilvl="0">
      <w:lvlJc w:val="left"/>
      <w:lvlText w:val="(%1)"/>
      <w:numFmt w:val="lowerRoman"/>
      <w:start w:val="3"/>
    </w:lvl>
  </w:abstractNum>
  <w:abstractNum w:abstractNumId="53">
    <w:nsid w:val="BF72B14"/>
    <w:multiLevelType w:val="hybridMultilevel"/>
    <w:lvl w:ilvl="0">
      <w:lvlJc w:val="left"/>
      <w:lvlText w:val="(%1)"/>
      <w:numFmt w:val="lowerLetter"/>
      <w:start w:val="10"/>
    </w:lvl>
  </w:abstractNum>
  <w:abstractNum w:abstractNumId="54">
    <w:nsid w:val="11447B73"/>
    <w:multiLevelType w:val="hybridMultilevel"/>
    <w:lvl w:ilvl="0">
      <w:lvlJc w:val="left"/>
      <w:lvlText w:val="(%1)"/>
      <w:numFmt w:val="lowerLetter"/>
      <w:start w:val="27"/>
    </w:lvl>
  </w:abstractNum>
  <w:abstractNum w:abstractNumId="55">
    <w:nsid w:val="42963E5A"/>
    <w:multiLevelType w:val="hybridMultilevel"/>
    <w:lvl w:ilvl="0">
      <w:lvlJc w:val="left"/>
      <w:lvlText w:val="%1"/>
      <w:numFmt w:val="decimal"/>
      <w:start w:val="1"/>
    </w:lvl>
    <w:lvl w:ilvl="1">
      <w:lvlJc w:val="left"/>
      <w:lvlText w:val="(%2)"/>
      <w:numFmt w:val="lowerLetter"/>
      <w:start w:val="30"/>
    </w:lvl>
  </w:abstractNum>
  <w:abstractNum w:abstractNumId="56">
    <w:nsid w:val="A0382C5"/>
    <w:multiLevelType w:val="hybridMultilevel"/>
    <w:lvl w:ilvl="0">
      <w:lvlJc w:val="left"/>
      <w:lvlText w:val="%1."/>
      <w:numFmt w:val="decimal"/>
      <w:start w:val="3"/>
    </w:lvl>
    <w:lvl w:ilvl="1">
      <w:lvlJc w:val="left"/>
      <w:lvlText w:val="%2"/>
      <w:numFmt w:val="lowerLetter"/>
      <w:start w:val="1"/>
    </w:lvl>
  </w:abstractNum>
  <w:abstractNum w:abstractNumId="57">
    <w:nsid w:val="8F2B15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8">
    <w:nsid w:val="1A32234B"/>
    <w:multiLevelType w:val="hybridMultilevel"/>
    <w:lvl w:ilvl="0">
      <w:lvlJc w:val="left"/>
      <w:lvlText w:val="%1."/>
      <w:numFmt w:val="decimal"/>
      <w:start w:val="5"/>
    </w:lvl>
  </w:abstractNum>
  <w:abstractNum w:abstractNumId="59">
    <w:nsid w:val="3B0FD379"/>
    <w:multiLevelType w:val="hybridMultilevel"/>
    <w:lvl w:ilvl="0">
      <w:lvlJc w:val="left"/>
      <w:lvlText w:val="%1"/>
      <w:numFmt w:val="decimal"/>
      <w:start w:val="1"/>
    </w:lvl>
    <w:lvl w:ilvl="1">
      <w:lvlJc w:val="left"/>
      <w:lvlText w:val="(%2)"/>
      <w:numFmt w:val="lowerLetter"/>
      <w:start w:val="1"/>
    </w:lvl>
  </w:abstractNum>
  <w:abstractNum w:abstractNumId="60">
    <w:nsid w:val="68EB2F63"/>
    <w:multiLevelType w:val="hybridMultilevel"/>
    <w:lvl w:ilvl="0">
      <w:lvlJc w:val="left"/>
      <w:lvlText w:val="%1."/>
      <w:numFmt w:val="decimal"/>
      <w:start w:val="6"/>
    </w:lvl>
    <w:lvl w:ilvl="1">
      <w:lvlJc w:val="left"/>
      <w:lvlText w:val="%2"/>
      <w:numFmt w:val="lowerLetter"/>
      <w:start w:val="1"/>
    </w:lvl>
  </w:abstractNum>
  <w:abstractNum w:abstractNumId="61">
    <w:nsid w:val="4962813B"/>
    <w:multiLevelType w:val="hybridMultilevel"/>
    <w:lvl w:ilvl="0">
      <w:lvlJc w:val="left"/>
      <w:lvlText w:val="%1."/>
      <w:numFmt w:val="decimal"/>
      <w:start w:val="7"/>
    </w:lvl>
  </w:abstractNum>
  <w:abstractNum w:abstractNumId="62">
    <w:nsid w:val="60B6DF70"/>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abstractNum w:abstractNumId="63">
    <w:nsid w:val="6A5EE64"/>
    <w:multiLevelType w:val="hybridMultilevel"/>
    <w:lvl w:ilvl="0">
      <w:lvlJc w:val="left"/>
      <w:lvlText w:val="(%1)"/>
      <w:numFmt w:val="lowerLetter"/>
      <w:start w:val="6"/>
    </w:lvl>
  </w:abstractNum>
  <w:abstractNum w:abstractNumId="64">
    <w:nsid w:val="14330624"/>
    <w:multiLevelType w:val="hybridMultilevel"/>
    <w:lvl w:ilvl="0">
      <w:lvlJc w:val="left"/>
      <w:lvlText w:val="%1."/>
      <w:numFmt w:val="decimal"/>
      <w:start w:val="8"/>
    </w:lvl>
  </w:abstractNum>
  <w:abstractNum w:abstractNumId="65">
    <w:nsid w:val="7FFFCA11"/>
    <w:multiLevelType w:val="hybridMultilevel"/>
    <w:lvl w:ilvl="0">
      <w:lvlJc w:val="left"/>
      <w:lvlText w:val="%1"/>
      <w:numFmt w:val="lowerLetter"/>
      <w:start w:val="1"/>
    </w:lvl>
    <w:lvl w:ilvl="1">
      <w:lvlJc w:val="left"/>
      <w:lvlText w:val="(%2)"/>
      <w:numFmt w:val="lowerLetter"/>
      <w:start w:val="1"/>
    </w:lvl>
  </w:abstractNum>
  <w:abstractNum w:abstractNumId="66">
    <w:nsid w:val="1A27709E"/>
    <w:multiLevelType w:val="hybridMultilevel"/>
    <w:lvl w:ilvl="0">
      <w:lvlJc w:val="left"/>
      <w:lvlText w:val="(%1)"/>
      <w:numFmt w:val="lowerLetter"/>
      <w:start w:val="9"/>
    </w:lvl>
    <w:lvl w:ilvl="1">
      <w:lvlJc w:val="left"/>
      <w:lvlText w:val="(%2)"/>
      <w:numFmt w:val="lowerLetter"/>
      <w:start w:val="3"/>
    </w:lvl>
  </w:abstractNum>
  <w:abstractNum w:abstractNumId="67">
    <w:nsid w:val="71EA1109"/>
    <w:multiLevelType w:val="hybridMultilevel"/>
    <w:lvl w:ilvl="0">
      <w:lvlJc w:val="left"/>
      <w:lvlText w:val="%1"/>
      <w:numFmt w:val="decimal"/>
      <w:start w:val="1"/>
    </w:lvl>
    <w:lvl w:ilvl="1">
      <w:lvlJc w:val="left"/>
      <w:lvlText w:val="(%2)"/>
      <w:numFmt w:val="lowerLetter"/>
      <w:start w:val="6"/>
    </w:lvl>
  </w:abstractNum>
  <w:abstractNum w:abstractNumId="68">
    <w:nsid w:val="100F59DC"/>
    <w:multiLevelType w:val="hybridMultilevel"/>
    <w:lvl w:ilvl="0">
      <w:lvlJc w:val="left"/>
      <w:lvlText w:val="%1."/>
      <w:numFmt w:val="decimal"/>
      <w:start w:val="9"/>
    </w:lvl>
    <w:lvl w:ilvl="1">
      <w:lvlJc w:val="left"/>
      <w:lvlText w:val="(%2)"/>
      <w:numFmt w:val="lowerLetter"/>
      <w:start w:val="1"/>
    </w:lvl>
  </w:abstractNum>
  <w:abstractNum w:abstractNumId="69">
    <w:nsid w:val="7FB7E0AA"/>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70">
    <w:nsid w:val="6EB5BD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71">
    <w:nsid w:val="6F6DD9AC"/>
    <w:multiLevelType w:val="hybridMultilevel"/>
    <w:lvl w:ilvl="0">
      <w:lvlJc w:val="left"/>
      <w:lvlText w:val="%1."/>
      <w:numFmt w:val="decimal"/>
      <w:start w:val="10"/>
    </w:lvl>
    <w:lvl w:ilvl="1">
      <w:lvlJc w:val="left"/>
      <w:lvlText w:val="(%2)"/>
      <w:numFmt w:val="lowerLetter"/>
      <w:start w:val="1"/>
    </w:lvl>
  </w:abstractNum>
  <w:abstractNum w:abstractNumId="72">
    <w:nsid w:val="94211F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3">
    <w:nsid w:val="885E1B"/>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74">
    <w:nsid w:val="7627211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5">
    <w:nsid w:val="4C04A8AF"/>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76">
    <w:nsid w:val="1716703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7">
    <w:nsid w:val="14E17E33"/>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78">
    <w:nsid w:val="3222E7CD"/>
    <w:multiLevelType w:val="hybridMultilevel"/>
    <w:lvl w:ilvl="0">
      <w:lvlJc w:val="left"/>
      <w:lvlText w:val="%1."/>
      <w:numFmt w:val="decimal"/>
      <w:start w:val="14"/>
    </w:lvl>
    <w:lvl w:ilvl="1">
      <w:lvlJc w:val="left"/>
      <w:lvlText w:val="(%2)"/>
      <w:numFmt w:val="lowerLetter"/>
      <w:start w:val="1"/>
    </w:lvl>
  </w:abstractNum>
  <w:abstractNum w:abstractNumId="79">
    <w:nsid w:val="74DE0EE3"/>
    <w:multiLevelType w:val="hybridMultilevel"/>
    <w:lvl w:ilvl="0">
      <w:lvlJc w:val="left"/>
      <w:lvlText w:val="(%1)"/>
      <w:numFmt w:val="lowerLetter"/>
      <w:start w:val="2"/>
    </w:lvl>
  </w:abstractNum>
  <w:abstractNum w:abstractNumId="80">
    <w:nsid w:val="68EBC550"/>
    <w:multiLevelType w:val="hybridMultilevel"/>
    <w:lvl w:ilvl="0">
      <w:lvlJc w:val="left"/>
      <w:lvlText w:val="%1"/>
      <w:numFmt w:val="decimal"/>
      <w:start w:val="1"/>
    </w:lvl>
    <w:lvl w:ilvl="1">
      <w:lvlJc w:val="left"/>
      <w:lvlText w:val="(%2)"/>
      <w:numFmt w:val="lowerLetter"/>
      <w:start w:val="3"/>
    </w:lvl>
  </w:abstractNum>
  <w:abstractNum w:abstractNumId="81">
    <w:nsid w:val="2DF6D648"/>
    <w:multiLevelType w:val="hybridMultilevel"/>
    <w:lvl w:ilvl="0">
      <w:lvlJc w:val="left"/>
      <w:lvlText w:val="%1."/>
      <w:numFmt w:val="decimal"/>
      <w:start w:val="16"/>
    </w:lvl>
    <w:lvl w:ilvl="1">
      <w:lvlJc w:val="left"/>
      <w:lvlText w:val="%2"/>
      <w:numFmt w:val="lowerLetter"/>
      <w:start w:val="1"/>
    </w:lvl>
  </w:abstractNum>
  <w:abstractNum w:abstractNumId="82">
    <w:nsid w:val="46B7D447"/>
    <w:multiLevelType w:val="hybridMultilevel"/>
    <w:lvl w:ilvl="0">
      <w:lvlJc w:val="left"/>
      <w:lvlText w:val="(%1)"/>
      <w:numFmt w:val="lowerLetter"/>
      <w:start w:val="1"/>
    </w:lvl>
  </w:abstractNum>
  <w:abstractNum w:abstractNumId="83">
    <w:nsid w:val="4A2AC315"/>
    <w:multiLevelType w:val="hybridMultilevel"/>
    <w:lvl w:ilvl="0">
      <w:lvlJc w:val="left"/>
      <w:lvlText w:val="%1."/>
      <w:numFmt w:val="decimal"/>
      <w:start w:val="17"/>
    </w:lvl>
  </w:abstractNum>
  <w:abstractNum w:abstractNumId="84">
    <w:nsid w:val="39EE015C"/>
    <w:multiLevelType w:val="hybridMultilevel"/>
    <w:lvl w:ilvl="0">
      <w:lvlJc w:val="left"/>
      <w:lvlText w:val="%1"/>
      <w:numFmt w:val="lowerLetter"/>
      <w:start w:val="1"/>
    </w:lvl>
    <w:lvl w:ilvl="1">
      <w:lvlJc w:val="left"/>
      <w:lvlText w:val="(%2)"/>
      <w:numFmt w:val="lowerLetter"/>
      <w:start w:val="1"/>
    </w:lvl>
  </w:abstractNum>
  <w:abstractNum w:abstractNumId="85">
    <w:nsid w:val="57FC4FBB"/>
    <w:multiLevelType w:val="hybridMultilevel"/>
    <w:lvl w:ilvl="0">
      <w:lvlJc w:val="left"/>
      <w:lvlText w:val="(%1)"/>
      <w:numFmt w:val="lowerLetter"/>
      <w:start w:val="35"/>
    </w:lvl>
    <w:lvl w:ilvl="1">
      <w:lvlJc w:val="left"/>
      <w:lvlText w:val="(%2)"/>
      <w:numFmt w:val="lowerLetter"/>
      <w:start w:val="2"/>
    </w:lvl>
  </w:abstractNum>
  <w:abstractNum w:abstractNumId="86">
    <w:nsid w:val="CC1016F"/>
    <w:multiLevelType w:val="hybridMultilevel"/>
    <w:lvl w:ilvl="0">
      <w:lvlJc w:val="left"/>
      <w:lvlText w:val="%1."/>
      <w:numFmt w:val="decimal"/>
      <w:start w:val="18"/>
    </w:lvl>
  </w:abstractNum>
  <w:abstractNum w:abstractNumId="87">
    <w:nsid w:val="43F18422"/>
    <w:multiLevelType w:val="hybridMultilevel"/>
    <w:lvl w:ilvl="0">
      <w:lvlJc w:val="left"/>
      <w:lvlText w:val="%1."/>
      <w:numFmt w:val="decimal"/>
      <w:start w:val="19"/>
    </w:lvl>
  </w:abstractNum>
  <w:abstractNum w:abstractNumId="88">
    <w:nsid w:val="60EF0119"/>
    <w:multiLevelType w:val="hybridMultilevel"/>
    <w:lvl w:ilvl="0">
      <w:lvlJc w:val="left"/>
      <w:lvlText w:val="%1."/>
      <w:numFmt w:val="decimal"/>
      <w:start w:val="20"/>
    </w:lvl>
    <w:lvl w:ilvl="1">
      <w:lvlJc w:val="left"/>
      <w:lvlText w:val="(%2)"/>
      <w:numFmt w:val="lowerLetter"/>
      <w:start w:val="1"/>
    </w:lvl>
  </w:abstractNum>
  <w:abstractNum w:abstractNumId="89">
    <w:nsid w:val="26F324BA"/>
    <w:multiLevelType w:val="hybridMultilevel"/>
    <w:lvl w:ilvl="0">
      <w:lvlJc w:val="left"/>
      <w:lvlText w:val="%1."/>
      <w:numFmt w:val="decimal"/>
      <w:start w:val="22"/>
    </w:lvl>
  </w:abstractNum>
  <w:abstractNum w:abstractNumId="90">
    <w:nsid w:val="7F01579B"/>
    <w:multiLevelType w:val="hybridMultilevel"/>
    <w:lvl w:ilvl="0">
      <w:lvlJc w:val="left"/>
      <w:lvlText w:val="(%1)"/>
      <w:numFmt w:val="lowerLetter"/>
      <w:start w:val="1"/>
    </w:lvl>
  </w:abstractNum>
  <w:abstractNum w:abstractNumId="91">
    <w:nsid w:val="49DA307D"/>
    <w:multiLevelType w:val="hybridMultilevel"/>
    <w:lvl w:ilvl="0">
      <w:lvlJc w:val="left"/>
      <w:lvlText w:val="%1."/>
      <w:numFmt w:val="decimal"/>
      <w:start w:val="23"/>
    </w:lvl>
  </w:abstractNum>
  <w:abstractNum w:abstractNumId="92">
    <w:nsid w:val="7055A5F5"/>
    <w:multiLevelType w:val="hybridMultilevel"/>
    <w:lvl w:ilvl="0">
      <w:lvlJc w:val="left"/>
      <w:lvlText w:val="%1."/>
      <w:numFmt w:val="decimal"/>
      <w:start w:val="24"/>
    </w:lvl>
  </w:abstractNum>
  <w:abstractNum w:abstractNumId="93">
    <w:nsid w:val="5FB8370B"/>
    <w:multiLevelType w:val="hybridMultilevel"/>
    <w:lvl w:ilvl="0">
      <w:lvlJc w:val="left"/>
      <w:lvlText w:val="%1."/>
      <w:numFmt w:val="decimal"/>
      <w:start w:val="25"/>
    </w:lvl>
  </w:abstractNum>
  <w:abstractNum w:abstractNumId="94">
    <w:nsid w:val="50801EE1"/>
    <w:multiLevelType w:val="hybridMultilevel"/>
    <w:lvl w:ilvl="0">
      <w:lvlJc w:val="left"/>
      <w:lvlText w:val="%1."/>
      <w:numFmt w:val="decimal"/>
      <w:start w:val="26"/>
    </w:lvl>
    <w:lvl w:ilvl="1">
      <w:lvlJc w:val="left"/>
      <w:lvlText w:val="(%2)"/>
      <w:numFmt w:val="lowerLetter"/>
      <w:start w:val="1"/>
    </w:lvl>
  </w:abstractNum>
  <w:abstractNum w:abstractNumId="95">
    <w:nsid w:val="488AC1A"/>
    <w:multiLevelType w:val="hybridMultilevel"/>
    <w:lvl w:ilvl="0">
      <w:lvlJc w:val="left"/>
      <w:lvlText w:val="%1."/>
      <w:numFmt w:val="decimal"/>
      <w:start w:val="28"/>
    </w:lvl>
  </w:abstractNum>
  <w:abstractNum w:abstractNumId="96">
    <w:nsid w:val="5FB8011C"/>
    <w:multiLevelType w:val="hybridMultilevel"/>
    <w:lvl w:ilvl="0">
      <w:lvlJc w:val="left"/>
      <w:lvlText w:val="%1."/>
      <w:numFmt w:val="decimal"/>
      <w:start w:val="1"/>
    </w:lvl>
    <w:lvl w:ilvl="1">
      <w:lvlJc w:val="left"/>
      <w:lvlText w:val="%2)"/>
      <w:numFmt w:val="lowerLetter"/>
      <w:start w:val="1"/>
    </w:lvl>
  </w:abstractNum>
  <w:abstractNum w:abstractNumId="97">
    <w:nsid w:val="6AA78F7F"/>
    <w:multiLevelType w:val="hybridMultilevel"/>
    <w:lvl w:ilvl="0">
      <w:lvlJc w:val="left"/>
      <w:lvlText w:val="%1."/>
      <w:numFmt w:val="decimal"/>
      <w:start w:val="1"/>
    </w:lvl>
    <w:lvl w:ilvl="1">
      <w:lvlJc w:val="left"/>
      <w:lvlText w:val="%2)"/>
      <w:numFmt w:val="lowerLetter"/>
      <w:start w:val="1"/>
    </w:lvl>
  </w:abstractNum>
  <w:abstractNum w:abstractNumId="98">
    <w:nsid w:val="7672B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2019-12-29T09:05:46Z</dcterms:created>
  <dcterms:modified xsi:type="dcterms:W3CDTF">2019-12-29T09:05:46Z</dcterms:modified>
</cp:coreProperties>
</file>