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6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63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639"/>
        <w:spacing w:after="0"/>
        <w:rPr>
          <w:sz w:val="20"/>
          <w:szCs w:val="20"/>
          <w:color w:val="auto"/>
        </w:rPr>
      </w:pPr>
      <w:r>
        <w:rPr>
          <w:rFonts w:ascii="Arial" w:cs="Arial" w:eastAsia="Arial" w:hAnsi="Arial"/>
          <w:sz w:val="22"/>
          <w:szCs w:val="22"/>
          <w:b w:val="1"/>
          <w:bCs w:val="1"/>
          <w:color w:val="auto"/>
        </w:rPr>
        <w:t>SCHEDULE 13D</w:t>
      </w:r>
    </w:p>
    <w:p>
      <w:pPr>
        <w:spacing w:after="0" w:line="229"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(Amendment No. 1)*</w:t>
      </w:r>
    </w:p>
    <w:p>
      <w:pPr>
        <w:spacing w:after="0" w:line="234"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ABM INDUSTRIES INCORPORATED</w:t>
      </w:r>
    </w:p>
    <w:p>
      <w:pPr>
        <w:spacing w:after="0" w:line="54"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40"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000957100</w:t>
      </w:r>
    </w:p>
    <w:p>
      <w:pPr>
        <w:spacing w:after="0" w:line="54"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Lord Michael A. Ashcroft</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4 Marine Parade</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Belize City, Belize</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Tel: 501-227-6525</w:t>
      </w:r>
    </w:p>
    <w:p>
      <w:pPr>
        <w:spacing w:after="0" w:line="20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With a Copy to:</w:t>
      </w:r>
    </w:p>
    <w:p>
      <w:pPr>
        <w:spacing w:after="0" w:line="225"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Eric Shube</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Allen &amp; Overy LLP</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1221 Avenue of the Americas</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New York, New York 10020</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Tel: +1 212 610 6300</w:t>
      </w:r>
    </w:p>
    <w:p>
      <w:pPr>
        <w:spacing w:after="0" w:line="35"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Authorized to Receive Notices and Communications)</w:t>
      </w:r>
    </w:p>
    <w:p>
      <w:pPr>
        <w:spacing w:after="0" w:line="234"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October 16, 2013</w:t>
      </w:r>
    </w:p>
    <w:p>
      <w:pPr>
        <w:spacing w:after="0" w:line="40"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ind w:left="600"/>
        <w:spacing w:after="0" w:line="308" w:lineRule="auto"/>
        <w:rPr>
          <w:sz w:val="20"/>
          <w:szCs w:val="20"/>
          <w:color w:val="auto"/>
        </w:rPr>
      </w:pPr>
      <w:r>
        <w:rPr>
          <w:rFonts w:ascii="Arial" w:cs="Arial" w:eastAsia="Arial" w:hAnsi="Arial"/>
          <w:sz w:val="17"/>
          <w:szCs w:val="17"/>
          <w:color w:val="auto"/>
        </w:rPr>
        <w:t>If the filing person has previously filed a statement on Schedule 13G to report the acquisition that is the subject of this Schedule 13D, and is filing this schedule because of Sections 240.13d-1(e), 240.13d-1(f) or 240.13d-1(g), check the following box. o</w:t>
      </w:r>
    </w:p>
    <w:p>
      <w:pPr>
        <w:spacing w:after="0" w:line="21" w:lineRule="exact"/>
        <w:rPr>
          <w:sz w:val="24"/>
          <w:szCs w:val="24"/>
          <w:color w:val="auto"/>
        </w:rPr>
      </w:pPr>
    </w:p>
    <w:p>
      <w:pPr>
        <w:ind w:left="600" w:right="8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w:t>
      </w:r>
      <w:r>
        <w:rPr>
          <w:rFonts w:ascii="Arial" w:cs="Arial" w:eastAsia="Arial" w:hAnsi="Arial"/>
          <w:sz w:val="18"/>
          <w:szCs w:val="18"/>
          <w:b w:val="1"/>
          <w:bCs w:val="1"/>
          <w:color w:val="auto"/>
        </w:rPr>
        <w:t xml:space="preserve"> </w:t>
      </w:r>
      <w:r>
        <w:rPr>
          <w:rFonts w:ascii="Arial" w:cs="Arial" w:eastAsia="Arial" w:hAnsi="Arial"/>
          <w:sz w:val="18"/>
          <w:szCs w:val="18"/>
          <w:color w:val="auto"/>
        </w:rPr>
        <w:t>for other parties to whom copies are to be sent.</w:t>
      </w:r>
    </w:p>
    <w:p>
      <w:pPr>
        <w:spacing w:after="0" w:line="44" w:lineRule="exact"/>
        <w:rPr>
          <w:sz w:val="24"/>
          <w:szCs w:val="24"/>
          <w:color w:val="auto"/>
        </w:rPr>
      </w:pPr>
    </w:p>
    <w:p>
      <w:pPr>
        <w:ind w:left="600" w:right="240" w:hanging="4"/>
        <w:spacing w:after="0" w:line="267" w:lineRule="auto"/>
        <w:tabs>
          <w:tab w:leader="none" w:pos="700" w:val="left"/>
        </w:tabs>
        <w:numPr>
          <w:ilvl w:val="0"/>
          <w:numId w:val="1"/>
        </w:numPr>
        <w:rPr>
          <w:rFonts w:ascii="Arial" w:cs="Arial" w:eastAsia="Arial" w:hAnsi="Arial"/>
          <w:sz w:val="21"/>
          <w:szCs w:val="21"/>
          <w:color w:val="auto"/>
          <w:vertAlign w:val="superscript"/>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40" w:lineRule="exact"/>
        <w:rPr>
          <w:sz w:val="24"/>
          <w:szCs w:val="24"/>
          <w:color w:val="auto"/>
        </w:rPr>
      </w:pPr>
    </w:p>
    <w:p>
      <w:pPr>
        <w:ind w:left="600" w:right="38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purposes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207645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CUSIP No.  000957100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92075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both"/>
        <w:ind w:left="1040" w:right="7720" w:hanging="646"/>
        <w:spacing w:after="0" w:line="342" w:lineRule="auto"/>
        <w:tabs>
          <w:tab w:leader="none" w:pos="10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 of Reporting Person Lord Michael A. Ashcroft</w:t>
      </w:r>
    </w:p>
    <w:p>
      <w:pPr>
        <w:spacing w:after="0" w:line="200" w:lineRule="exact"/>
        <w:rPr>
          <w:rFonts w:ascii="Arial" w:cs="Arial" w:eastAsia="Arial" w:hAnsi="Arial"/>
          <w:sz w:val="16"/>
          <w:szCs w:val="16"/>
          <w:color w:val="auto"/>
        </w:rPr>
      </w:pPr>
    </w:p>
    <w:p>
      <w:pPr>
        <w:spacing w:after="0" w:line="396" w:lineRule="exact"/>
        <w:rPr>
          <w:rFonts w:ascii="Arial" w:cs="Arial" w:eastAsia="Arial" w:hAnsi="Arial"/>
          <w:sz w:val="16"/>
          <w:szCs w:val="16"/>
          <w:color w:val="auto"/>
        </w:rPr>
      </w:pPr>
    </w:p>
    <w:p>
      <w:pPr>
        <w:ind w:left="1040" w:hanging="646"/>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65" w:lineRule="exact"/>
        <w:rPr>
          <w:rFonts w:ascii="Arial" w:cs="Arial" w:eastAsia="Arial" w:hAnsi="Arial"/>
          <w:sz w:val="18"/>
          <w:szCs w:val="18"/>
          <w:color w:val="auto"/>
        </w:rPr>
      </w:pPr>
    </w:p>
    <w:p>
      <w:pPr>
        <w:ind w:left="2100" w:hanging="1058"/>
        <w:spacing w:after="0"/>
        <w:tabs>
          <w:tab w:leader="none" w:pos="210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98" w:lineRule="exact"/>
        <w:rPr>
          <w:rFonts w:ascii="Arial" w:cs="Arial" w:eastAsia="Arial" w:hAnsi="Arial"/>
          <w:sz w:val="18"/>
          <w:szCs w:val="18"/>
          <w:color w:val="auto"/>
        </w:rPr>
      </w:pPr>
    </w:p>
    <w:p>
      <w:pPr>
        <w:ind w:left="2100" w:hanging="1058"/>
        <w:spacing w:after="0"/>
        <w:tabs>
          <w:tab w:leader="none" w:pos="210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1040" w:hanging="646"/>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627380</wp:posOffset>
            </wp:positionH>
            <wp:positionV relativeFrom="paragraph">
              <wp:posOffset>92075</wp:posOffset>
            </wp:positionV>
            <wp:extent cx="65862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1270635</wp:posOffset>
            </wp:positionH>
            <wp:positionV relativeFrom="paragraph">
              <wp:posOffset>-481965</wp:posOffset>
            </wp:positionV>
            <wp:extent cx="59429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1270635</wp:posOffset>
            </wp:positionH>
            <wp:positionV relativeFrom="paragraph">
              <wp:posOffset>-739140</wp:posOffset>
            </wp:positionV>
            <wp:extent cx="59429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-1562735</wp:posOffset>
            </wp:positionV>
            <wp:extent cx="65862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0680"/>
          </w:cols>
          <w:pgMar w:left="300" w:top="436" w:right="919" w:bottom="410" w:gutter="0" w:footer="0" w:header="0"/>
        </w:sectPr>
      </w:pPr>
    </w:p>
    <w:bookmarkStart w:id="1" w:name="page2"/>
    <w:bookmarkEnd w:id="1"/>
    <w:p>
      <w:pPr>
        <w:ind w:left="1040" w:right="7820" w:hanging="646"/>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Source of Funds (See Instructions)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57150</wp:posOffset>
            </wp:positionV>
            <wp:extent cx="65862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0"/>
        <w:spacing w:after="0"/>
        <w:tabs>
          <w:tab w:leader="none" w:pos="1020" w:val="left"/>
          <w:tab w:leader="none" w:pos="7660" w:val="left"/>
        </w:tabs>
        <w:rPr>
          <w:sz w:val="20"/>
          <w:szCs w:val="20"/>
          <w:color w:val="auto"/>
        </w:rPr>
      </w:pPr>
      <w:r>
        <w:rPr>
          <w:rFonts w:ascii="Arial" w:cs="Arial" w:eastAsia="Arial" w:hAnsi="Arial"/>
          <w:sz w:val="17"/>
          <w:szCs w:val="17"/>
          <w:color w:val="auto"/>
        </w:rPr>
        <w:t>5.</w:t>
      </w:r>
      <w:r>
        <w:rPr>
          <w:sz w:val="20"/>
          <w:szCs w:val="20"/>
          <w:color w:val="auto"/>
        </w:rPr>
        <w:tab/>
      </w:r>
      <w:r>
        <w:rPr>
          <w:rFonts w:ascii="Arial" w:cs="Arial" w:eastAsia="Arial" w:hAnsi="Arial"/>
          <w:sz w:val="17"/>
          <w:szCs w:val="17"/>
          <w:color w:val="auto"/>
        </w:rPr>
        <w:t>Check Box if Disclosure of Legal Proceedings Is Required Pursuant to Items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99060</wp:posOffset>
            </wp:positionV>
            <wp:extent cx="65862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040" w:right="7700" w:hanging="646"/>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Belize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1980" w:right="8040" w:hanging="506"/>
        <w:spacing w:after="0" w:line="308" w:lineRule="auto"/>
        <w:tabs>
          <w:tab w:leader="none" w:pos="1980" w:val="left"/>
        </w:tabs>
        <w:numPr>
          <w:ilvl w:val="1"/>
          <w:numId w:val="4"/>
        </w:numPr>
        <w:rPr>
          <w:rFonts w:ascii="Arial" w:cs="Arial" w:eastAsia="Arial" w:hAnsi="Arial"/>
          <w:sz w:val="17"/>
          <w:szCs w:val="17"/>
          <w:color w:val="auto"/>
        </w:rPr>
      </w:pPr>
      <w:r>
        <w:rPr>
          <w:rFonts w:ascii="Arial" w:cs="Arial" w:eastAsia="Arial" w:hAnsi="Arial"/>
          <w:sz w:val="17"/>
          <w:szCs w:val="17"/>
          <w:color w:val="auto"/>
        </w:rPr>
        <w:t>Sole Voting Power 2,909,842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1219200</wp:posOffset>
            </wp:positionH>
            <wp:positionV relativeFrom="paragraph">
              <wp:posOffset>41910</wp:posOffset>
            </wp:positionV>
            <wp:extent cx="59944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-669290</wp:posOffset>
            </wp:positionV>
            <wp:extent cx="65862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Number of</w:t>
            </w:r>
          </w:p>
        </w:tc>
        <w:tc>
          <w:tcPr>
            <w:tcW w:w="740" w:type="dxa"/>
            <w:vAlign w:val="bottom"/>
          </w:tcPr>
          <w:p>
            <w:pPr>
              <w:jc w:val="right"/>
              <w:ind w:right="230"/>
              <w:spacing w:after="0"/>
              <w:rPr>
                <w:sz w:val="20"/>
                <w:szCs w:val="20"/>
                <w:color w:val="auto"/>
              </w:rPr>
            </w:pPr>
            <w:r>
              <w:rPr>
                <w:rFonts w:ascii="Arial" w:cs="Arial" w:eastAsia="Arial" w:hAnsi="Arial"/>
                <w:sz w:val="18"/>
                <w:szCs w:val="18"/>
                <w:color w:val="auto"/>
              </w:rPr>
              <w:t>8.</w:t>
            </w:r>
          </w:p>
        </w:tc>
        <w:tc>
          <w:tcPr>
            <w:tcW w:w="94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Shares</w:t>
            </w:r>
          </w:p>
        </w:tc>
        <w:tc>
          <w:tcPr>
            <w:tcW w:w="740" w:type="dxa"/>
            <w:vAlign w:val="bottom"/>
          </w:tcPr>
          <w:p>
            <w:pPr>
              <w:spacing w:after="0"/>
              <w:rPr>
                <w:sz w:val="19"/>
                <w:szCs w:val="19"/>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18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10"/>
                <w:szCs w:val="10"/>
                <w:color w:val="auto"/>
              </w:rPr>
            </w:pPr>
          </w:p>
        </w:tc>
        <w:tc>
          <w:tcPr>
            <w:tcW w:w="9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18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9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Owned by</w:t>
            </w:r>
          </w:p>
        </w:tc>
        <w:tc>
          <w:tcPr>
            <w:tcW w:w="7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7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Reporting</w:t>
            </w:r>
          </w:p>
        </w:tc>
        <w:tc>
          <w:tcPr>
            <w:tcW w:w="740" w:type="dxa"/>
            <w:vAlign w:val="bottom"/>
          </w:tcPr>
          <w:p>
            <w:pPr>
              <w:jc w:val="right"/>
              <w:ind w:right="230"/>
              <w:spacing w:after="0"/>
              <w:rPr>
                <w:sz w:val="20"/>
                <w:szCs w:val="20"/>
                <w:color w:val="auto"/>
              </w:rPr>
            </w:pPr>
            <w:r>
              <w:rPr>
                <w:rFonts w:ascii="Arial" w:cs="Arial" w:eastAsia="Arial" w:hAnsi="Arial"/>
                <w:sz w:val="18"/>
                <w:szCs w:val="18"/>
                <w:color w:val="auto"/>
              </w:rPr>
              <w:t>9.</w:t>
            </w:r>
          </w:p>
        </w:tc>
        <w:tc>
          <w:tcPr>
            <w:tcW w:w="94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7"/>
        </w:trPr>
        <w:tc>
          <w:tcPr>
            <w:tcW w:w="1180" w:type="dxa"/>
            <w:vAlign w:val="bottom"/>
          </w:tcPr>
          <w:p>
            <w:pPr>
              <w:spacing w:after="0"/>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22"/>
                <w:szCs w:val="22"/>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2,909,842</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1980" w:right="7520" w:hanging="506"/>
        <w:spacing w:after="0" w:line="277" w:lineRule="auto"/>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1040" w:right="5520" w:hanging="646"/>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2,909,842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57150</wp:posOffset>
            </wp:positionV>
            <wp:extent cx="65862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1219200</wp:posOffset>
            </wp:positionH>
            <wp:positionV relativeFrom="paragraph">
              <wp:posOffset>-654050</wp:posOffset>
            </wp:positionV>
            <wp:extent cx="59944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Box if the Aggregate Amount in Row (11) Excludes Certain Shares (See Instructions)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92075</wp:posOffset>
            </wp:positionV>
            <wp:extent cx="65862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40" w:right="6440" w:hanging="646"/>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5.3%</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1040" w:hanging="646"/>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83185</wp:posOffset>
            </wp:positionV>
            <wp:extent cx="65862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-628015</wp:posOffset>
            </wp:positionV>
            <wp:extent cx="65862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Introductory Statement</w:t>
      </w:r>
    </w:p>
    <w:p>
      <w:pPr>
        <w:spacing w:after="0" w:line="117" w:lineRule="exact"/>
        <w:rPr>
          <w:sz w:val="20"/>
          <w:szCs w:val="20"/>
          <w:color w:val="auto"/>
        </w:rPr>
      </w:pPr>
    </w:p>
    <w:p>
      <w:pPr>
        <w:ind w:right="120"/>
        <w:spacing w:after="0" w:line="314" w:lineRule="auto"/>
        <w:rPr>
          <w:sz w:val="20"/>
          <w:szCs w:val="20"/>
          <w:color w:val="auto"/>
        </w:rPr>
      </w:pPr>
      <w:r>
        <w:rPr>
          <w:rFonts w:ascii="Arial" w:cs="Arial" w:eastAsia="Arial" w:hAnsi="Arial"/>
          <w:sz w:val="16"/>
          <w:szCs w:val="16"/>
          <w:color w:val="auto"/>
        </w:rPr>
        <w:t xml:space="preserve">This Amendment No. 1 (this </w:t>
      </w:r>
      <w:r>
        <w:rPr>
          <w:rFonts w:ascii="Arial" w:cs="Arial" w:eastAsia="Arial" w:hAnsi="Arial"/>
          <w:sz w:val="16"/>
          <w:szCs w:val="16"/>
          <w:b w:val="1"/>
          <w:bCs w:val="1"/>
          <w:color w:val="auto"/>
        </w:rPr>
        <w:t>Amendment</w:t>
      </w:r>
      <w:r>
        <w:rPr>
          <w:rFonts w:ascii="Arial" w:cs="Arial" w:eastAsia="Arial" w:hAnsi="Arial"/>
          <w:sz w:val="16"/>
          <w:szCs w:val="16"/>
          <w:color w:val="auto"/>
        </w:rPr>
        <w:t>) amends the Schedule 13D initially filed by Lord Ashcroft (</w:t>
      </w:r>
      <w:r>
        <w:rPr>
          <w:rFonts w:ascii="Arial" w:cs="Arial" w:eastAsia="Arial" w:hAnsi="Arial"/>
          <w:sz w:val="16"/>
          <w:szCs w:val="16"/>
          <w:b w:val="1"/>
          <w:bCs w:val="1"/>
          <w:color w:val="auto"/>
        </w:rPr>
        <w:t>Ashcroft</w:t>
      </w:r>
      <w:r>
        <w:rPr>
          <w:rFonts w:ascii="Arial" w:cs="Arial" w:eastAsia="Arial" w:hAnsi="Arial"/>
          <w:sz w:val="16"/>
          <w:szCs w:val="16"/>
          <w:color w:val="auto"/>
        </w:rPr>
        <w:t xml:space="preserve">) on October 23, 2008 (the </w:t>
      </w:r>
      <w:r>
        <w:rPr>
          <w:rFonts w:ascii="Arial" w:cs="Arial" w:eastAsia="Arial" w:hAnsi="Arial"/>
          <w:sz w:val="16"/>
          <w:szCs w:val="16"/>
          <w:b w:val="1"/>
          <w:bCs w:val="1"/>
          <w:color w:val="auto"/>
        </w:rPr>
        <w:t>Original Filing</w:t>
      </w:r>
      <w:r>
        <w:rPr>
          <w:rFonts w:ascii="Arial" w:cs="Arial" w:eastAsia="Arial" w:hAnsi="Arial"/>
          <w:sz w:val="16"/>
          <w:szCs w:val="16"/>
          <w:color w:val="auto"/>
        </w:rPr>
        <w:t xml:space="preserve">) relating to shares of the Common Stock, $0.01 par value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xml:space="preserve">), of ABM Industries Incorporated (the </w:t>
      </w:r>
      <w:r>
        <w:rPr>
          <w:rFonts w:ascii="Arial" w:cs="Arial" w:eastAsia="Arial" w:hAnsi="Arial"/>
          <w:sz w:val="16"/>
          <w:szCs w:val="16"/>
          <w:b w:val="1"/>
          <w:bCs w:val="1"/>
          <w:color w:val="auto"/>
        </w:rPr>
        <w:t>Issuer</w:t>
      </w:r>
      <w:r>
        <w:rPr>
          <w:rFonts w:ascii="Arial" w:cs="Arial" w:eastAsia="Arial" w:hAnsi="Arial"/>
          <w:sz w:val="16"/>
          <w:szCs w:val="16"/>
          <w:color w:val="auto"/>
        </w:rPr>
        <w:t>). Information reported in the Original Filing remains in effect except to the extent that it is amended or superseded by information contained in this Amendment.</w:t>
      </w:r>
    </w:p>
    <w:p>
      <w:pPr>
        <w:spacing w:after="0" w:line="35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in Item 5(a)-(b) of the Original Filing is hereby deleted and replaced with the following:</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October 17, 2013, Ashcroft directly or indirectly beneficially owns 2,909,842 shares, or approximately 5.2777%, of the Issuer’s Common Stock, and Ashcroft has sole voting power and sole dispositive power with respect to all of the shares directly or indirectly beneficially owned by him. The percentage owned by Ashcroft is calculated based on 55,134,236 shares of the Issuer’s Common Stock outstanding as of August 28, 2013, as reported in the quarterly report on Form 10-Q for the fiscal quarter ended July 31,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in Item 5(c) of the Original Filing is hereby deleted and replaced with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sets forth Ashcroft’s sales of the Issuer’s Common Stock in the past sixty days:</w:t>
      </w:r>
    </w:p>
    <w:p>
      <w:pPr>
        <w:sectPr>
          <w:pgSz w:w="11900" w:h="16838" w:orient="portrait"/>
          <w:cols w:equalWidth="0" w:num="1">
            <w:col w:w="11360"/>
          </w:cols>
          <w:pgMar w:left="300" w:top="125"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3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Party</w:t>
            </w:r>
          </w:p>
        </w:tc>
        <w:tc>
          <w:tcPr>
            <w:tcW w:w="2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Date of Transaction</w:t>
            </w:r>
          </w:p>
        </w:tc>
        <w:tc>
          <w:tcPr>
            <w:tcW w:w="2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Number of</w:t>
            </w:r>
          </w:p>
        </w:tc>
        <w:tc>
          <w:tcPr>
            <w:tcW w:w="1980" w:type="dxa"/>
            <w:vAlign w:val="bottom"/>
            <w:gridSpan w:val="2"/>
          </w:tcPr>
          <w:p>
            <w:pPr>
              <w:ind w:left="340"/>
              <w:spacing w:after="0"/>
              <w:rPr>
                <w:sz w:val="20"/>
                <w:szCs w:val="20"/>
                <w:color w:val="auto"/>
              </w:rPr>
            </w:pPr>
            <w:r>
              <w:rPr>
                <w:rFonts w:ascii="Arial" w:cs="Arial" w:eastAsia="Arial" w:hAnsi="Arial"/>
                <w:sz w:val="14"/>
                <w:szCs w:val="14"/>
                <w:b w:val="1"/>
                <w:bCs w:val="1"/>
                <w:color w:val="auto"/>
              </w:rPr>
              <w:t>Price per Share</w:t>
            </w: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Where and How Effected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60" w:type="dxa"/>
            <w:vAlign w:val="bottom"/>
            <w:gridSpan w:val="3"/>
            <w:vMerge w:val="continue"/>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Shares</w:t>
            </w:r>
          </w:p>
        </w:tc>
        <w:tc>
          <w:tcPr>
            <w:tcW w:w="1700" w:type="dxa"/>
            <w:vAlign w:val="bottom"/>
          </w:tcPr>
          <w:p>
            <w:pPr>
              <w:jc w:val="right"/>
              <w:ind w:right="693"/>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21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Lord Ashcroft</w:t>
            </w:r>
          </w:p>
        </w:tc>
        <w:tc>
          <w:tcPr>
            <w:tcW w:w="21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8"/>
              </w:rPr>
              <w:t>September 17, 2013</w:t>
            </w:r>
          </w:p>
        </w:tc>
        <w:tc>
          <w:tcPr>
            <w:tcW w:w="2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415</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26.000000</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Open Market Sale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Lord Ashcroft</w:t>
            </w:r>
          </w:p>
        </w:tc>
        <w:tc>
          <w:tcPr>
            <w:tcW w:w="212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September 18, 2013</w:t>
            </w: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28,172</w:t>
            </w: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26.025536</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Open Market Sale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Lord Ashcroft</w:t>
            </w:r>
          </w:p>
        </w:tc>
        <w:tc>
          <w:tcPr>
            <w:tcW w:w="21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8"/>
              </w:rPr>
              <w:t>September 18, 2013</w:t>
            </w:r>
          </w:p>
        </w:tc>
        <w:tc>
          <w:tcPr>
            <w:tcW w:w="2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22,948</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26.000000</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Open Market Sale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Lord Ashcroft</w:t>
            </w:r>
          </w:p>
        </w:tc>
        <w:tc>
          <w:tcPr>
            <w:tcW w:w="212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September 19, 2013</w:t>
            </w: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46,039</w:t>
            </w: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26.048420</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Open Market Sale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Lord Ashcroft</w:t>
            </w:r>
          </w:p>
        </w:tc>
        <w:tc>
          <w:tcPr>
            <w:tcW w:w="21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8"/>
              </w:rPr>
              <w:t>September 20, 2013</w:t>
            </w:r>
          </w:p>
        </w:tc>
        <w:tc>
          <w:tcPr>
            <w:tcW w:w="2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143,120</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26.165225</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Open Market Sale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Lord Ashcroft</w:t>
            </w:r>
          </w:p>
        </w:tc>
        <w:tc>
          <w:tcPr>
            <w:tcW w:w="212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September 23, 2013</w:t>
            </w: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49,771</w:t>
            </w: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26.539646</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Open Market Sale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Lord Ashcroft</w:t>
            </w:r>
          </w:p>
        </w:tc>
        <w:tc>
          <w:tcPr>
            <w:tcW w:w="21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8"/>
              </w:rPr>
              <w:t>September 24, 2013</w:t>
            </w:r>
          </w:p>
        </w:tc>
        <w:tc>
          <w:tcPr>
            <w:tcW w:w="2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88,557</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26.568577</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Open Market Sale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Lord Ashcroft</w:t>
            </w:r>
          </w:p>
        </w:tc>
        <w:tc>
          <w:tcPr>
            <w:tcW w:w="212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September 25, 2013</w:t>
            </w: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33,062</w:t>
            </w: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26.559190</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Open Market Sale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Lord Ashcroft</w:t>
            </w:r>
          </w:p>
        </w:tc>
        <w:tc>
          <w:tcPr>
            <w:tcW w:w="21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8"/>
              </w:rPr>
              <w:t>September 26, 2013</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11,575</w:t>
            </w: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26.501123</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Open Market Sale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Lord Ashcroft</w:t>
            </w:r>
          </w:p>
        </w:tc>
        <w:tc>
          <w:tcPr>
            <w:tcW w:w="212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September 27, 2013</w:t>
            </w: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17,035</w:t>
            </w: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26.511969</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Open Market Sale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Lord Ashcroft</w:t>
            </w:r>
          </w:p>
        </w:tc>
        <w:tc>
          <w:tcPr>
            <w:tcW w:w="21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0"/>
              </w:rPr>
              <w:t>October 16, 2013</w:t>
            </w:r>
          </w:p>
        </w:tc>
        <w:tc>
          <w:tcPr>
            <w:tcW w:w="2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127,824</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27.027288</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Open Market Sale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Lord Ashcroft</w:t>
            </w:r>
          </w:p>
        </w:tc>
        <w:tc>
          <w:tcPr>
            <w:tcW w:w="21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October 17, 2013</w:t>
            </w: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122,176</w:t>
            </w: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27.163170</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Open Market Sale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jc w:val="right"/>
              <w:ind w:right="1152"/>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28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7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7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After reasonable inquiry and to the best knowledge and belief of the undersigned, the undersigned hereby certifies that the information set forth in this statement is true, complete and correct.</w:t>
      </w:r>
    </w:p>
    <w:p>
      <w:pPr>
        <w:spacing w:after="0" w:line="17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October 18, 2013</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Lord Michael A. Ashcroft</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Lord Michael A. Ashcroft</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5487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4875" cy="154305"/>
                    </a:xfrm>
                    <a:prstGeom prst="rect">
                      <a:avLst/>
                    </a:prstGeom>
                    <a:noFill/>
                  </pic:spPr>
                </pic:pic>
              </a:graphicData>
            </a:graphic>
          </wp:anchor>
        </w:drawing>
      </w: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60"/>
      </w:cols>
      <w:pgMar w:left="240" w:top="34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lvl w:ilvl="1">
      <w:lvlJc w:val="left"/>
      <w:lvlText w:val="(%2)"/>
      <w:numFmt w:val="lowerLetter"/>
      <w:start w:val="1"/>
    </w:lvl>
  </w:abstractNum>
  <w:abstractNum w:abstractNumId="2">
    <w:nsid w:val="46E87CCD"/>
    <w:multiLevelType w:val="hybridMultilevel"/>
    <w:lvl w:ilvl="0">
      <w:lvlJc w:val="left"/>
      <w:lvlText w:val="%1."/>
      <w:numFmt w:val="decimal"/>
      <w:start w:val="4"/>
    </w:lvl>
  </w:abstractNum>
  <w:abstractNum w:abstractNumId="3">
    <w:nsid w:val="3D1B58BA"/>
    <w:multiLevelType w:val="hybridMultilevel"/>
    <w:lvl w:ilvl="0">
      <w:lvlJc w:val="left"/>
      <w:lvlText w:val="%1."/>
      <w:numFmt w:val="decimal"/>
      <w:start w:val="6"/>
    </w:lvl>
    <w:lvl w:ilvl="1">
      <w:lvlJc w:val="left"/>
      <w:lvlText w:val="%2."/>
      <w:numFmt w:val="decimal"/>
      <w:start w:val="7"/>
    </w:lvl>
  </w:abstractNum>
  <w:abstractNum w:abstractNumId="4">
    <w:nsid w:val="507ED7AB"/>
    <w:multiLevelType w:val="hybridMultilevel"/>
    <w:lvl w:ilvl="0">
      <w:lvlJc w:val="left"/>
      <w:lvlText w:val="%1"/>
      <w:numFmt w:val="decimal"/>
      <w:start w:val="1"/>
    </w:lvl>
    <w:lvl w:ilvl="1">
      <w:lvlJc w:val="left"/>
      <w:lvlText w:val="%2."/>
      <w:numFmt w:val="decimal"/>
      <w:start w:val="10"/>
    </w:lvl>
  </w:abstractNum>
  <w:abstractNum w:abstractNumId="5">
    <w:nsid w:val="2EB141F2"/>
    <w:multiLevelType w:val="hybridMultilevel"/>
    <w:lvl w:ilvl="0">
      <w:lvlJc w:val="left"/>
      <w:lvlText w:val="%1."/>
      <w:numFmt w:val="decimal"/>
      <w:start w:val="11"/>
    </w:lvl>
    <w:lvl w:ilvl="1">
      <w:lvlJc w:val="left"/>
      <w:lvlText w:val="%2"/>
      <w:numFmt w:val="decimal"/>
      <w:start w:val="1"/>
    </w:lvl>
  </w:abstractNum>
  <w:abstractNum w:abstractNumId="6">
    <w:nsid w:val="41B71EFB"/>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2019-12-05T22:06:35Z</dcterms:created>
  <dcterms:modified xsi:type="dcterms:W3CDTF">2019-12-05T22:06:35Z</dcterms:modified>
</cp:coreProperties>
</file>