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March 7, 2018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60" w:type="dxa"/>
            <w:vAlign w:val="bottom"/>
            <w:gridSpan w:val="4"/>
          </w:tcPr>
          <w:p>
            <w:pPr>
              <w:jc w:val="center"/>
              <w:ind w:right="1320"/>
              <w:spacing w:after="0"/>
              <w:rPr>
                <w:sz w:val="20"/>
                <w:szCs w:val="20"/>
                <w:color w:val="auto"/>
              </w:rPr>
            </w:pPr>
            <w:r>
              <w:rPr>
                <w:rFonts w:ascii="Arial" w:cs="Arial" w:eastAsia="Arial" w:hAnsi="Arial"/>
                <w:sz w:val="18"/>
                <w:szCs w:val="18"/>
                <w:b w:val="1"/>
                <w:bCs w:val="1"/>
                <w:color w:val="auto"/>
                <w:w w:val="91"/>
              </w:rPr>
              <w:t>Delaware</w:t>
            </w:r>
          </w:p>
        </w:tc>
        <w:tc>
          <w:tcPr>
            <w:tcW w:w="1940" w:type="dxa"/>
            <w:vAlign w:val="bottom"/>
          </w:tcPr>
          <w:p>
            <w:pPr>
              <w:jc w:val="right"/>
              <w:ind w:right="850"/>
              <w:spacing w:after="0"/>
              <w:rPr>
                <w:sz w:val="20"/>
                <w:szCs w:val="20"/>
                <w:color w:val="auto"/>
              </w:rPr>
            </w:pPr>
            <w:r>
              <w:rPr>
                <w:rFonts w:ascii="Arial" w:cs="Arial" w:eastAsia="Arial" w:hAnsi="Arial"/>
                <w:sz w:val="18"/>
                <w:szCs w:val="18"/>
                <w:b w:val="1"/>
                <w:bCs w:val="1"/>
                <w:color w:val="auto"/>
              </w:rPr>
              <w:t>1-8929</w:t>
            </w:r>
          </w:p>
        </w:tc>
        <w:tc>
          <w:tcPr>
            <w:tcW w:w="4500" w:type="dxa"/>
            <w:vAlign w:val="bottom"/>
            <w:gridSpan w:val="4"/>
          </w:tcPr>
          <w:p>
            <w:pPr>
              <w:jc w:val="right"/>
              <w:ind w:right="1290"/>
              <w:spacing w:after="0"/>
              <w:rPr>
                <w:sz w:val="20"/>
                <w:szCs w:val="20"/>
                <w:color w:val="auto"/>
              </w:rPr>
            </w:pPr>
            <w:r>
              <w:rPr>
                <w:rFonts w:ascii="Arial" w:cs="Arial" w:eastAsia="Arial" w:hAnsi="Arial"/>
                <w:sz w:val="18"/>
                <w:szCs w:val="18"/>
                <w:b w:val="1"/>
                <w:bCs w:val="1"/>
                <w:color w:val="auto"/>
              </w:rPr>
              <w:t>94-1369354</w:t>
            </w:r>
          </w:p>
        </w:tc>
      </w:tr>
      <w:tr>
        <w:trPr>
          <w:trHeight w:val="195"/>
        </w:trPr>
        <w:tc>
          <w:tcPr>
            <w:tcW w:w="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center"/>
              <w:ind w:right="310"/>
              <w:spacing w:after="0" w:line="195" w:lineRule="exact"/>
              <w:rPr>
                <w:sz w:val="20"/>
                <w:szCs w:val="20"/>
                <w:color w:val="auto"/>
              </w:rPr>
            </w:pPr>
            <w:r>
              <w:rPr>
                <w:rFonts w:ascii="Arial" w:cs="Arial" w:eastAsia="Arial" w:hAnsi="Arial"/>
                <w:sz w:val="18"/>
                <w:szCs w:val="18"/>
                <w:color w:val="auto"/>
                <w:w w:val="93"/>
              </w:rPr>
              <w:t>(Commission File</w:t>
            </w:r>
          </w:p>
        </w:tc>
        <w:tc>
          <w:tcPr>
            <w:tcW w:w="6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20" w:type="dxa"/>
            <w:vAlign w:val="bottom"/>
          </w:tcPr>
          <w:p>
            <w:pPr>
              <w:spacing w:after="0"/>
              <w:rPr>
                <w:sz w:val="20"/>
                <w:szCs w:val="20"/>
                <w:color w:val="auto"/>
              </w:rPr>
            </w:pPr>
          </w:p>
        </w:tc>
        <w:tc>
          <w:tcPr>
            <w:tcW w:w="4960" w:type="dxa"/>
            <w:vAlign w:val="bottom"/>
            <w:gridSpan w:val="4"/>
          </w:tcPr>
          <w:p>
            <w:pPr>
              <w:jc w:val="center"/>
              <w:ind w:right="1320"/>
              <w:spacing w:after="0"/>
              <w:rPr>
                <w:sz w:val="20"/>
                <w:szCs w:val="20"/>
                <w:color w:val="auto"/>
              </w:rPr>
            </w:pPr>
            <w:r>
              <w:rPr>
                <w:rFonts w:ascii="Arial" w:cs="Arial" w:eastAsia="Arial" w:hAnsi="Arial"/>
                <w:sz w:val="18"/>
                <w:szCs w:val="18"/>
                <w:color w:val="auto"/>
                <w:w w:val="95"/>
              </w:rPr>
              <w:t>of incorporation)</w:t>
            </w:r>
          </w:p>
        </w:tc>
        <w:tc>
          <w:tcPr>
            <w:tcW w:w="1940" w:type="dxa"/>
            <w:vAlign w:val="bottom"/>
          </w:tcPr>
          <w:p>
            <w:pPr>
              <w:ind w:left="420"/>
              <w:spacing w:after="0"/>
              <w:rPr>
                <w:sz w:val="20"/>
                <w:szCs w:val="20"/>
                <w:color w:val="auto"/>
              </w:rPr>
            </w:pPr>
            <w:r>
              <w:rPr>
                <w:rFonts w:ascii="Arial" w:cs="Arial" w:eastAsia="Arial" w:hAnsi="Arial"/>
                <w:sz w:val="18"/>
                <w:szCs w:val="18"/>
                <w:color w:val="auto"/>
              </w:rPr>
              <w:t>Number)</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4"/>
        </w:trPr>
        <w:tc>
          <w:tcPr>
            <w:tcW w:w="20" w:type="dxa"/>
            <w:vAlign w:val="bottom"/>
          </w:tcPr>
          <w:p>
            <w:pPr>
              <w:spacing w:after="0"/>
              <w:rPr>
                <w:sz w:val="24"/>
                <w:szCs w:val="24"/>
                <w:color w:val="auto"/>
              </w:rPr>
            </w:pPr>
          </w:p>
        </w:tc>
        <w:tc>
          <w:tcPr>
            <w:tcW w:w="4960" w:type="dxa"/>
            <w:vAlign w:val="bottom"/>
            <w:gridSpan w:val="4"/>
          </w:tcPr>
          <w:p>
            <w:pPr>
              <w:jc w:val="center"/>
              <w:ind w:left="2470"/>
              <w:spacing w:after="0"/>
              <w:rPr>
                <w:sz w:val="20"/>
                <w:szCs w:val="20"/>
                <w:color w:val="auto"/>
              </w:rPr>
            </w:pPr>
            <w:r>
              <w:rPr>
                <w:rFonts w:ascii="Arial" w:cs="Arial" w:eastAsia="Arial" w:hAnsi="Arial"/>
                <w:sz w:val="18"/>
                <w:szCs w:val="18"/>
                <w:b w:val="1"/>
                <w:bCs w:val="1"/>
                <w:color w:val="auto"/>
                <w:w w:val="91"/>
              </w:rPr>
              <w:t>One Liberty Plaza, 7</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w:t>
            </w:r>
          </w:p>
        </w:tc>
        <w:tc>
          <w:tcPr>
            <w:tcW w:w="1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960" w:type="dxa"/>
            <w:vAlign w:val="bottom"/>
            <w:gridSpan w:val="4"/>
          </w:tcPr>
          <w:p>
            <w:pPr>
              <w:jc w:val="center"/>
              <w:ind w:left="2450"/>
              <w:spacing w:after="0"/>
              <w:rPr>
                <w:sz w:val="20"/>
                <w:szCs w:val="20"/>
                <w:color w:val="auto"/>
              </w:rPr>
            </w:pPr>
            <w:r>
              <w:rPr>
                <w:rFonts w:ascii="Arial" w:cs="Arial" w:eastAsia="Arial" w:hAnsi="Arial"/>
                <w:sz w:val="18"/>
                <w:szCs w:val="18"/>
                <w:b w:val="1"/>
                <w:bCs w:val="1"/>
                <w:color w:val="auto"/>
                <w:w w:val="93"/>
              </w:rPr>
              <w:t>New York, New York</w:t>
            </w:r>
          </w:p>
        </w:tc>
        <w:tc>
          <w:tcPr>
            <w:tcW w:w="1940" w:type="dxa"/>
            <w:vAlign w:val="bottom"/>
          </w:tcPr>
          <w:p>
            <w:pPr>
              <w:spacing w:after="0"/>
              <w:rPr>
                <w:sz w:val="20"/>
                <w:szCs w:val="20"/>
                <w:color w:val="auto"/>
              </w:rPr>
            </w:pPr>
          </w:p>
        </w:tc>
        <w:tc>
          <w:tcPr>
            <w:tcW w:w="4500" w:type="dxa"/>
            <w:vAlign w:val="bottom"/>
            <w:gridSpan w:val="4"/>
          </w:tcPr>
          <w:p>
            <w:pPr>
              <w:jc w:val="right"/>
              <w:ind w:right="1510"/>
              <w:spacing w:after="0"/>
              <w:rPr>
                <w:sz w:val="20"/>
                <w:szCs w:val="20"/>
                <w:color w:val="auto"/>
              </w:rPr>
            </w:pPr>
            <w:r>
              <w:rPr>
                <w:rFonts w:ascii="Arial" w:cs="Arial" w:eastAsia="Arial" w:hAnsi="Arial"/>
                <w:sz w:val="18"/>
                <w:szCs w:val="18"/>
                <w:b w:val="1"/>
                <w:bCs w:val="1"/>
                <w:color w:val="auto"/>
              </w:rPr>
              <w:t>10006</w:t>
            </w:r>
          </w:p>
        </w:tc>
      </w:tr>
      <w:tr>
        <w:trPr>
          <w:trHeight w:val="224"/>
        </w:trPr>
        <w:tc>
          <w:tcPr>
            <w:tcW w:w="20" w:type="dxa"/>
            <w:vAlign w:val="bottom"/>
          </w:tcPr>
          <w:p>
            <w:pPr>
              <w:spacing w:after="0"/>
              <w:rPr>
                <w:sz w:val="19"/>
                <w:szCs w:val="19"/>
                <w:color w:val="auto"/>
              </w:rPr>
            </w:pPr>
          </w:p>
        </w:tc>
        <w:tc>
          <w:tcPr>
            <w:tcW w:w="6900" w:type="dxa"/>
            <w:vAlign w:val="bottom"/>
            <w:tcBorders>
              <w:top w:val="single" w:sz="8" w:color="auto"/>
            </w:tcBorders>
            <w:gridSpan w:val="5"/>
          </w:tcPr>
          <w:p>
            <w:pPr>
              <w:jc w:val="center"/>
              <w:ind w:left="570"/>
              <w:spacing w:after="0"/>
              <w:rPr>
                <w:sz w:val="20"/>
                <w:szCs w:val="20"/>
                <w:color w:val="auto"/>
              </w:rPr>
            </w:pPr>
            <w:r>
              <w:rPr>
                <w:rFonts w:ascii="Arial" w:cs="Arial" w:eastAsia="Arial" w:hAnsi="Arial"/>
                <w:sz w:val="18"/>
                <w:szCs w:val="18"/>
                <w:color w:val="auto"/>
                <w:w w:val="92"/>
              </w:rPr>
              <w:t>(Address of principal executive offices)</w:t>
            </w: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634"/>
        </w:trPr>
        <w:tc>
          <w:tcPr>
            <w:tcW w:w="4580" w:type="dxa"/>
            <w:vAlign w:val="bottom"/>
            <w:gridSpan w:val="4"/>
          </w:tcPr>
          <w:p>
            <w:pPr>
              <w:jc w:val="center"/>
              <w:ind w:right="880"/>
              <w:spacing w:after="0"/>
              <w:rPr>
                <w:sz w:val="20"/>
                <w:szCs w:val="20"/>
                <w:color w:val="auto"/>
              </w:rPr>
            </w:pPr>
            <w:r>
              <w:rPr>
                <w:rFonts w:ascii="Arial" w:cs="Arial" w:eastAsia="Arial" w:hAnsi="Arial"/>
                <w:sz w:val="18"/>
                <w:szCs w:val="18"/>
                <w:color w:val="auto"/>
                <w:w w:val="89"/>
              </w:rPr>
              <w:t>Registrant’s telephone number, including area code</w:t>
            </w:r>
          </w:p>
        </w:tc>
        <w:tc>
          <w:tcPr>
            <w:tcW w:w="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right"/>
              <w:ind w:right="2770"/>
              <w:spacing w:after="0"/>
              <w:rPr>
                <w:sz w:val="20"/>
                <w:szCs w:val="20"/>
                <w:color w:val="auto"/>
              </w:rPr>
            </w:pPr>
            <w:r>
              <w:rPr>
                <w:rFonts w:ascii="Arial" w:cs="Arial" w:eastAsia="Arial" w:hAnsi="Arial"/>
                <w:sz w:val="18"/>
                <w:szCs w:val="18"/>
                <w:b w:val="1"/>
                <w:bCs w:val="1"/>
                <w:color w:val="auto"/>
              </w:rPr>
              <w:t>(212) 297-0200</w:t>
            </w: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460" w:right="24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760730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Annual Meeting of Shareholders of ABM Industries Incorporated was held on March 7, 2018. At the Annual Meeting, ABM Shareholders voted on the following four proposals and cast their votes as described below.</w:t>
      </w:r>
    </w:p>
    <w:p>
      <w:pPr>
        <w:spacing w:after="0" w:line="170"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directors were elected by a vote of shareholders, each to serve for a term ending at the annual meeting of stockholders in the year 2021 and until their successors are duly elected and qualified: Linda Chavez, J. Philip Ferguson, Art A. Garcia and Scott Salmirs.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Broker</w:t>
            </w:r>
          </w:p>
        </w:tc>
      </w:tr>
      <w:tr>
        <w:trPr>
          <w:trHeight w:val="230"/>
        </w:trPr>
        <w:tc>
          <w:tcPr>
            <w:tcW w:w="28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Nominees</w:t>
            </w:r>
          </w:p>
        </w:tc>
        <w:tc>
          <w:tcPr>
            <w:tcW w:w="23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8"/>
              </w:rPr>
              <w:t>For</w:t>
            </w:r>
          </w:p>
        </w:tc>
        <w:tc>
          <w:tcPr>
            <w:tcW w:w="20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Against</w:t>
            </w:r>
          </w:p>
        </w:tc>
        <w:tc>
          <w:tcPr>
            <w:tcW w:w="19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Abstain</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Non-Votes</w:t>
            </w:r>
          </w:p>
        </w:tc>
      </w:tr>
      <w:tr>
        <w:trPr>
          <w:trHeight w:val="195"/>
        </w:trPr>
        <w:tc>
          <w:tcPr>
            <w:tcW w:w="2800" w:type="dxa"/>
            <w:vAlign w:val="bottom"/>
          </w:tcPr>
          <w:p>
            <w:pPr>
              <w:ind w:left="80"/>
              <w:spacing w:after="0" w:line="195" w:lineRule="exact"/>
              <w:rPr>
                <w:sz w:val="20"/>
                <w:szCs w:val="20"/>
                <w:color w:val="auto"/>
              </w:rPr>
            </w:pPr>
            <w:r>
              <w:rPr>
                <w:rFonts w:ascii="Arial" w:cs="Arial" w:eastAsia="Arial" w:hAnsi="Arial"/>
                <w:sz w:val="18"/>
                <w:szCs w:val="18"/>
                <w:color w:val="auto"/>
              </w:rPr>
              <w:t>Linda Chavez</w:t>
            </w:r>
          </w:p>
        </w:tc>
        <w:tc>
          <w:tcPr>
            <w:tcW w:w="2320" w:type="dxa"/>
            <w:vAlign w:val="bottom"/>
          </w:tcPr>
          <w:p>
            <w:pPr>
              <w:jc w:val="center"/>
              <w:ind w:left="190"/>
              <w:spacing w:after="0" w:line="195" w:lineRule="exact"/>
              <w:rPr>
                <w:sz w:val="20"/>
                <w:szCs w:val="20"/>
                <w:color w:val="auto"/>
              </w:rPr>
            </w:pPr>
            <w:r>
              <w:rPr>
                <w:rFonts w:ascii="Arial" w:cs="Arial" w:eastAsia="Arial" w:hAnsi="Arial"/>
                <w:sz w:val="18"/>
                <w:szCs w:val="18"/>
                <w:color w:val="auto"/>
                <w:w w:val="88"/>
              </w:rPr>
              <w:t>56,701,225</w:t>
            </w:r>
          </w:p>
        </w:tc>
        <w:tc>
          <w:tcPr>
            <w:tcW w:w="2000" w:type="dxa"/>
            <w:vAlign w:val="bottom"/>
          </w:tcPr>
          <w:p>
            <w:pPr>
              <w:jc w:val="center"/>
              <w:spacing w:after="0" w:line="195" w:lineRule="exact"/>
              <w:rPr>
                <w:sz w:val="20"/>
                <w:szCs w:val="20"/>
                <w:color w:val="auto"/>
              </w:rPr>
            </w:pPr>
            <w:r>
              <w:rPr>
                <w:rFonts w:ascii="Arial" w:cs="Arial" w:eastAsia="Arial" w:hAnsi="Arial"/>
                <w:sz w:val="18"/>
                <w:szCs w:val="18"/>
                <w:color w:val="auto"/>
                <w:w w:val="89"/>
              </w:rPr>
              <w:t>1,066,059</w:t>
            </w:r>
          </w:p>
        </w:tc>
        <w:tc>
          <w:tcPr>
            <w:tcW w:w="1900" w:type="dxa"/>
            <w:vAlign w:val="bottom"/>
          </w:tcPr>
          <w:p>
            <w:pPr>
              <w:jc w:val="center"/>
              <w:spacing w:after="0" w:line="195" w:lineRule="exact"/>
              <w:rPr>
                <w:sz w:val="20"/>
                <w:szCs w:val="20"/>
                <w:color w:val="auto"/>
              </w:rPr>
            </w:pPr>
            <w:r>
              <w:rPr>
                <w:rFonts w:ascii="Arial" w:cs="Arial" w:eastAsia="Arial" w:hAnsi="Arial"/>
                <w:sz w:val="18"/>
                <w:szCs w:val="18"/>
                <w:color w:val="auto"/>
                <w:w w:val="90"/>
              </w:rPr>
              <w:t>18,801</w:t>
            </w:r>
          </w:p>
        </w:tc>
        <w:tc>
          <w:tcPr>
            <w:tcW w:w="2040" w:type="dxa"/>
            <w:vAlign w:val="bottom"/>
          </w:tcPr>
          <w:p>
            <w:pPr>
              <w:jc w:val="center"/>
              <w:spacing w:after="0" w:line="195" w:lineRule="exact"/>
              <w:rPr>
                <w:sz w:val="20"/>
                <w:szCs w:val="20"/>
                <w:color w:val="auto"/>
              </w:rPr>
            </w:pPr>
            <w:r>
              <w:rPr>
                <w:rFonts w:ascii="Arial" w:cs="Arial" w:eastAsia="Arial" w:hAnsi="Arial"/>
                <w:sz w:val="18"/>
                <w:szCs w:val="18"/>
                <w:color w:val="auto"/>
                <w:w w:val="89"/>
              </w:rPr>
              <w:t>3,606,525</w:t>
            </w:r>
          </w:p>
        </w:tc>
      </w:tr>
      <w:tr>
        <w:trPr>
          <w:trHeight w:val="216"/>
        </w:trPr>
        <w:tc>
          <w:tcPr>
            <w:tcW w:w="2800" w:type="dxa"/>
            <w:vAlign w:val="bottom"/>
          </w:tcPr>
          <w:p>
            <w:pPr>
              <w:ind w:left="80"/>
              <w:spacing w:after="0"/>
              <w:rPr>
                <w:sz w:val="20"/>
                <w:szCs w:val="20"/>
                <w:color w:val="auto"/>
              </w:rPr>
            </w:pPr>
            <w:r>
              <w:rPr>
                <w:rFonts w:ascii="Arial" w:cs="Arial" w:eastAsia="Arial" w:hAnsi="Arial"/>
                <w:sz w:val="18"/>
                <w:szCs w:val="18"/>
                <w:color w:val="auto"/>
              </w:rPr>
              <w:t>J. Philip Ferguson</w:t>
            </w:r>
          </w:p>
        </w:tc>
        <w:tc>
          <w:tcPr>
            <w:tcW w:w="2320" w:type="dxa"/>
            <w:vAlign w:val="bottom"/>
          </w:tcPr>
          <w:p>
            <w:pPr>
              <w:jc w:val="center"/>
              <w:ind w:left="190"/>
              <w:spacing w:after="0"/>
              <w:rPr>
                <w:sz w:val="20"/>
                <w:szCs w:val="20"/>
                <w:color w:val="auto"/>
              </w:rPr>
            </w:pPr>
            <w:r>
              <w:rPr>
                <w:rFonts w:ascii="Arial" w:cs="Arial" w:eastAsia="Arial" w:hAnsi="Arial"/>
                <w:sz w:val="18"/>
                <w:szCs w:val="18"/>
                <w:color w:val="auto"/>
                <w:w w:val="88"/>
              </w:rPr>
              <w:t>57,348,309</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99,265</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338,511</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3,606,525</w:t>
            </w:r>
          </w:p>
        </w:tc>
      </w:tr>
      <w:tr>
        <w:trPr>
          <w:trHeight w:val="216"/>
        </w:trPr>
        <w:tc>
          <w:tcPr>
            <w:tcW w:w="2800" w:type="dxa"/>
            <w:vAlign w:val="bottom"/>
          </w:tcPr>
          <w:p>
            <w:pPr>
              <w:ind w:left="80"/>
              <w:spacing w:after="0"/>
              <w:rPr>
                <w:sz w:val="20"/>
                <w:szCs w:val="20"/>
                <w:color w:val="auto"/>
              </w:rPr>
            </w:pPr>
            <w:r>
              <w:rPr>
                <w:rFonts w:ascii="Arial" w:cs="Arial" w:eastAsia="Arial" w:hAnsi="Arial"/>
                <w:sz w:val="18"/>
                <w:szCs w:val="18"/>
                <w:color w:val="auto"/>
              </w:rPr>
              <w:t>Art A. Garcia</w:t>
            </w:r>
          </w:p>
        </w:tc>
        <w:tc>
          <w:tcPr>
            <w:tcW w:w="2320" w:type="dxa"/>
            <w:vAlign w:val="bottom"/>
          </w:tcPr>
          <w:p>
            <w:pPr>
              <w:jc w:val="center"/>
              <w:ind w:left="190"/>
              <w:spacing w:after="0"/>
              <w:rPr>
                <w:sz w:val="20"/>
                <w:szCs w:val="20"/>
                <w:color w:val="auto"/>
              </w:rPr>
            </w:pPr>
            <w:r>
              <w:rPr>
                <w:rFonts w:ascii="Arial" w:cs="Arial" w:eastAsia="Arial" w:hAnsi="Arial"/>
                <w:sz w:val="18"/>
                <w:szCs w:val="18"/>
                <w:color w:val="auto"/>
                <w:w w:val="88"/>
              </w:rPr>
              <w:t>57,338,161</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103,399</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344,525</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3,606,525</w:t>
            </w:r>
          </w:p>
        </w:tc>
      </w:tr>
      <w:tr>
        <w:trPr>
          <w:trHeight w:val="230"/>
        </w:trPr>
        <w:tc>
          <w:tcPr>
            <w:tcW w:w="2800" w:type="dxa"/>
            <w:vAlign w:val="bottom"/>
          </w:tcPr>
          <w:p>
            <w:pPr>
              <w:ind w:left="80"/>
              <w:spacing w:after="0"/>
              <w:rPr>
                <w:sz w:val="20"/>
                <w:szCs w:val="20"/>
                <w:color w:val="auto"/>
              </w:rPr>
            </w:pPr>
            <w:r>
              <w:rPr>
                <w:rFonts w:ascii="Arial" w:cs="Arial" w:eastAsia="Arial" w:hAnsi="Arial"/>
                <w:sz w:val="18"/>
                <w:szCs w:val="18"/>
                <w:color w:val="auto"/>
              </w:rPr>
              <w:t>Scott Salmirs</w:t>
            </w:r>
          </w:p>
        </w:tc>
        <w:tc>
          <w:tcPr>
            <w:tcW w:w="2320" w:type="dxa"/>
            <w:vAlign w:val="bottom"/>
          </w:tcPr>
          <w:p>
            <w:pPr>
              <w:jc w:val="center"/>
              <w:ind w:left="190"/>
              <w:spacing w:after="0"/>
              <w:rPr>
                <w:sz w:val="20"/>
                <w:szCs w:val="20"/>
                <w:color w:val="auto"/>
              </w:rPr>
            </w:pPr>
            <w:r>
              <w:rPr>
                <w:rFonts w:ascii="Arial" w:cs="Arial" w:eastAsia="Arial" w:hAnsi="Arial"/>
                <w:sz w:val="18"/>
                <w:szCs w:val="18"/>
                <w:color w:val="auto"/>
                <w:w w:val="88"/>
              </w:rPr>
              <w:t>57,340,758</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100,272</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345,055</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3,606,525</w:t>
            </w:r>
          </w:p>
        </w:tc>
      </w:tr>
    </w:tbl>
    <w:p>
      <w:pPr>
        <w:spacing w:after="0" w:line="202"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The following directors remained in office: Anthony G. Fernandes, Thomas M. Gartland, Sudhakar Kesavan, Lauralee E. Martin, Filippo Passerini, and Winifred M. Webb.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  An advisory resolution to approve executive compensation was approved.</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For</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5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Abstain</w:t>
            </w:r>
          </w:p>
        </w:tc>
        <w:tc>
          <w:tcPr>
            <w:tcW w:w="29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2"/>
              </w:rPr>
              <w:t>Broker Non-Votes</w:t>
            </w:r>
          </w:p>
        </w:tc>
      </w:tr>
      <w:tr>
        <w:trPr>
          <w:trHeight w:val="224"/>
        </w:trPr>
        <w:tc>
          <w:tcPr>
            <w:tcW w:w="2780" w:type="dxa"/>
            <w:vAlign w:val="bottom"/>
          </w:tcPr>
          <w:p>
            <w:pPr>
              <w:jc w:val="right"/>
              <w:ind w:right="910"/>
              <w:spacing w:after="0"/>
              <w:rPr>
                <w:sz w:val="20"/>
                <w:szCs w:val="20"/>
                <w:color w:val="auto"/>
              </w:rPr>
            </w:pPr>
            <w:r>
              <w:rPr>
                <w:rFonts w:ascii="Arial" w:cs="Arial" w:eastAsia="Arial" w:hAnsi="Arial"/>
                <w:sz w:val="18"/>
                <w:szCs w:val="18"/>
                <w:color w:val="auto"/>
              </w:rPr>
              <w:t>53,932,766</w:t>
            </w:r>
          </w:p>
        </w:tc>
        <w:tc>
          <w:tcPr>
            <w:tcW w:w="2780" w:type="dxa"/>
            <w:vAlign w:val="bottom"/>
          </w:tcPr>
          <w:p>
            <w:pPr>
              <w:jc w:val="right"/>
              <w:ind w:right="970"/>
              <w:spacing w:after="0"/>
              <w:rPr>
                <w:sz w:val="20"/>
                <w:szCs w:val="20"/>
                <w:color w:val="auto"/>
              </w:rPr>
            </w:pPr>
            <w:r>
              <w:rPr>
                <w:rFonts w:ascii="Arial" w:cs="Arial" w:eastAsia="Arial" w:hAnsi="Arial"/>
                <w:sz w:val="18"/>
                <w:szCs w:val="18"/>
                <w:color w:val="auto"/>
              </w:rPr>
              <w:t>3,511,544</w:t>
            </w:r>
          </w:p>
        </w:tc>
        <w:tc>
          <w:tcPr>
            <w:tcW w:w="2560" w:type="dxa"/>
            <w:vAlign w:val="bottom"/>
          </w:tcPr>
          <w:p>
            <w:pPr>
              <w:ind w:left="1060"/>
              <w:spacing w:after="0"/>
              <w:rPr>
                <w:sz w:val="20"/>
                <w:szCs w:val="20"/>
                <w:color w:val="auto"/>
              </w:rPr>
            </w:pPr>
            <w:r>
              <w:rPr>
                <w:rFonts w:ascii="Arial" w:cs="Arial" w:eastAsia="Arial" w:hAnsi="Arial"/>
                <w:sz w:val="18"/>
                <w:szCs w:val="18"/>
                <w:color w:val="auto"/>
              </w:rPr>
              <w:t>341,775</w:t>
            </w:r>
          </w:p>
        </w:tc>
        <w:tc>
          <w:tcPr>
            <w:tcW w:w="2940" w:type="dxa"/>
            <w:vAlign w:val="bottom"/>
          </w:tcPr>
          <w:p>
            <w:pPr>
              <w:jc w:val="right"/>
              <w:ind w:right="930"/>
              <w:spacing w:after="0"/>
              <w:rPr>
                <w:sz w:val="20"/>
                <w:szCs w:val="20"/>
                <w:color w:val="auto"/>
              </w:rPr>
            </w:pPr>
            <w:r>
              <w:rPr>
                <w:rFonts w:ascii="Arial" w:cs="Arial" w:eastAsia="Arial" w:hAnsi="Arial"/>
                <w:sz w:val="18"/>
                <w:szCs w:val="18"/>
                <w:color w:val="auto"/>
              </w:rPr>
              <w:t>3,606,525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(3)  The proposal to approve the Amended and Restated 2006 Equity Incentive Plan was approved.</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For</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5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Abstain</w:t>
            </w:r>
          </w:p>
        </w:tc>
        <w:tc>
          <w:tcPr>
            <w:tcW w:w="29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2"/>
              </w:rPr>
              <w:t>Broker Non-Votes</w:t>
            </w:r>
          </w:p>
        </w:tc>
      </w:tr>
      <w:tr>
        <w:trPr>
          <w:trHeight w:val="224"/>
        </w:trPr>
        <w:tc>
          <w:tcPr>
            <w:tcW w:w="2780" w:type="dxa"/>
            <w:vAlign w:val="bottom"/>
          </w:tcPr>
          <w:p>
            <w:pPr>
              <w:jc w:val="right"/>
              <w:ind w:right="910"/>
              <w:spacing w:after="0"/>
              <w:rPr>
                <w:sz w:val="20"/>
                <w:szCs w:val="20"/>
                <w:color w:val="auto"/>
              </w:rPr>
            </w:pPr>
            <w:r>
              <w:rPr>
                <w:rFonts w:ascii="Arial" w:cs="Arial" w:eastAsia="Arial" w:hAnsi="Arial"/>
                <w:sz w:val="18"/>
                <w:szCs w:val="18"/>
                <w:color w:val="auto"/>
              </w:rPr>
              <w:t>54,072,449</w:t>
            </w:r>
          </w:p>
        </w:tc>
        <w:tc>
          <w:tcPr>
            <w:tcW w:w="2780" w:type="dxa"/>
            <w:vAlign w:val="bottom"/>
          </w:tcPr>
          <w:p>
            <w:pPr>
              <w:jc w:val="right"/>
              <w:ind w:right="970"/>
              <w:spacing w:after="0"/>
              <w:rPr>
                <w:sz w:val="20"/>
                <w:szCs w:val="20"/>
                <w:color w:val="auto"/>
              </w:rPr>
            </w:pPr>
            <w:r>
              <w:rPr>
                <w:rFonts w:ascii="Arial" w:cs="Arial" w:eastAsia="Arial" w:hAnsi="Arial"/>
                <w:sz w:val="18"/>
                <w:szCs w:val="18"/>
                <w:color w:val="auto"/>
              </w:rPr>
              <w:t>3,374,268</w:t>
            </w:r>
          </w:p>
        </w:tc>
        <w:tc>
          <w:tcPr>
            <w:tcW w:w="2560" w:type="dxa"/>
            <w:vAlign w:val="bottom"/>
          </w:tcPr>
          <w:p>
            <w:pPr>
              <w:ind w:left="1060"/>
              <w:spacing w:after="0"/>
              <w:rPr>
                <w:sz w:val="20"/>
                <w:szCs w:val="20"/>
                <w:color w:val="auto"/>
              </w:rPr>
            </w:pPr>
            <w:r>
              <w:rPr>
                <w:rFonts w:ascii="Arial" w:cs="Arial" w:eastAsia="Arial" w:hAnsi="Arial"/>
                <w:sz w:val="18"/>
                <w:szCs w:val="18"/>
                <w:color w:val="auto"/>
              </w:rPr>
              <w:t>339,368</w:t>
            </w:r>
          </w:p>
        </w:tc>
        <w:tc>
          <w:tcPr>
            <w:tcW w:w="2940" w:type="dxa"/>
            <w:vAlign w:val="bottom"/>
          </w:tcPr>
          <w:p>
            <w:pPr>
              <w:jc w:val="right"/>
              <w:ind w:right="930"/>
              <w:spacing w:after="0"/>
              <w:rPr>
                <w:sz w:val="20"/>
                <w:szCs w:val="20"/>
                <w:color w:val="auto"/>
              </w:rPr>
            </w:pPr>
            <w:r>
              <w:rPr>
                <w:rFonts w:ascii="Arial" w:cs="Arial" w:eastAsia="Arial" w:hAnsi="Arial"/>
                <w:sz w:val="18"/>
                <w:szCs w:val="18"/>
                <w:color w:val="auto"/>
              </w:rPr>
              <w:t>3,606,525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2006 Equity Incentive Plan is filed as Exhibit 10.1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  The proposal to ratify the appointment of KPMG LLP as ABM’s independent registered public accounting firm was approved.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right="1370"/>
              <w:spacing w:after="0"/>
              <w:rPr>
                <w:sz w:val="20"/>
                <w:szCs w:val="20"/>
                <w:color w:val="auto"/>
              </w:rPr>
            </w:pPr>
            <w:r>
              <w:rPr>
                <w:rFonts w:ascii="Arial" w:cs="Arial" w:eastAsia="Arial" w:hAnsi="Arial"/>
                <w:sz w:val="18"/>
                <w:szCs w:val="18"/>
                <w:color w:val="auto"/>
                <w:w w:val="88"/>
              </w:rPr>
              <w:t>For</w:t>
            </w:r>
          </w:p>
        </w:tc>
        <w:tc>
          <w:tcPr>
            <w:tcW w:w="3020" w:type="dxa"/>
            <w:vAlign w:val="bottom"/>
            <w:tcBorders>
              <w:bottom w:val="single" w:sz="8" w:color="auto"/>
            </w:tcBorders>
          </w:tcPr>
          <w:p>
            <w:pPr>
              <w:jc w:val="center"/>
              <w:ind w:right="690"/>
              <w:spacing w:after="0"/>
              <w:rPr>
                <w:sz w:val="20"/>
                <w:szCs w:val="20"/>
                <w:color w:val="auto"/>
              </w:rPr>
            </w:pPr>
            <w:r>
              <w:rPr>
                <w:rFonts w:ascii="Arial" w:cs="Arial" w:eastAsia="Arial" w:hAnsi="Arial"/>
                <w:sz w:val="18"/>
                <w:szCs w:val="18"/>
                <w:color w:val="auto"/>
                <w:w w:val="93"/>
              </w:rPr>
              <w:t>Against</w:t>
            </w: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Abstain</w:t>
            </w:r>
          </w:p>
        </w:tc>
      </w:tr>
      <w:tr>
        <w:trPr>
          <w:trHeight w:val="224"/>
        </w:trPr>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700" w:type="dxa"/>
            <w:vAlign w:val="bottom"/>
          </w:tcPr>
          <w:p>
            <w:pPr>
              <w:jc w:val="right"/>
              <w:ind w:right="2090"/>
              <w:spacing w:after="0"/>
              <w:rPr>
                <w:sz w:val="20"/>
                <w:szCs w:val="20"/>
                <w:color w:val="auto"/>
              </w:rPr>
            </w:pPr>
            <w:r>
              <w:rPr>
                <w:rFonts w:ascii="Arial" w:cs="Arial" w:eastAsia="Arial" w:hAnsi="Arial"/>
                <w:sz w:val="18"/>
                <w:szCs w:val="18"/>
                <w:color w:val="auto"/>
              </w:rPr>
              <w:t>60,349,590</w:t>
            </w:r>
          </w:p>
        </w:tc>
        <w:tc>
          <w:tcPr>
            <w:tcW w:w="3020" w:type="dxa"/>
            <w:vAlign w:val="bottom"/>
          </w:tcPr>
          <w:p>
            <w:pPr>
              <w:jc w:val="right"/>
              <w:ind w:right="1450"/>
              <w:spacing w:after="0"/>
              <w:rPr>
                <w:sz w:val="20"/>
                <w:szCs w:val="20"/>
                <w:color w:val="auto"/>
              </w:rPr>
            </w:pPr>
            <w:r>
              <w:rPr>
                <w:rFonts w:ascii="Arial" w:cs="Arial" w:eastAsia="Arial" w:hAnsi="Arial"/>
                <w:sz w:val="18"/>
                <w:szCs w:val="18"/>
                <w:color w:val="auto"/>
              </w:rPr>
              <w:t>1,012,385</w:t>
            </w:r>
          </w:p>
        </w:tc>
        <w:tc>
          <w:tcPr>
            <w:tcW w:w="3640" w:type="dxa"/>
            <w:vAlign w:val="bottom"/>
          </w:tcPr>
          <w:p>
            <w:pPr>
              <w:jc w:val="right"/>
              <w:ind w:right="1490"/>
              <w:spacing w:after="0"/>
              <w:rPr>
                <w:sz w:val="20"/>
                <w:szCs w:val="20"/>
                <w:color w:val="auto"/>
              </w:rPr>
            </w:pPr>
            <w:r>
              <w:rPr>
                <w:rFonts w:ascii="Arial" w:cs="Arial" w:eastAsia="Arial" w:hAnsi="Arial"/>
                <w:sz w:val="18"/>
                <w:szCs w:val="18"/>
                <w:color w:val="auto"/>
              </w:rPr>
              <w:t>30,635</w:t>
            </w: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3700" w:type="dxa"/>
            <w:vAlign w:val="bottom"/>
          </w:tcPr>
          <w:p>
            <w:pPr>
              <w:ind w:left="260"/>
              <w:spacing w:after="0"/>
              <w:rPr>
                <w:sz w:val="20"/>
                <w:szCs w:val="20"/>
                <w:color w:val="auto"/>
              </w:rPr>
            </w:pPr>
            <w:r>
              <w:rPr>
                <w:rFonts w:ascii="Arial" w:cs="Arial" w:eastAsia="Arial" w:hAnsi="Arial"/>
                <w:sz w:val="18"/>
                <w:szCs w:val="18"/>
                <w:b w:val="1"/>
                <w:bCs w:val="1"/>
                <w:color w:val="auto"/>
              </w:rPr>
              <w:t>Financial Statements and Exhibits.</w:t>
            </w:r>
          </w:p>
        </w:tc>
        <w:tc>
          <w:tcPr>
            <w:tcW w:w="30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20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Amended and Restated 2006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 w:leader="none" w:pos="6280" w:val="left"/>
        </w:tabs>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March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Barbara L. Smithers</w:t>
      </w:r>
    </w:p>
    <w:p>
      <w:pPr>
        <w:spacing w:after="0" w:line="3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Barbara L. Smithers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2169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Vice President, Deputy General</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Counsel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MARCH 7, 2018</w:t>
      </w:r>
    </w:p>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This 2006 Equity Incentive Plan, as amended and restated, is intended to provide incentive to Employees and Directors of ABM Industries Incorporated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eligible Affiliates, to encourage proprietary interest in the Company and to encourage Employees and Directors to remain in the service of the Company or its Affiliates.</w:t>
      </w:r>
    </w:p>
    <w:p>
      <w:pPr>
        <w:spacing w:after="0" w:line="17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740" w:hanging="246"/>
        <w:spacing w:after="0"/>
        <w:tabs>
          <w:tab w:leader="none" w:pos="740" w:val="left"/>
        </w:tabs>
        <w:numPr>
          <w:ilvl w:val="1"/>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the committee of the Board appointed to administer the Plan, or a delegate of the Board as provided in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4(c).</w:t>
      </w:r>
    </w:p>
    <w:p>
      <w:pPr>
        <w:spacing w:after="0" w:line="210" w:lineRule="exact"/>
        <w:rPr>
          <w:rFonts w:ascii="Arial" w:cs="Arial" w:eastAsia="Arial" w:hAnsi="Arial"/>
          <w:sz w:val="16"/>
          <w:szCs w:val="16"/>
          <w:color w:val="auto"/>
        </w:rPr>
      </w:pPr>
    </w:p>
    <w:p>
      <w:pPr>
        <w:ind w:right="20" w:firstLine="494"/>
        <w:spacing w:after="0" w:line="277" w:lineRule="auto"/>
        <w:tabs>
          <w:tab w:leader="none" w:pos="741"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whether a corporation, partnership, joint venture or other organization that directly, or indirectly through one or more intermediaries, controls, is controlled by, or is under common control with the Company.</w:t>
      </w:r>
    </w:p>
    <w:p>
      <w:pPr>
        <w:spacing w:after="0" w:line="170" w:lineRule="exact"/>
        <w:rPr>
          <w:rFonts w:ascii="Arial" w:cs="Arial" w:eastAsia="Arial" w:hAnsi="Arial"/>
          <w:sz w:val="18"/>
          <w:szCs w:val="18"/>
          <w:color w:val="auto"/>
        </w:rPr>
      </w:pPr>
    </w:p>
    <w:p>
      <w:pPr>
        <w:jc w:val="both"/>
        <w:ind w:firstLine="494"/>
        <w:spacing w:after="0" w:line="264" w:lineRule="auto"/>
        <w:tabs>
          <w:tab w:leader="none" w:pos="745"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Amount</w:t>
      </w:r>
      <w:r>
        <w:rPr>
          <w:rFonts w:ascii="Arial" w:cs="Arial" w:eastAsia="Arial" w:hAnsi="Arial"/>
          <w:sz w:val="18"/>
          <w:szCs w:val="18"/>
          <w:color w:val="auto"/>
        </w:rPr>
        <w:t>” means any amount to be received by a Participant in connection with a Change-in-Control determined on an after-tax basis taking into account the excise tax imposed pursuant to Code Section 4999, or any successor provision thereto, any tax imposed by any comparable provision of state law, and any applicable federal, state and local income and employment taxes.</w:t>
      </w:r>
    </w:p>
    <w:p>
      <w:pPr>
        <w:spacing w:after="0" w:line="181" w:lineRule="exact"/>
        <w:rPr>
          <w:rFonts w:ascii="Arial" w:cs="Arial" w:eastAsia="Arial" w:hAnsi="Arial"/>
          <w:sz w:val="18"/>
          <w:szCs w:val="18"/>
          <w:color w:val="auto"/>
        </w:rPr>
      </w:pPr>
    </w:p>
    <w:p>
      <w:pPr>
        <w:ind w:firstLine="494"/>
        <w:spacing w:after="0" w:line="277" w:lineRule="auto"/>
        <w:tabs>
          <w:tab w:leader="none" w:pos="755"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any award of an Option, Stock Appreciation Rights, Restricted Stock, Restricted Stock Units, Performance Shares or an Other Share-Based Award under the Plan.</w:t>
      </w:r>
    </w:p>
    <w:p>
      <w:pPr>
        <w:spacing w:after="0" w:line="170" w:lineRule="exact"/>
        <w:rPr>
          <w:rFonts w:ascii="Arial" w:cs="Arial" w:eastAsia="Arial" w:hAnsi="Arial"/>
          <w:sz w:val="18"/>
          <w:szCs w:val="18"/>
          <w:color w:val="auto"/>
        </w:rPr>
      </w:pPr>
    </w:p>
    <w:p>
      <w:pPr>
        <w:ind w:firstLine="494"/>
        <w:spacing w:after="0" w:line="277" w:lineRule="auto"/>
        <w:tabs>
          <w:tab w:leader="none" w:pos="731"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agreement between the Company and the recipient of an Award which contains the terms and conditions pertaining to the Award.</w:t>
      </w:r>
    </w:p>
    <w:p>
      <w:pPr>
        <w:spacing w:after="0" w:line="170" w:lineRule="exact"/>
        <w:rPr>
          <w:rFonts w:ascii="Arial" w:cs="Arial" w:eastAsia="Arial" w:hAnsi="Arial"/>
          <w:sz w:val="18"/>
          <w:szCs w:val="18"/>
          <w:color w:val="auto"/>
        </w:rPr>
      </w:pPr>
    </w:p>
    <w:p>
      <w:pPr>
        <w:ind w:left="720" w:hanging="226"/>
        <w:spacing w:after="0"/>
        <w:tabs>
          <w:tab w:leader="none" w:pos="720" w:val="left"/>
        </w:tabs>
        <w:numPr>
          <w:ilvl w:val="1"/>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Beneficiary</w:t>
      </w:r>
      <w:r>
        <w:rPr>
          <w:rFonts w:ascii="Arial" w:cs="Arial" w:eastAsia="Arial" w:hAnsi="Arial"/>
          <w:sz w:val="16"/>
          <w:szCs w:val="16"/>
          <w:color w:val="auto"/>
        </w:rPr>
        <w:t>” means a person designated as such by a Participant or a Beneficiary for purposes of the Plan or determined with reference to Section</w:t>
      </w:r>
    </w:p>
    <w:p>
      <w:pPr>
        <w:spacing w:after="0" w:line="46" w:lineRule="exact"/>
        <w:rPr>
          <w:rFonts w:ascii="Arial" w:cs="Arial" w:eastAsia="Arial" w:hAnsi="Arial"/>
          <w:sz w:val="16"/>
          <w:szCs w:val="16"/>
          <w:color w:val="auto"/>
        </w:rPr>
      </w:pPr>
    </w:p>
    <w:p>
      <w:pPr>
        <w:spacing w:after="0"/>
        <w:tabs>
          <w:tab w:leader="none" w:pos="0" w:val="left"/>
        </w:tabs>
        <w:numPr>
          <w:ilvl w:val="0"/>
          <w:numId w:val="7"/>
        </w:numPr>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740" w:hanging="246"/>
        <w:spacing w:after="0"/>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jc w:val="both"/>
        <w:ind w:firstLine="494"/>
        <w:spacing w:after="0" w:line="255" w:lineRule="auto"/>
        <w:tabs>
          <w:tab w:leader="none" w:pos="768"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(i) serious misconduct, dishonesty, disloyalty or insubordination; (ii) the Participant’s conviction (or entry of a plea bargain admitting criminal guilt) of any felony or misdemeanor involving moral turpitude; (iii) drug or alcohol abuse that has a material or potentially material effect on the Company’s reputation and/or the performance of the Participant’s duties and responsibilities under the Participant’s employment agreement; (iv) failure to substantially perform the Participant’s duties or responsibilities under the Participant’s employment agreement for reasons other than death or disability; (v) repeated inattention to duty for reasons other than death or disability; or (vi) any other material breach of the Participant’s employment agreement by the Participant.</w:t>
      </w:r>
    </w:p>
    <w:p>
      <w:pPr>
        <w:spacing w:after="0" w:line="193" w:lineRule="exact"/>
        <w:rPr>
          <w:rFonts w:ascii="Arial" w:cs="Arial" w:eastAsia="Arial" w:hAnsi="Arial"/>
          <w:sz w:val="18"/>
          <w:szCs w:val="18"/>
          <w:color w:val="auto"/>
        </w:rPr>
      </w:pPr>
    </w:p>
    <w:p>
      <w:pPr>
        <w:ind w:left="700" w:hanging="206"/>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Change-in-Control</w:t>
      </w:r>
      <w:r>
        <w:rPr>
          <w:rFonts w:ascii="Arial" w:cs="Arial" w:eastAsia="Arial" w:hAnsi="Arial"/>
          <w:sz w:val="18"/>
          <w:szCs w:val="18"/>
          <w:color w:val="auto"/>
        </w:rPr>
        <w:t>” means, unless otherwise set forth in an award agreement, that any of the following events occurs:</w:t>
      </w:r>
    </w:p>
    <w:p>
      <w:pPr>
        <w:spacing w:after="0" w:line="225" w:lineRule="exact"/>
        <w:rPr>
          <w:rFonts w:ascii="Arial" w:cs="Arial" w:eastAsia="Arial" w:hAnsi="Arial"/>
          <w:sz w:val="18"/>
          <w:szCs w:val="18"/>
          <w:color w:val="auto"/>
        </w:rPr>
      </w:pPr>
    </w:p>
    <w:p>
      <w:pPr>
        <w:jc w:val="both"/>
        <w:ind w:left="340" w:right="660" w:firstLine="316"/>
        <w:spacing w:after="0" w:line="255" w:lineRule="auto"/>
        <w:tabs>
          <w:tab w:leader="none" w:pos="1274"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individual, entity or group (within the meaning of Section 13(d)(3) or 14(d)(2) of the Exchange Act) (a “</w:t>
      </w:r>
      <w:r>
        <w:rPr>
          <w:rFonts w:ascii="Arial" w:cs="Arial" w:eastAsia="Arial" w:hAnsi="Arial"/>
          <w:sz w:val="18"/>
          <w:szCs w:val="18"/>
          <w:u w:val="single" w:color="auto"/>
          <w:color w:val="auto"/>
        </w:rPr>
        <w:t>Person</w:t>
      </w:r>
      <w:r>
        <w:rPr>
          <w:rFonts w:ascii="Arial" w:cs="Arial" w:eastAsia="Arial" w:hAnsi="Arial"/>
          <w:sz w:val="18"/>
          <w:szCs w:val="18"/>
          <w:color w:val="auto"/>
        </w:rPr>
        <w:t>”)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thereafter, individuals who were members of the Board of Directors of the Company immediately prior to either such event cease to constitute a majority of the members of the Board of Directors of the Company;</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ind w:left="1140" w:hanging="544"/>
        <w:spacing w:after="0"/>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majority of the Board ceases to be comprised of Incumbent Directors; or</w:t>
      </w:r>
    </w:p>
    <w:p>
      <w:pPr>
        <w:spacing w:after="0" w:line="225" w:lineRule="exact"/>
        <w:rPr>
          <w:rFonts w:ascii="Arial" w:cs="Arial" w:eastAsia="Arial" w:hAnsi="Arial"/>
          <w:sz w:val="18"/>
          <w:szCs w:val="18"/>
          <w:color w:val="auto"/>
        </w:rPr>
      </w:pPr>
    </w:p>
    <w:p>
      <w:pPr>
        <w:jc w:val="both"/>
        <w:ind w:left="280" w:right="640" w:firstLine="316"/>
        <w:spacing w:after="0" w:line="25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consummation of a reorganization, merger, consolidation, plan of liquidation or dissolution, recapitalization or sale or other disposition of all or substantially all of the assets of the Company or the acquisition of the stock or assets of another Company, or other transaction (each, a “</w:t>
      </w:r>
      <w:r>
        <w:rPr>
          <w:rFonts w:ascii="Arial" w:cs="Arial" w:eastAsia="Arial" w:hAnsi="Arial"/>
          <w:sz w:val="18"/>
          <w:szCs w:val="18"/>
          <w:u w:val="single" w:color="auto"/>
          <w:color w:val="auto"/>
        </w:rPr>
        <w:t>Business Transaction</w:t>
      </w:r>
      <w:r>
        <w:rPr>
          <w:rFonts w:ascii="Arial" w:cs="Arial" w:eastAsia="Arial" w:hAnsi="Arial"/>
          <w:sz w:val="18"/>
          <w:szCs w:val="18"/>
          <w:color w:val="auto"/>
        </w:rPr>
        <w:t>”),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then-outstanding shares of Voting Stock of the entity resulting from such Business Transaction and (B) at least one-half of the members of the Board of Directors of the entity resulting from such Business Transaction were Incumbent Directors at the time of the execution of the initial agreement providing for such Business Transaction.</w:t>
      </w:r>
    </w:p>
    <w:p>
      <w:pPr>
        <w:spacing w:after="0" w:line="192" w:lineRule="exact"/>
        <w:rPr>
          <w:rFonts w:ascii="Arial" w:cs="Arial" w:eastAsia="Arial" w:hAnsi="Arial"/>
          <w:sz w:val="18"/>
          <w:szCs w:val="18"/>
          <w:color w:val="auto"/>
        </w:rPr>
      </w:pPr>
    </w:p>
    <w:p>
      <w:pPr>
        <w:ind w:left="640" w:hanging="20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680" w:hanging="24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225" w:lineRule="exact"/>
        <w:rPr>
          <w:rFonts w:ascii="Arial" w:cs="Arial" w:eastAsia="Arial" w:hAnsi="Arial"/>
          <w:sz w:val="18"/>
          <w:szCs w:val="18"/>
          <w:color w:val="auto"/>
        </w:rPr>
      </w:pPr>
    </w:p>
    <w:p>
      <w:pPr>
        <w:ind w:left="640" w:hanging="20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$.01 par value common stock of the Company.</w:t>
      </w:r>
    </w:p>
    <w:p>
      <w:pPr>
        <w:spacing w:after="0" w:line="225" w:lineRule="exact"/>
        <w:rPr>
          <w:rFonts w:ascii="Arial" w:cs="Arial" w:eastAsia="Arial" w:hAnsi="Arial"/>
          <w:sz w:val="18"/>
          <w:szCs w:val="18"/>
          <w:color w:val="auto"/>
        </w:rPr>
      </w:pPr>
    </w:p>
    <w:p>
      <w:pPr>
        <w:ind w:left="740" w:hanging="306"/>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ABM Industries Incorporated, a Delaware company.</w:t>
      </w:r>
    </w:p>
    <w:p>
      <w:pPr>
        <w:spacing w:after="0" w:line="225" w:lineRule="exact"/>
        <w:rPr>
          <w:rFonts w:ascii="Arial" w:cs="Arial" w:eastAsia="Arial" w:hAnsi="Arial"/>
          <w:sz w:val="18"/>
          <w:szCs w:val="18"/>
          <w:color w:val="auto"/>
        </w:rPr>
      </w:pPr>
    </w:p>
    <w:p>
      <w:pPr>
        <w:jc w:val="both"/>
        <w:ind w:left="-60" w:firstLine="494"/>
        <w:spacing w:after="0" w:line="286" w:lineRule="auto"/>
        <w:tabs>
          <w:tab w:leader="none" w:pos="681"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Employee</w:t>
      </w:r>
      <w:r>
        <w:rPr>
          <w:rFonts w:ascii="Arial" w:cs="Arial" w:eastAsia="Arial" w:hAnsi="Arial"/>
          <w:sz w:val="17"/>
          <w:szCs w:val="17"/>
          <w:color w:val="auto"/>
        </w:rPr>
        <w:t>” shall have the meaning assigned in Code Section 162(m), as amended, which generally includes the chief executive officer or any Employee whose total compensation for the taxable year is required to be reported to shareholders under the Exchange Act by reason of such Employee being among the four highest compensated officers for the taxable year (other than the chief executive officer).</w:t>
      </w:r>
    </w:p>
    <w:p>
      <w:pPr>
        <w:spacing w:after="0" w:line="165" w:lineRule="exact"/>
        <w:rPr>
          <w:rFonts w:ascii="Arial" w:cs="Arial" w:eastAsia="Arial" w:hAnsi="Arial"/>
          <w:sz w:val="17"/>
          <w:szCs w:val="17"/>
          <w:color w:val="auto"/>
        </w:rPr>
      </w:pPr>
    </w:p>
    <w:p>
      <w:pPr>
        <w:ind w:left="680" w:hanging="24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director of the Company.</w:t>
      </w:r>
    </w:p>
    <w:p>
      <w:pPr>
        <w:spacing w:after="0" w:line="225" w:lineRule="exact"/>
        <w:rPr>
          <w:rFonts w:ascii="Arial" w:cs="Arial" w:eastAsia="Arial" w:hAnsi="Arial"/>
          <w:sz w:val="18"/>
          <w:szCs w:val="18"/>
          <w:color w:val="auto"/>
        </w:rPr>
      </w:pPr>
    </w:p>
    <w:p>
      <w:pPr>
        <w:jc w:val="both"/>
        <w:ind w:left="-60" w:firstLine="494"/>
        <w:spacing w:after="0" w:line="264"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means, unless otherwise set forth in an award agreement, that the Participant 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181" w:lineRule="exact"/>
        <w:rPr>
          <w:rFonts w:ascii="Arial" w:cs="Arial" w:eastAsia="Arial" w:hAnsi="Arial"/>
          <w:sz w:val="18"/>
          <w:szCs w:val="18"/>
          <w:color w:val="auto"/>
        </w:rPr>
      </w:pPr>
    </w:p>
    <w:p>
      <w:pPr>
        <w:ind w:left="-60" w:firstLine="494"/>
        <w:spacing w:after="0" w:line="277" w:lineRule="auto"/>
        <w:tabs>
          <w:tab w:leader="none" w:pos="70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 individual employed by the Company or an Affiliate (within the meaning of Code Section 3401 and the regulations thereunder).</w:t>
      </w:r>
    </w:p>
    <w:p>
      <w:pPr>
        <w:spacing w:after="0" w:line="170" w:lineRule="exact"/>
        <w:rPr>
          <w:rFonts w:ascii="Arial" w:cs="Arial" w:eastAsia="Arial" w:hAnsi="Arial"/>
          <w:sz w:val="18"/>
          <w:szCs w:val="18"/>
          <w:color w:val="auto"/>
        </w:rPr>
      </w:pPr>
    </w:p>
    <w:p>
      <w:pPr>
        <w:ind w:left="660" w:hanging="22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means the Company or an Affiliate, which is the employer of a Participant.</w:t>
      </w:r>
    </w:p>
    <w:p>
      <w:pPr>
        <w:spacing w:after="0" w:line="225" w:lineRule="exact"/>
        <w:rPr>
          <w:rFonts w:ascii="Arial" w:cs="Arial" w:eastAsia="Arial" w:hAnsi="Arial"/>
          <w:sz w:val="18"/>
          <w:szCs w:val="18"/>
          <w:color w:val="auto"/>
        </w:rPr>
      </w:pPr>
    </w:p>
    <w:p>
      <w:pPr>
        <w:ind w:left="660" w:hanging="22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Officer</w:t>
      </w:r>
      <w:r>
        <w:rPr>
          <w:rFonts w:ascii="Arial" w:cs="Arial" w:eastAsia="Arial" w:hAnsi="Arial"/>
          <w:sz w:val="18"/>
          <w:szCs w:val="18"/>
          <w:color w:val="auto"/>
        </w:rPr>
        <w:t>” means any person who is an officer of the Company for purposes of Section 16 of the Exchange Act.</w:t>
      </w:r>
    </w:p>
    <w:p>
      <w:pPr>
        <w:spacing w:after="0" w:line="225" w:lineRule="exact"/>
        <w:rPr>
          <w:rFonts w:ascii="Arial" w:cs="Arial" w:eastAsia="Arial" w:hAnsi="Arial"/>
          <w:sz w:val="18"/>
          <w:szCs w:val="18"/>
          <w:color w:val="auto"/>
        </w:rPr>
      </w:pPr>
    </w:p>
    <w:p>
      <w:pPr>
        <w:ind w:left="-60" w:firstLine="494"/>
        <w:spacing w:after="0" w:line="342" w:lineRule="auto"/>
        <w:tabs>
          <w:tab w:leader="none" w:pos="641"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Equity Award</w:t>
      </w:r>
      <w:r>
        <w:rPr>
          <w:rFonts w:ascii="Arial" w:cs="Arial" w:eastAsia="Arial" w:hAnsi="Arial"/>
          <w:sz w:val="16"/>
          <w:szCs w:val="16"/>
          <w:color w:val="auto"/>
        </w:rPr>
        <w:t>” means the positive difference, if any, between the value of the Award granted to an Executive Officer and the Award that would have been made to such Executive Officer had the amount of the Award been calculated based on the Company’s financial statements as restated.</w:t>
      </w:r>
    </w:p>
    <w:p>
      <w:pPr>
        <w:spacing w:after="0" w:line="123" w:lineRule="exact"/>
        <w:rPr>
          <w:rFonts w:ascii="Arial" w:cs="Arial" w:eastAsia="Arial" w:hAnsi="Arial"/>
          <w:sz w:val="16"/>
          <w:szCs w:val="16"/>
          <w:color w:val="auto"/>
        </w:rPr>
      </w:pPr>
    </w:p>
    <w:p>
      <w:pPr>
        <w:ind w:left="-60" w:firstLine="494"/>
        <w:spacing w:after="0" w:line="277"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Parachute Payment</w:t>
      </w:r>
      <w:r>
        <w:rPr>
          <w:rFonts w:ascii="Arial" w:cs="Arial" w:eastAsia="Arial" w:hAnsi="Arial"/>
          <w:sz w:val="18"/>
          <w:szCs w:val="18"/>
          <w:color w:val="auto"/>
        </w:rPr>
        <w:t>” means a payment that creates an obligation for a Participant to pay excise taxes under Code Section 280G or any successor provision thereto.</w:t>
      </w:r>
    </w:p>
    <w:p>
      <w:pPr>
        <w:spacing w:after="0" w:line="170" w:lineRule="exact"/>
        <w:rPr>
          <w:rFonts w:ascii="Arial" w:cs="Arial" w:eastAsia="Arial" w:hAnsi="Arial"/>
          <w:sz w:val="18"/>
          <w:szCs w:val="18"/>
          <w:color w:val="auto"/>
        </w:rPr>
      </w:pPr>
    </w:p>
    <w:p>
      <w:pPr>
        <w:ind w:left="680" w:hanging="24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8" w:right="239" w:bottom="1440" w:gutter="0" w:footer="0" w:header="0"/>
        </w:sectPr>
      </w:pPr>
    </w:p>
    <w:bookmarkStart w:id="5" w:name="page6"/>
    <w:bookmarkEnd w:id="5"/>
    <w:p>
      <w:pPr>
        <w:ind w:left="720" w:hanging="28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the price per Share of Common Stock at which an Option or Stock Appreciation Right may be exercised.</w:t>
      </w:r>
    </w:p>
    <w:p>
      <w:pPr>
        <w:spacing w:after="0" w:line="225" w:lineRule="exact"/>
        <w:rPr>
          <w:rFonts w:ascii="Arial" w:cs="Arial" w:eastAsia="Arial" w:hAnsi="Arial"/>
          <w:sz w:val="18"/>
          <w:szCs w:val="18"/>
          <w:color w:val="auto"/>
        </w:rPr>
      </w:pPr>
    </w:p>
    <w:p>
      <w:pPr>
        <w:jc w:val="both"/>
        <w:ind w:left="-60" w:firstLine="494"/>
        <w:spacing w:after="0" w:line="312" w:lineRule="auto"/>
        <w:tabs>
          <w:tab w:leader="none" w:pos="681"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of a Share as of a specified date, unless otherwise determined by the Committee, means the closing price at which Shares are traded on such date (or, if no trading of Shares is reported for that day, on the next following day on which trading is reported) on the principal stock market or exchange on which the Shares are traded;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Shares are not so traded, the fair market value shall be determined by the Committee.</w:t>
      </w:r>
    </w:p>
    <w:p>
      <w:pPr>
        <w:spacing w:after="0" w:line="146" w:lineRule="exact"/>
        <w:rPr>
          <w:rFonts w:ascii="Arial" w:cs="Arial" w:eastAsia="Arial" w:hAnsi="Arial"/>
          <w:sz w:val="16"/>
          <w:szCs w:val="16"/>
          <w:color w:val="auto"/>
        </w:rPr>
      </w:pPr>
    </w:p>
    <w:p>
      <w:pPr>
        <w:jc w:val="both"/>
        <w:ind w:left="-60" w:firstLine="494"/>
        <w:spacing w:after="0" w:line="264"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any person identified as an “immediate family” member in Rule 16(a)-1(c) of the Exchange Act, as such Rule may be amended from time to time. Notwithstanding the foregoing, the Administrator may designate any other person(s) or entity(ies) as a “family member” to the extent consistent with applicable securities laws.</w:t>
      </w:r>
    </w:p>
    <w:p>
      <w:pPr>
        <w:spacing w:after="0" w:line="181" w:lineRule="exact"/>
        <w:rPr>
          <w:rFonts w:ascii="Arial" w:cs="Arial" w:eastAsia="Arial" w:hAnsi="Arial"/>
          <w:sz w:val="18"/>
          <w:szCs w:val="18"/>
          <w:color w:val="auto"/>
        </w:rPr>
      </w:pPr>
    </w:p>
    <w:p>
      <w:pPr>
        <w:ind w:left="680" w:hanging="246"/>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Full Value Award</w:t>
      </w:r>
      <w:r>
        <w:rPr>
          <w:rFonts w:ascii="Arial" w:cs="Arial" w:eastAsia="Arial" w:hAnsi="Arial"/>
          <w:sz w:val="17"/>
          <w:szCs w:val="17"/>
          <w:color w:val="auto"/>
        </w:rPr>
        <w:t>” means an Award denominated in Shares that does not provide for full payment in cash or property by the Participant.</w:t>
      </w:r>
    </w:p>
    <w:p>
      <w:pPr>
        <w:spacing w:after="0" w:line="237" w:lineRule="exact"/>
        <w:rPr>
          <w:sz w:val="20"/>
          <w:szCs w:val="20"/>
          <w:color w:val="auto"/>
        </w:rPr>
      </w:pPr>
    </w:p>
    <w:p>
      <w:pPr>
        <w:ind w:left="760" w:hanging="32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with respect to any Award, the date the Administrator grants the Award.</w:t>
      </w:r>
    </w:p>
    <w:p>
      <w:pPr>
        <w:spacing w:after="0" w:line="225" w:lineRule="exact"/>
        <w:rPr>
          <w:rFonts w:ascii="Arial" w:cs="Arial" w:eastAsia="Arial" w:hAnsi="Arial"/>
          <w:sz w:val="18"/>
          <w:szCs w:val="18"/>
          <w:color w:val="auto"/>
        </w:rPr>
      </w:pPr>
    </w:p>
    <w:p>
      <w:pPr>
        <w:ind w:left="780" w:hanging="34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described in Code Section 422(b).</w:t>
      </w:r>
    </w:p>
    <w:p>
      <w:pPr>
        <w:spacing w:after="0" w:line="225" w:lineRule="exact"/>
        <w:rPr>
          <w:rFonts w:ascii="Arial" w:cs="Arial" w:eastAsia="Arial" w:hAnsi="Arial"/>
          <w:sz w:val="18"/>
          <w:szCs w:val="18"/>
          <w:color w:val="auto"/>
        </w:rPr>
      </w:pPr>
    </w:p>
    <w:p>
      <w:pPr>
        <w:jc w:val="both"/>
        <w:ind w:left="-60" w:firstLine="494"/>
        <w:spacing w:after="0" w:line="255" w:lineRule="auto"/>
        <w:tabs>
          <w:tab w:leader="none" w:pos="7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Incumbent Directors</w:t>
      </w:r>
      <w:r>
        <w:rPr>
          <w:rFonts w:ascii="Arial" w:cs="Arial" w:eastAsia="Arial" w:hAnsi="Arial"/>
          <w:sz w:val="18"/>
          <w:szCs w:val="18"/>
          <w:color w:val="auto"/>
        </w:rPr>
        <w:t xml:space="preserve">” means the individuals who, as of the date of adoption of this Plan,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189" w:lineRule="exact"/>
        <w:rPr>
          <w:rFonts w:ascii="Arial" w:cs="Arial" w:eastAsia="Arial" w:hAnsi="Arial"/>
          <w:sz w:val="18"/>
          <w:szCs w:val="18"/>
          <w:color w:val="auto"/>
        </w:rPr>
      </w:pPr>
    </w:p>
    <w:p>
      <w:pPr>
        <w:ind w:left="780" w:hanging="346"/>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Committee</w:t>
      </w:r>
      <w:r>
        <w:rPr>
          <w:rFonts w:ascii="Arial" w:cs="Arial" w:eastAsia="Arial" w:hAnsi="Arial"/>
          <w:sz w:val="17"/>
          <w:szCs w:val="17"/>
          <w:color w:val="auto"/>
        </w:rPr>
        <w:t>” means any committee consisting of independent Directors designated by the independent members of the Board.</w:t>
      </w:r>
    </w:p>
    <w:p>
      <w:pPr>
        <w:spacing w:after="0" w:line="236" w:lineRule="exact"/>
        <w:rPr>
          <w:rFonts w:ascii="Arial" w:cs="Arial" w:eastAsia="Arial" w:hAnsi="Arial"/>
          <w:sz w:val="17"/>
          <w:szCs w:val="17"/>
          <w:color w:val="auto"/>
        </w:rPr>
      </w:pPr>
    </w:p>
    <w:p>
      <w:pPr>
        <w:ind w:left="760" w:hanging="32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not described in Code Section 422(b) or 423(b).</w:t>
      </w:r>
    </w:p>
    <w:p>
      <w:pPr>
        <w:spacing w:after="0" w:line="225" w:lineRule="exact"/>
        <w:rPr>
          <w:rFonts w:ascii="Arial" w:cs="Arial" w:eastAsia="Arial" w:hAnsi="Arial"/>
          <w:sz w:val="18"/>
          <w:szCs w:val="18"/>
          <w:color w:val="auto"/>
        </w:rPr>
      </w:pPr>
    </w:p>
    <w:p>
      <w:pPr>
        <w:ind w:left="720" w:hanging="28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Director who is not an Employee.</w:t>
      </w:r>
    </w:p>
    <w:p>
      <w:pPr>
        <w:spacing w:after="0" w:line="225" w:lineRule="exact"/>
        <w:rPr>
          <w:rFonts w:ascii="Arial" w:cs="Arial" w:eastAsia="Arial" w:hAnsi="Arial"/>
          <w:sz w:val="18"/>
          <w:szCs w:val="18"/>
          <w:color w:val="auto"/>
        </w:rPr>
      </w:pPr>
    </w:p>
    <w:p>
      <w:pPr>
        <w:ind w:left="780" w:hanging="34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Section 7.</w:t>
      </w:r>
    </w:p>
    <w:p>
      <w:pPr>
        <w:spacing w:after="0" w:line="225" w:lineRule="exact"/>
        <w:rPr>
          <w:rFonts w:ascii="Arial" w:cs="Arial" w:eastAsia="Arial" w:hAnsi="Arial"/>
          <w:sz w:val="18"/>
          <w:szCs w:val="18"/>
          <w:color w:val="auto"/>
        </w:rPr>
      </w:pPr>
    </w:p>
    <w:p>
      <w:pPr>
        <w:jc w:val="both"/>
        <w:ind w:left="-60" w:firstLine="494"/>
        <w:spacing w:after="0" w:line="279" w:lineRule="auto"/>
        <w:tabs>
          <w:tab w:leader="none" w:pos="78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 Proceeds</w:t>
      </w:r>
      <w:r>
        <w:rPr>
          <w:rFonts w:ascii="Arial" w:cs="Arial" w:eastAsia="Arial" w:hAnsi="Arial"/>
          <w:sz w:val="17"/>
          <w:szCs w:val="17"/>
          <w:color w:val="auto"/>
        </w:rPr>
        <w:t>” means, with respect to any sale or other disposition of Shares issued or issuable upon the exercise of an Option, an amount determined appropriate by the independent members of the Board or the Independent Committee, in its sole judgment, to reflect the effect of a restatement of the Company’s financial statements on the Company’s stock price, up to an amount equal to the number of Shares sold or disposed of, multiplied by a number equal to the difference between the Fair Market Value per Share at the time of sale or disposition and the Exercise Price.</w:t>
      </w:r>
    </w:p>
    <w:p>
      <w:pPr>
        <w:spacing w:after="0" w:line="171" w:lineRule="exact"/>
        <w:rPr>
          <w:rFonts w:ascii="Arial" w:cs="Arial" w:eastAsia="Arial" w:hAnsi="Arial"/>
          <w:sz w:val="17"/>
          <w:szCs w:val="17"/>
          <w:color w:val="auto"/>
        </w:rPr>
      </w:pPr>
    </w:p>
    <w:p>
      <w:pPr>
        <w:ind w:left="700" w:hanging="26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Share-Based Award</w:t>
      </w:r>
      <w:r>
        <w:rPr>
          <w:rFonts w:ascii="Arial" w:cs="Arial" w:eastAsia="Arial" w:hAnsi="Arial"/>
          <w:sz w:val="18"/>
          <w:szCs w:val="18"/>
          <w:color w:val="auto"/>
        </w:rPr>
        <w:t>” means an Award granted pursuant to Section 12.</w:t>
      </w:r>
    </w:p>
    <w:p>
      <w:pPr>
        <w:spacing w:after="0" w:line="225" w:lineRule="exact"/>
        <w:rPr>
          <w:rFonts w:ascii="Arial" w:cs="Arial" w:eastAsia="Arial" w:hAnsi="Arial"/>
          <w:sz w:val="18"/>
          <w:szCs w:val="18"/>
          <w:color w:val="auto"/>
        </w:rPr>
      </w:pPr>
    </w:p>
    <w:p>
      <w:pPr>
        <w:ind w:left="700" w:hanging="26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or Director who has received an Award.</w:t>
      </w:r>
    </w:p>
    <w:p>
      <w:pPr>
        <w:spacing w:after="0" w:line="225" w:lineRule="exact"/>
        <w:rPr>
          <w:rFonts w:ascii="Arial" w:cs="Arial" w:eastAsia="Arial" w:hAnsi="Arial"/>
          <w:sz w:val="18"/>
          <w:szCs w:val="18"/>
          <w:color w:val="auto"/>
        </w:rPr>
      </w:pPr>
    </w:p>
    <w:p>
      <w:pPr>
        <w:jc w:val="both"/>
        <w:ind w:left="-60" w:firstLine="494"/>
        <w:spacing w:after="0" w:line="264" w:lineRule="auto"/>
        <w:tabs>
          <w:tab w:leader="none" w:pos="7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Shares</w:t>
      </w:r>
      <w:r>
        <w:rPr>
          <w:rFonts w:ascii="Arial" w:cs="Arial" w:eastAsia="Arial" w:hAnsi="Arial"/>
          <w:sz w:val="18"/>
          <w:szCs w:val="18"/>
          <w:color w:val="auto"/>
        </w:rPr>
        <w:t>” means an Award denominated in Shares granted pursuant to Section 11 that may be earned in whole or in part based upon attainment of performance objectives, which shall be established by the Administrator pursuant to Section 14 with respect to Awards intended to be “performance-based” for purposes of Section 162(m) of the Code.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8" w:right="239" w:bottom="1440" w:gutter="0" w:footer="0" w:header="0"/>
        </w:sectPr>
      </w:pPr>
    </w:p>
    <w:bookmarkStart w:id="6" w:name="page7"/>
    <w:bookmarkEnd w:id="6"/>
    <w:p>
      <w:pPr>
        <w:ind w:left="760" w:hanging="266"/>
        <w:spacing w:after="0"/>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2006 Equity Incentive Plan, as amended and restated.</w:t>
      </w:r>
    </w:p>
    <w:p>
      <w:pPr>
        <w:spacing w:after="0" w:line="225" w:lineRule="exact"/>
        <w:rPr>
          <w:rFonts w:ascii="Arial" w:cs="Arial" w:eastAsia="Arial" w:hAnsi="Arial"/>
          <w:sz w:val="18"/>
          <w:szCs w:val="18"/>
          <w:color w:val="auto"/>
        </w:rPr>
      </w:pPr>
    </w:p>
    <w:p>
      <w:pPr>
        <w:ind w:left="940" w:hanging="446"/>
        <w:spacing w:after="0"/>
        <w:tabs>
          <w:tab w:leader="none" w:pos="9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Plans</w:t>
      </w:r>
      <w:r>
        <w:rPr>
          <w:rFonts w:ascii="Arial" w:cs="Arial" w:eastAsia="Arial" w:hAnsi="Arial"/>
          <w:sz w:val="16"/>
          <w:szCs w:val="16"/>
          <w:color w:val="auto"/>
        </w:rPr>
        <w:t>” means the Company’s 2002 Price-Vested Stock Option Plan, the 1996 Price-Vested Stock Option Plan and the Time-Vested Stock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 Plan.</w:t>
      </w:r>
    </w:p>
    <w:p>
      <w:pPr>
        <w:spacing w:after="0" w:line="210" w:lineRule="exact"/>
        <w:rPr>
          <w:rFonts w:ascii="Arial" w:cs="Arial" w:eastAsia="Arial" w:hAnsi="Arial"/>
          <w:sz w:val="16"/>
          <w:szCs w:val="16"/>
          <w:color w:val="auto"/>
        </w:rPr>
      </w:pPr>
    </w:p>
    <w:p>
      <w:pPr>
        <w:ind w:left="840" w:hanging="346"/>
        <w:spacing w:after="0"/>
        <w:tabs>
          <w:tab w:leader="none" w:pos="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the Exercise Price times the number of whole Shares with respect to which an Option is exercised.</w:t>
      </w:r>
    </w:p>
    <w:p>
      <w:pPr>
        <w:spacing w:after="0" w:line="225" w:lineRule="exact"/>
        <w:rPr>
          <w:rFonts w:ascii="Arial" w:cs="Arial" w:eastAsia="Arial" w:hAnsi="Arial"/>
          <w:sz w:val="18"/>
          <w:szCs w:val="18"/>
          <w:color w:val="auto"/>
        </w:rPr>
      </w:pPr>
    </w:p>
    <w:p>
      <w:pPr>
        <w:ind w:left="840" w:hanging="346"/>
        <w:spacing w:after="0"/>
        <w:tabs>
          <w:tab w:leader="none" w:pos="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granted pursuant to Section 9.</w:t>
      </w:r>
    </w:p>
    <w:p>
      <w:pPr>
        <w:spacing w:after="0" w:line="225" w:lineRule="exact"/>
        <w:rPr>
          <w:rFonts w:ascii="Arial" w:cs="Arial" w:eastAsia="Arial" w:hAnsi="Arial"/>
          <w:sz w:val="18"/>
          <w:szCs w:val="18"/>
          <w:color w:val="auto"/>
        </w:rPr>
      </w:pPr>
    </w:p>
    <w:p>
      <w:pPr>
        <w:ind w:firstLine="494"/>
        <w:spacing w:after="0" w:line="277" w:lineRule="auto"/>
        <w:tabs>
          <w:tab w:leader="none" w:pos="8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denominated in Shares granted pursuant to Section 10 in which the Participant has the right to receive a specified number of Shares over a specified period of time.</w:t>
      </w:r>
    </w:p>
    <w:p>
      <w:pPr>
        <w:spacing w:after="0" w:line="170" w:lineRule="exact"/>
        <w:rPr>
          <w:rFonts w:ascii="Arial" w:cs="Arial" w:eastAsia="Arial" w:hAnsi="Arial"/>
          <w:sz w:val="18"/>
          <w:szCs w:val="18"/>
          <w:color w:val="auto"/>
        </w:rPr>
      </w:pPr>
    </w:p>
    <w:p>
      <w:pPr>
        <w:ind w:firstLine="494"/>
        <w:spacing w:after="0" w:line="277" w:lineRule="auto"/>
        <w:tabs>
          <w:tab w:leader="none" w:pos="8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voluntary termination of employment by an Employee at (i) age 60 or (ii) age 55 or older at a time when age plus years of service equals or exceeds 65.</w:t>
      </w:r>
    </w:p>
    <w:p>
      <w:pPr>
        <w:spacing w:after="0" w:line="170" w:lineRule="exact"/>
        <w:rPr>
          <w:rFonts w:ascii="Arial" w:cs="Arial" w:eastAsia="Arial" w:hAnsi="Arial"/>
          <w:sz w:val="18"/>
          <w:szCs w:val="18"/>
          <w:color w:val="auto"/>
        </w:rPr>
      </w:pPr>
    </w:p>
    <w:p>
      <w:pPr>
        <w:ind w:left="780" w:hanging="286"/>
        <w:spacing w:after="0"/>
        <w:tabs>
          <w:tab w:leader="none" w:pos="7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one share of Common Stock, adjusted in accordance with Section 19 (if applicable).</w:t>
      </w:r>
    </w:p>
    <w:p>
      <w:pPr>
        <w:spacing w:after="0" w:line="225" w:lineRule="exact"/>
        <w:rPr>
          <w:rFonts w:ascii="Arial" w:cs="Arial" w:eastAsia="Arial" w:hAnsi="Arial"/>
          <w:sz w:val="18"/>
          <w:szCs w:val="18"/>
          <w:color w:val="auto"/>
        </w:rPr>
      </w:pPr>
    </w:p>
    <w:p>
      <w:pPr>
        <w:ind w:left="800" w:hanging="306"/>
        <w:spacing w:after="0"/>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Equivalent</w:t>
      </w:r>
      <w:r>
        <w:rPr>
          <w:rFonts w:ascii="Arial" w:cs="Arial" w:eastAsia="Arial" w:hAnsi="Arial"/>
          <w:sz w:val="18"/>
          <w:szCs w:val="18"/>
          <w:color w:val="auto"/>
        </w:rPr>
        <w:t>” means a bookkeeping entry representing a right to the equivalent of one Share.</w:t>
      </w:r>
    </w:p>
    <w:p>
      <w:pPr>
        <w:spacing w:after="0" w:line="225" w:lineRule="exact"/>
        <w:rPr>
          <w:rFonts w:ascii="Arial" w:cs="Arial" w:eastAsia="Arial" w:hAnsi="Arial"/>
          <w:sz w:val="18"/>
          <w:szCs w:val="18"/>
          <w:color w:val="auto"/>
        </w:rPr>
      </w:pPr>
    </w:p>
    <w:p>
      <w:pPr>
        <w:ind w:firstLine="494"/>
        <w:spacing w:after="0" w:line="277" w:lineRule="auto"/>
        <w:tabs>
          <w:tab w:leader="none" w:pos="7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Right</w:t>
      </w:r>
      <w:r>
        <w:rPr>
          <w:rFonts w:ascii="Arial" w:cs="Arial" w:eastAsia="Arial" w:hAnsi="Arial"/>
          <w:sz w:val="18"/>
          <w:szCs w:val="18"/>
          <w:color w:val="auto"/>
        </w:rPr>
        <w:t>” means a right to receive an amount equal to the value of a specified number of Shares which will be payable in Shares or cash as established by the Administrator.</w:t>
      </w:r>
    </w:p>
    <w:p>
      <w:pPr>
        <w:spacing w:after="0" w:line="170" w:lineRule="exact"/>
        <w:rPr>
          <w:rFonts w:ascii="Arial" w:cs="Arial" w:eastAsia="Arial" w:hAnsi="Arial"/>
          <w:sz w:val="18"/>
          <w:szCs w:val="18"/>
          <w:color w:val="auto"/>
        </w:rPr>
      </w:pPr>
    </w:p>
    <w:p>
      <w:pPr>
        <w:jc w:val="both"/>
        <w:ind w:firstLine="494"/>
        <w:spacing w:after="0" w:line="264" w:lineRule="auto"/>
        <w:tabs>
          <w:tab w:leader="none" w:pos="8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company in an unbroken chain of companies beginning with the Company if each of the companies other than the last company in the unbroken chain owns stock possessing 50% or more of the total combined voting power of all classes of stock in one of the other Companies in such chain.</w:t>
      </w:r>
    </w:p>
    <w:p>
      <w:pPr>
        <w:spacing w:after="0" w:line="177"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This Plan was initially adopted by the Board on January 10, 2006, and became effective on the date the Plan was initially approved by the Company's shareholders. This Plan was amended and restated by the Board on January 10, 2018, to be effective on the date the amended and restated Plan is approved by shareholders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firstLine="494"/>
        <w:spacing w:after="0" w:line="277" w:lineRule="auto"/>
        <w:tabs>
          <w:tab w:leader="none" w:pos="73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Administration with respect to Non-Employee Directors</w:t>
      </w:r>
      <w:r>
        <w:rPr>
          <w:rFonts w:ascii="Arial" w:cs="Arial" w:eastAsia="Arial" w:hAnsi="Arial"/>
          <w:sz w:val="18"/>
          <w:szCs w:val="18"/>
          <w:color w:val="auto"/>
        </w:rPr>
        <w:t>. With respect to Awards to Non-Employee Directors, the Plan shall be administered by the Governance Committee of the Board or another independent committee of the Board.</w:t>
      </w:r>
    </w:p>
    <w:p>
      <w:pPr>
        <w:spacing w:after="0" w:line="170" w:lineRule="exact"/>
        <w:rPr>
          <w:rFonts w:ascii="Arial" w:cs="Arial" w:eastAsia="Arial" w:hAnsi="Arial"/>
          <w:sz w:val="18"/>
          <w:szCs w:val="18"/>
          <w:color w:val="auto"/>
        </w:rPr>
      </w:pPr>
    </w:p>
    <w:p>
      <w:pPr>
        <w:jc w:val="both"/>
        <w:ind w:firstLine="494"/>
        <w:spacing w:after="0" w:line="264" w:lineRule="auto"/>
        <w:tabs>
          <w:tab w:leader="none" w:pos="74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Administration with respect to Employees</w:t>
      </w:r>
      <w:r>
        <w:rPr>
          <w:rFonts w:ascii="Arial" w:cs="Arial" w:eastAsia="Arial" w:hAnsi="Arial"/>
          <w:sz w:val="18"/>
          <w:szCs w:val="18"/>
          <w:color w:val="auto"/>
        </w:rPr>
        <w:t>. With respect to Awards to Employees, the Plan shall be administered by the Board, the Committee or a committee of the Board consisting of Board members who qualify as an “outside director” for purposes of Code Section 162(m) and as a “non-employee director” for purposes of Rule 16b-3 promulgated under the Exchange Act.</w:t>
      </w:r>
    </w:p>
    <w:p>
      <w:pPr>
        <w:spacing w:after="0" w:line="181" w:lineRule="exact"/>
        <w:rPr>
          <w:rFonts w:ascii="Arial" w:cs="Arial" w:eastAsia="Arial" w:hAnsi="Arial"/>
          <w:sz w:val="18"/>
          <w:szCs w:val="18"/>
          <w:color w:val="auto"/>
        </w:rPr>
      </w:pPr>
    </w:p>
    <w:p>
      <w:pPr>
        <w:ind w:left="820" w:right="120" w:hanging="2"/>
        <w:spacing w:after="0" w:line="257" w:lineRule="auto"/>
        <w:tabs>
          <w:tab w:leader="none" w:pos="1305" w:val="left"/>
        </w:tabs>
        <w:numPr>
          <w:ilvl w:val="2"/>
          <w:numId w:val="14"/>
        </w:numPr>
        <w:rPr>
          <w:rFonts w:ascii="Arial" w:cs="Arial" w:eastAsia="Arial" w:hAnsi="Arial"/>
          <w:sz w:val="18"/>
          <w:szCs w:val="18"/>
          <w:color w:val="auto"/>
        </w:rPr>
      </w:pPr>
      <w:r>
        <w:rPr>
          <w:rFonts w:ascii="Arial" w:cs="Arial" w:eastAsia="Arial" w:hAnsi="Arial"/>
          <w:sz w:val="18"/>
          <w:szCs w:val="18"/>
          <w:color w:val="auto"/>
        </w:rPr>
        <w:t>If any member of the Committee does not qualify as an “outside director” for purposes of Code Section 162(m), Awards under the Plan for the Covered Employees shall be administered by a subcommittee consisting of each Committee member who qualifies as an “outside director.” If fewer than two Committee members qualify as “outside directors,” the Board shall appoint one or more other Board members to such subcommittee who do qualify as “outside directors,” so that the subcommittee will at all times consist of two or more members, all of whom qualify as “outside directors” for purposes of Code Section 162(m).</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820" w:right="400" w:hanging="2"/>
        <w:spacing w:after="0" w:line="273" w:lineRule="auto"/>
        <w:tabs>
          <w:tab w:leader="none" w:pos="1355" w:val="left"/>
        </w:tabs>
        <w:numPr>
          <w:ilvl w:val="1"/>
          <w:numId w:val="15"/>
        </w:numPr>
        <w:rPr>
          <w:rFonts w:ascii="Arial" w:cs="Arial" w:eastAsia="Arial" w:hAnsi="Arial"/>
          <w:sz w:val="17"/>
          <w:szCs w:val="17"/>
          <w:color w:val="auto"/>
        </w:rPr>
      </w:pPr>
      <w:r>
        <w:rPr>
          <w:rFonts w:ascii="Arial" w:cs="Arial" w:eastAsia="Arial" w:hAnsi="Arial"/>
          <w:sz w:val="17"/>
          <w:szCs w:val="17"/>
          <w:color w:val="auto"/>
        </w:rPr>
        <w:t>If any member of the Committee does not qualify as a “non-employee director” for purposes of Rule 16b-3 promulgated under the Exchange Act, then Awards under the Plan for the executive officers of the Company and Directors shall be administered by a subcommittee consisting of each Committee member who qualifies as a “non-employee director.” If fewer than two Committee members qualify as “non-employee directors,” then the Board shall appoint one or more other Board members to such subcommittee who do qualify as “non-employee directors,” so that the subcommittee will at all times consist of two or more members all of whom qualify as “non-employee directors” for purposes of Rule 16b-3 promulgated under the Exchange Act.</w:t>
      </w:r>
    </w:p>
    <w:p>
      <w:pPr>
        <w:spacing w:after="0" w:line="178" w:lineRule="exact"/>
        <w:rPr>
          <w:rFonts w:ascii="Arial" w:cs="Arial" w:eastAsia="Arial" w:hAnsi="Arial"/>
          <w:sz w:val="17"/>
          <w:szCs w:val="17"/>
          <w:color w:val="auto"/>
        </w:rPr>
      </w:pPr>
    </w:p>
    <w:p>
      <w:pPr>
        <w:jc w:val="both"/>
        <w:ind w:firstLine="494"/>
        <w:spacing w:after="0" w:line="264" w:lineRule="auto"/>
        <w:tabs>
          <w:tab w:leader="none" w:pos="74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Delegation of Authority to an Officer of the Company or Other Board Committee</w:t>
      </w:r>
      <w:r>
        <w:rPr>
          <w:rFonts w:ascii="Arial" w:cs="Arial" w:eastAsia="Arial" w:hAnsi="Arial"/>
          <w:sz w:val="18"/>
          <w:szCs w:val="18"/>
          <w:color w:val="auto"/>
        </w:rPr>
        <w:t>. The Board may delegate to (i) an officer or officers of the Company and/or (ii) a committee of the Board which may consist of Directors who are also Employees the authority to administer the Plan with respect to Awards made to Employees who are not subject to Section 16 of the Exchange Act.</w:t>
      </w:r>
    </w:p>
    <w:p>
      <w:pPr>
        <w:spacing w:after="0" w:line="181" w:lineRule="exact"/>
        <w:rPr>
          <w:rFonts w:ascii="Arial" w:cs="Arial" w:eastAsia="Arial" w:hAnsi="Arial"/>
          <w:sz w:val="18"/>
          <w:szCs w:val="18"/>
          <w:color w:val="auto"/>
        </w:rPr>
      </w:pPr>
    </w:p>
    <w:p>
      <w:pPr>
        <w:jc w:val="both"/>
        <w:ind w:firstLine="494"/>
        <w:spacing w:after="0" w:line="264" w:lineRule="auto"/>
        <w:tabs>
          <w:tab w:leader="none" w:pos="75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The Administrator shall from time to time at its discretion make determinations with respect to Employees and Directors who shall be granted Awards, the number of Shares or Share Equivalents to be subject to each Award, the vesting of Awards, the designation of Options as Incentive Stock Options or Nonqualified Stock Options and other conditions of Awards.</w:t>
      </w:r>
    </w:p>
    <w:p>
      <w:pPr>
        <w:spacing w:after="0" w:line="18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interpretation and construction by the Administrator of any provisions of the Plan or of any Award shall be final. No member of the Administrator shall be liable for any action or determination made in good faith with respect to the Plan or any Award.</w:t>
      </w:r>
    </w:p>
    <w:p>
      <w:pPr>
        <w:spacing w:after="0" w:line="166"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Subject to the terms and conditions set forth below, Awards may be granted to Employees or Directors. Notwithstanding the foregoing, only employees of the Company and its Subsidiaries may be granted Incentive Stock Options.</w:t>
      </w:r>
    </w:p>
    <w:p>
      <w:pPr>
        <w:spacing w:after="0" w:line="170" w:lineRule="exact"/>
        <w:rPr>
          <w:sz w:val="20"/>
          <w:szCs w:val="20"/>
          <w:color w:val="auto"/>
        </w:rPr>
      </w:pPr>
    </w:p>
    <w:p>
      <w:pPr>
        <w:jc w:val="both"/>
        <w:ind w:firstLine="494"/>
        <w:spacing w:after="0" w:line="264" w:lineRule="auto"/>
        <w:tabs>
          <w:tab w:leader="none" w:pos="744"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Ten Percent Shareholders</w:t>
      </w:r>
      <w:r>
        <w:rPr>
          <w:rFonts w:ascii="Arial" w:cs="Arial" w:eastAsia="Arial" w:hAnsi="Arial"/>
          <w:sz w:val="18"/>
          <w:szCs w:val="18"/>
          <w:color w:val="auto"/>
        </w:rPr>
        <w:t>. An Employee who owns more than 10% of the total combined voting power of all classes of outstanding stock of the Company, its parent or any of its Subsidiaries is not eligible to receive an Incentive Stock Option pursuant to this Plan. For purposes of this Section 5(a) the stock ownership of an Employee shall be determined pursuant to Code Section 424(d).</w:t>
      </w:r>
    </w:p>
    <w:p>
      <w:pPr>
        <w:spacing w:after="0" w:line="181" w:lineRule="exact"/>
        <w:rPr>
          <w:rFonts w:ascii="Arial" w:cs="Arial" w:eastAsia="Arial" w:hAnsi="Arial"/>
          <w:sz w:val="18"/>
          <w:szCs w:val="18"/>
          <w:color w:val="auto"/>
        </w:rPr>
      </w:pPr>
    </w:p>
    <w:p>
      <w:pPr>
        <w:jc w:val="both"/>
        <w:ind w:firstLine="494"/>
        <w:spacing w:after="0" w:line="271" w:lineRule="auto"/>
        <w:tabs>
          <w:tab w:leader="none" w:pos="741"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Number of Awards</w:t>
      </w:r>
      <w:r>
        <w:rPr>
          <w:rFonts w:ascii="Arial" w:cs="Arial" w:eastAsia="Arial" w:hAnsi="Arial"/>
          <w:sz w:val="17"/>
          <w:szCs w:val="17"/>
          <w:color w:val="auto"/>
        </w:rPr>
        <w:t>. A Participant may receive more than one Award, including Awards of the same type, but only on the terms and subject to the restrictions set forth in the Plan. Subject to adjustment as provided in Section 19, the following maximum limits shall apply to the amount that may be awarded to any Participant during any calendar year: (i) Options and Stock Appreciation Rights that relate to no more than 1,000,000 Shares; and</w:t>
      </w:r>
    </w:p>
    <w:p>
      <w:pPr>
        <w:ind w:firstLine="8"/>
        <w:spacing w:after="0" w:line="290" w:lineRule="auto"/>
        <w:tabs>
          <w:tab w:leader="none" w:pos="287"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Performance Shares, Restricted Stock, Restricted Stock Units and Other Share-Based Awards that relate to no more than 1,000,000 Shares. No Non-Employee Director shall be granted Awards during any one calendar year for services as a Non-Employee Director in excess of 100,000 Shares.</w:t>
      </w:r>
    </w:p>
    <w:p>
      <w:pPr>
        <w:spacing w:after="0" w:line="158"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stock subject to Awards granted under the Plan shall be Shares of the Company’s authorized but unissued or reacquired Common Stock. The aggregate number of Shares subject to Awards issued under this Plan (including Shares previously authorized by the Company’s shareholders) shall not exceed 13,479,265 Shares. If any outstanding Option or Stock Appreciation Right under the Plan or any outstanding stock option grant under the Prior Plans for any reason expires or is terminated or any Restricted Stock or Other Share-Based Award is forfeited and under the terms of the expired or terminated Award the Participant received no financial benefits of ownership during the period the Award was outstanding, then the Shares allocable to the unexercised portion of such Option or the forfeited Restricted Stock or Other Share-Based Award may again be subjected to Awards under the Plan. Notwithstanding the foregoing, the following Shares may not again be made available for issuance under the Plan: (i) Shares not issued or delivered as a result of the net exercise of a Stock Appreciation Right or exercise of an Option, (ii) Shares delivered to the Company to pay the exercise price of an Option, (iii) Shares not issued or delivered to satisfy withholding taxes related to an Award, and (iv) Shares repurchased on the open market with the proceeds obtained from an Option exercise.</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limitations established by this Section 6 shall be subject to adjustment as provided in Section 19.</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 OF OPTIONS</w:t>
      </w:r>
      <w:r>
        <w:rPr>
          <w:rFonts w:ascii="Arial" w:cs="Arial" w:eastAsia="Arial" w:hAnsi="Arial"/>
          <w:sz w:val="18"/>
          <w:szCs w:val="18"/>
          <w:b w:val="1"/>
          <w:bCs w:val="1"/>
          <w:color w:val="auto"/>
        </w:rPr>
        <w:t>.</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Options granted to Employees and Directors pursuant to the Plan shall be evidenced by written Option Agreements in such form as the Administrator shall determine, subject to the following terms and conditions:</w:t>
      </w:r>
    </w:p>
    <w:p>
      <w:pPr>
        <w:spacing w:after="0" w:line="170" w:lineRule="exact"/>
        <w:rPr>
          <w:sz w:val="20"/>
          <w:szCs w:val="20"/>
          <w:color w:val="auto"/>
        </w:rPr>
      </w:pPr>
    </w:p>
    <w:p>
      <w:pPr>
        <w:ind w:right="20" w:firstLine="494"/>
        <w:spacing w:after="0" w:line="277" w:lineRule="auto"/>
        <w:tabs>
          <w:tab w:leader="none" w:pos="74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shall state the number of Shares to which it pertains, which shall be subject to adjustment in accordance with Section 19.</w:t>
      </w:r>
    </w:p>
    <w:p>
      <w:pPr>
        <w:spacing w:after="0" w:line="170" w:lineRule="exact"/>
        <w:rPr>
          <w:rFonts w:ascii="Arial" w:cs="Arial" w:eastAsia="Arial" w:hAnsi="Arial"/>
          <w:sz w:val="18"/>
          <w:szCs w:val="18"/>
          <w:color w:val="auto"/>
        </w:rPr>
      </w:pPr>
    </w:p>
    <w:p>
      <w:pPr>
        <w:ind w:firstLine="494"/>
        <w:spacing w:after="0" w:line="277" w:lineRule="auto"/>
        <w:tabs>
          <w:tab w:leader="none" w:pos="74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Option shall state the Exercise Price, determined by the Administrator, which shall not be less than the Fair Market Value of a Share on the date of grant, except as provided in Section 19.</w:t>
      </w:r>
    </w:p>
    <w:p>
      <w:pPr>
        <w:spacing w:after="0" w:line="170" w:lineRule="exact"/>
        <w:rPr>
          <w:rFonts w:ascii="Arial" w:cs="Arial" w:eastAsia="Arial" w:hAnsi="Arial"/>
          <w:sz w:val="18"/>
          <w:szCs w:val="18"/>
          <w:color w:val="auto"/>
        </w:rPr>
      </w:pPr>
    </w:p>
    <w:p>
      <w:pPr>
        <w:jc w:val="both"/>
        <w:ind w:firstLine="494"/>
        <w:spacing w:after="0" w:line="276" w:lineRule="auto"/>
        <w:tabs>
          <w:tab w:leader="none" w:pos="731"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Medium and Time of Payment</w:t>
      </w:r>
      <w:r>
        <w:rPr>
          <w:rFonts w:ascii="Arial" w:cs="Arial" w:eastAsia="Arial" w:hAnsi="Arial"/>
          <w:sz w:val="17"/>
          <w:szCs w:val="17"/>
          <w:color w:val="auto"/>
        </w:rPr>
        <w:t xml:space="preserve">. The Purchase Price shall be payable in full in United States dollars upon the exercise of the Option;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with the consent of the Administrator and in accordance with its rules and regulations, the Purchase Price may be paid by the surrender of Shares in good form for transfer, owned by the person exercising the Option and having a Fair Market Value on the date of exercise equal to the Purchase Price, or in any combination of cash and Shares, or in such acceptable form of payment as approved by the Administrator, so long as the total of the cash and the Fair Market Value of the Shares surrendered equals the Purchase Price. No Shares shall be issued until full payment has been made.</w:t>
      </w:r>
    </w:p>
    <w:p>
      <w:pPr>
        <w:spacing w:after="0" w:line="172" w:lineRule="exact"/>
        <w:rPr>
          <w:rFonts w:ascii="Arial" w:cs="Arial" w:eastAsia="Arial" w:hAnsi="Arial"/>
          <w:sz w:val="17"/>
          <w:szCs w:val="17"/>
          <w:color w:val="auto"/>
        </w:rPr>
      </w:pPr>
    </w:p>
    <w:p>
      <w:pPr>
        <w:jc w:val="both"/>
        <w:ind w:firstLine="494"/>
        <w:spacing w:after="0" w:line="268" w:lineRule="auto"/>
        <w:tabs>
          <w:tab w:leader="none" w:pos="754"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Term and Exercise of Options; Nontransferability of Options</w:t>
      </w:r>
      <w:r>
        <w:rPr>
          <w:rFonts w:ascii="Arial" w:cs="Arial" w:eastAsia="Arial" w:hAnsi="Arial"/>
          <w:sz w:val="17"/>
          <w:szCs w:val="17"/>
          <w:color w:val="auto"/>
        </w:rPr>
        <w:t>. Each Option shall state the date after which it shall cease to be exercisable. No Option shall be exercisable after the expiration of ten years from the date it is granted or such lesser period established by the Administrator. Except as provided in Section 15(a) or in the event of a Participant’s death or Disability, an Option shall not become vested before the expiration of one year from the date the Option is granted. An Option shall, during a Participant’s lifetime, be exercisable only by the Participant. No Option or any right granted thereunder shall be transferable by the Participant by operation of law or otherwise, other than by will or the laws of descent and distribution. Notwithstanding the foregoing, (i) a Participant may designate a Beneficiary to succeed, after the Participant’s death, to all of the Participant’s Options outstanding on the date of death; (ii) a Nonstatutory Stock Option or any right granted thereunder may be transferable pursuant to a qualified domestic relations order as defined in the Code or Title I of the Employee Retirement Income Security Act; and (iii) any Participant may voluntarily transfer any Nonstatutory Stock Option to a Family Member as a gift or through a transfer to an entity domiciled in the United States in which more than 50% of the voting or beneficial interests are owned by Family Members (or the Participant) in exchange for an interest in that entity. In the event of any attempt by a Participant to alienate, assign, pledge, hypothecate or otherwise dispose of an Option or of any right thereunder, except as provided herein, or in the event of the levy of any attachment, execution or similar process upon the rights or interest hereby conferred, the Company at its election may terminate the affected Option by notice to the Participant, and the Option shall thereupon become null and void.</w:t>
      </w:r>
    </w:p>
    <w:p>
      <w:pPr>
        <w:spacing w:after="0" w:line="187" w:lineRule="exact"/>
        <w:rPr>
          <w:rFonts w:ascii="Arial" w:cs="Arial" w:eastAsia="Arial" w:hAnsi="Arial"/>
          <w:sz w:val="17"/>
          <w:szCs w:val="17"/>
          <w:color w:val="auto"/>
        </w:rPr>
      </w:pPr>
    </w:p>
    <w:p>
      <w:pPr>
        <w:jc w:val="both"/>
        <w:ind w:firstLine="494"/>
        <w:spacing w:after="0" w:line="302" w:lineRule="auto"/>
        <w:tabs>
          <w:tab w:leader="none" w:pos="731"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In the event that a Participant who is an Employee ceases to be employed by the Company or any of its Affiliates for any reason, such Participant (or in the case of death, such Participant’s designated Beneficiary) shall have the right (subject to the limitation that no Option may be exercised after its stated expiration date) to exercise the Option, to the extent that, at the date of termination of employment, the Option had vested pursuant to the terms of the Option Agreement with respect to which such Option was granted and had not previously been exercised, either:</w:t>
      </w:r>
    </w:p>
    <w:p>
      <w:pPr>
        <w:spacing w:after="0" w:line="154" w:lineRule="exact"/>
        <w:rPr>
          <w:rFonts w:ascii="Arial" w:cs="Arial" w:eastAsia="Arial" w:hAnsi="Arial"/>
          <w:sz w:val="16"/>
          <w:szCs w:val="16"/>
          <w:color w:val="auto"/>
        </w:rPr>
      </w:pPr>
    </w:p>
    <w:p>
      <w:pPr>
        <w:ind w:left="1300" w:hanging="482"/>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within four months after such termination of employment; or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left="1360" w:hanging="542"/>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Retirement or death within one year after the date thereof; or</w:t>
      </w:r>
    </w:p>
    <w:p>
      <w:pPr>
        <w:spacing w:after="0" w:line="225" w:lineRule="exact"/>
        <w:rPr>
          <w:rFonts w:ascii="Arial" w:cs="Arial" w:eastAsia="Arial" w:hAnsi="Arial"/>
          <w:sz w:val="18"/>
          <w:szCs w:val="18"/>
          <w:color w:val="auto"/>
        </w:rPr>
      </w:pPr>
    </w:p>
    <w:p>
      <w:pPr>
        <w:ind w:left="1400" w:hanging="582"/>
        <w:spacing w:after="0"/>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the case of Disability, within one year from the date the Committee or its delegate determines that the Participant is Disabled; or</w:t>
      </w:r>
    </w:p>
    <w:p>
      <w:pPr>
        <w:spacing w:after="0" w:line="236" w:lineRule="exact"/>
        <w:rPr>
          <w:rFonts w:ascii="Arial" w:cs="Arial" w:eastAsia="Arial" w:hAnsi="Arial"/>
          <w:sz w:val="17"/>
          <w:szCs w:val="17"/>
          <w:color w:val="auto"/>
        </w:rPr>
      </w:pPr>
    </w:p>
    <w:p>
      <w:pPr>
        <w:ind w:left="1400" w:hanging="582"/>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such other terms established by the Committee in the Agreement or otherwise prior to termination.</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However, in addition to the rights and obligations established in Section 16 below, if the employment of a Participant is terminated by the Company or an Affiliate by reason of Cause, such Option shall cease to be exercisable at the time of the Participant’s termination of employment. The independent members of the Board or the Independent Committee shall determine whether a Participant’s employment is terminated by reason of Cause. In making such determination, such body shall act fairly and shall give the Participant an opportunity to be heard and present evidence on his or her behalf. If a Participant’s employment terminates for reasons other than Cause, but Cause is discovered after the termination and is determined to have occurred by such body, all outstanding Options shall cease to be exercisable upon such determination.</w:t>
      </w:r>
    </w:p>
    <w:p>
      <w:pPr>
        <w:spacing w:after="0" w:line="17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For purposes of this Section, the employment relationship will be treated as continuing while the Participant is on military leave, sick leave (including short-term disability) or other bona fide leave of absence (to be determined in the sole discretion of the Administrator, in accordance with rules and regulations construing Code Sections 422(a)(2) and 409A). Notwithstanding the foregoing, in the case of an Incentive Stock Option, employment shall not be deemed to continue beyond three months after the Participant ceased active employment, unless the Participant’s reemployment rights are guaranteed by statute or by contract. In the event that an Incentive Stock Option is exercised after the period following termination of employment that is required for qualification under Code Section 422(b), such Option shall be treated as a Nonqualified Stock Option for all Plan purposes.</w:t>
      </w:r>
    </w:p>
    <w:p>
      <w:pPr>
        <w:spacing w:after="0" w:line="16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the event a Non-Employee Director terminates service as a Director, the former Director (or his or her designated Beneficiary in the event of the Non-Employee Director’s death) shall have the right (subject to the limitation that no Option may be exercised after its stated expiration date) to exercise the Option (to the extent vested pursuant to the terms of the Option Agreement and not previously exercised) within one year after such termination or on such other terms established by the Board in the Agreement or otherwise prior to termination of service.</w:t>
      </w:r>
    </w:p>
    <w:p>
      <w:pPr>
        <w:spacing w:after="0" w:line="187" w:lineRule="exact"/>
        <w:rPr>
          <w:sz w:val="20"/>
          <w:szCs w:val="20"/>
          <w:color w:val="auto"/>
        </w:rPr>
      </w:pPr>
    </w:p>
    <w:p>
      <w:pPr>
        <w:jc w:val="both"/>
        <w:ind w:firstLine="494"/>
        <w:spacing w:after="0" w:line="286" w:lineRule="auto"/>
        <w:tabs>
          <w:tab w:leader="none" w:pos="981"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Rights as a Shareholder</w:t>
      </w:r>
      <w:r>
        <w:rPr>
          <w:rFonts w:ascii="Arial" w:cs="Arial" w:eastAsia="Arial" w:hAnsi="Arial"/>
          <w:sz w:val="17"/>
          <w:szCs w:val="17"/>
          <w:color w:val="auto"/>
        </w:rPr>
        <w:t>. A Participant or a transferee of a Participant shall have no rights as a shareholder with respect to any Shares covered by his or her Option until the date of issuance of a stock certificate for such Shares. No adjustment shall be made for dividends, distributions or other rights for which the record date is prior to the date such stock certificate is issued, except as provided in Section 19.</w:t>
      </w:r>
    </w:p>
    <w:p>
      <w:pPr>
        <w:spacing w:after="0" w:line="165" w:lineRule="exact"/>
        <w:rPr>
          <w:rFonts w:ascii="Arial" w:cs="Arial" w:eastAsia="Arial" w:hAnsi="Arial"/>
          <w:sz w:val="17"/>
          <w:szCs w:val="17"/>
          <w:color w:val="auto"/>
        </w:rPr>
      </w:pPr>
    </w:p>
    <w:p>
      <w:pPr>
        <w:jc w:val="both"/>
        <w:ind w:firstLine="494"/>
        <w:spacing w:after="0" w:line="279" w:lineRule="auto"/>
        <w:tabs>
          <w:tab w:leader="none" w:pos="113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Modification, Extension and Renewal of Options</w:t>
      </w:r>
      <w:r>
        <w:rPr>
          <w:rFonts w:ascii="Arial" w:cs="Arial" w:eastAsia="Arial" w:hAnsi="Arial"/>
          <w:sz w:val="17"/>
          <w:szCs w:val="17"/>
          <w:color w:val="auto"/>
        </w:rPr>
        <w:t>. Subject to the terms and conditions and within the limitations of the Plan, including the limitations of Section 22, the Administrator may modify, extend or renew outstanding Options granted to Employees and Directors under the Plan. Notwithstanding the foregoing, however, no modification of an Option shall, without the consent of the Participant, alter or impair any rights or obligations under any Option previously granted under the Plan or cause any Option to fail to be exempt from the requirements of Code Section 409A.</w:t>
      </w:r>
    </w:p>
    <w:p>
      <w:pPr>
        <w:spacing w:after="0" w:line="171" w:lineRule="exact"/>
        <w:rPr>
          <w:rFonts w:ascii="Arial" w:cs="Arial" w:eastAsia="Arial" w:hAnsi="Arial"/>
          <w:sz w:val="17"/>
          <w:szCs w:val="17"/>
          <w:color w:val="auto"/>
        </w:rPr>
      </w:pPr>
    </w:p>
    <w:p>
      <w:pPr>
        <w:jc w:val="both"/>
        <w:ind w:firstLine="494"/>
        <w:spacing w:after="0" w:line="259" w:lineRule="auto"/>
        <w:tabs>
          <w:tab w:leader="none" w:pos="103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Limitation of Incentive Stock Option Awards</w:t>
      </w:r>
      <w:r>
        <w:rPr>
          <w:rFonts w:ascii="Arial" w:cs="Arial" w:eastAsia="Arial" w:hAnsi="Arial"/>
          <w:sz w:val="18"/>
          <w:szCs w:val="18"/>
          <w:color w:val="auto"/>
        </w:rPr>
        <w:t>. If and to the extent that the aggregate Fair Market Value (determined as of the date the Option is granted) of the Shares with respect to which any Incentive Stock Options are exercisable for the first time by a Participant during any calendar year under this Plan and all other plans maintained by the Company, its parent or its Subsidiaries exceeds $100,000, the excess (taking into account the order in which they were granted) shall be treated as Nonqualified Stock Options.</w:t>
      </w:r>
    </w:p>
    <w:p>
      <w:pPr>
        <w:spacing w:after="0" w:line="186" w:lineRule="exact"/>
        <w:rPr>
          <w:rFonts w:ascii="Arial" w:cs="Arial" w:eastAsia="Arial" w:hAnsi="Arial"/>
          <w:sz w:val="18"/>
          <w:szCs w:val="18"/>
          <w:color w:val="auto"/>
        </w:rPr>
      </w:pPr>
    </w:p>
    <w:p>
      <w:pPr>
        <w:ind w:right="20" w:firstLine="494"/>
        <w:spacing w:after="0" w:line="277" w:lineRule="auto"/>
        <w:tabs>
          <w:tab w:leader="none" w:pos="10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Reload Options</w:t>
      </w:r>
      <w:r>
        <w:rPr>
          <w:rFonts w:ascii="Arial" w:cs="Arial" w:eastAsia="Arial" w:hAnsi="Arial"/>
          <w:sz w:val="18"/>
          <w:szCs w:val="18"/>
          <w:color w:val="auto"/>
        </w:rPr>
        <w:t>. Options that provide for the automatic grant of another Option upon exercise of the original Option may not be granted under the Plan.</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8" w:right="20" w:firstLine="494"/>
        <w:spacing w:after="0" w:line="277" w:lineRule="auto"/>
        <w:tabs>
          <w:tab w:leader="none" w:pos="103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The Option Agreement shall contain such other provisions that are consistent with the terms of the Plan, including, without limitation, restrictions upon the exercise of the Option, as the Administrator shall deem advisable.</w:t>
      </w:r>
    </w:p>
    <w:p>
      <w:pPr>
        <w:spacing w:after="0" w:line="166" w:lineRule="exact"/>
        <w:rPr>
          <w:rFonts w:ascii="Arial" w:cs="Arial" w:eastAsia="Arial" w:hAnsi="Arial"/>
          <w:sz w:val="18"/>
          <w:szCs w:val="18"/>
          <w:color w:val="auto"/>
        </w:rPr>
      </w:pPr>
    </w:p>
    <w:p>
      <w:pPr>
        <w:ind w:left="492" w:hanging="492"/>
        <w:spacing w:after="0"/>
        <w:tabs>
          <w:tab w:leader="none" w:pos="49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7"/>
          <w:szCs w:val="17"/>
          <w:color w:val="auto"/>
        </w:rPr>
        <w:t>Stock Appreciation Rights granted to Participants pursuant to the Plan may be granted alone, in addition to or in conjunction with, Options.</w:t>
      </w:r>
    </w:p>
    <w:p>
      <w:pPr>
        <w:spacing w:after="0" w:line="236" w:lineRule="exact"/>
        <w:rPr>
          <w:rFonts w:ascii="Arial" w:cs="Arial" w:eastAsia="Arial" w:hAnsi="Arial"/>
          <w:sz w:val="18"/>
          <w:szCs w:val="18"/>
          <w:b w:val="1"/>
          <w:bCs w:val="1"/>
          <w:color w:val="auto"/>
        </w:rPr>
      </w:pPr>
    </w:p>
    <w:p>
      <w:pPr>
        <w:ind w:left="-8" w:right="20" w:firstLine="494"/>
        <w:spacing w:after="0" w:line="277" w:lineRule="auto"/>
        <w:tabs>
          <w:tab w:leader="none" w:pos="106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Stock Appreciation Right shall state the number of Shares or Share Equivalents to which it pertains, which shall be subject to adjustment in accordance with Section 19.</w:t>
      </w:r>
    </w:p>
    <w:p>
      <w:pPr>
        <w:spacing w:after="0" w:line="170" w:lineRule="exact"/>
        <w:rPr>
          <w:rFonts w:ascii="Arial" w:cs="Arial" w:eastAsia="Arial" w:hAnsi="Arial"/>
          <w:sz w:val="18"/>
          <w:szCs w:val="18"/>
          <w:color w:val="auto"/>
        </w:rPr>
      </w:pPr>
    </w:p>
    <w:p>
      <w:pPr>
        <w:jc w:val="both"/>
        <w:ind w:left="-8" w:firstLine="494"/>
        <w:spacing w:after="0" w:line="257" w:lineRule="auto"/>
        <w:tabs>
          <w:tab w:leader="none" w:pos="104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Calculation of Appreciation; Exercise Price</w:t>
      </w:r>
      <w:r>
        <w:rPr>
          <w:rFonts w:ascii="Arial" w:cs="Arial" w:eastAsia="Arial" w:hAnsi="Arial"/>
          <w:sz w:val="18"/>
          <w:szCs w:val="18"/>
          <w:color w:val="auto"/>
        </w:rPr>
        <w:t>. The appreciation distribution payable on the exercise of a Stock Appreciation Right will be equal to the excess of (i) the aggregate Fair Market Value (on the day before the date of exercise of the Stock Appreciation Right) of a number of Shares equal to the number of Shares or Share Equivalents in which the Participant is vested under such Stock Appreciation Right on such date, over (ii) the Exercise Price determined by the Administrator on the date of grant of the Stock Appreciation Right, which shall not be less than 100% of the Fair Market Value of a Share on the date of grant.</w:t>
      </w:r>
    </w:p>
    <w:p>
      <w:pPr>
        <w:spacing w:after="0" w:line="188" w:lineRule="exact"/>
        <w:rPr>
          <w:rFonts w:ascii="Arial" w:cs="Arial" w:eastAsia="Arial" w:hAnsi="Arial"/>
          <w:sz w:val="18"/>
          <w:szCs w:val="18"/>
          <w:color w:val="auto"/>
        </w:rPr>
      </w:pPr>
    </w:p>
    <w:p>
      <w:pPr>
        <w:jc w:val="both"/>
        <w:ind w:left="-8" w:firstLine="494"/>
        <w:spacing w:after="0" w:line="259"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Term and Exercise of Stock Appreciation Rights</w:t>
      </w:r>
      <w:r>
        <w:rPr>
          <w:rFonts w:ascii="Arial" w:cs="Arial" w:eastAsia="Arial" w:hAnsi="Arial"/>
          <w:sz w:val="18"/>
          <w:szCs w:val="18"/>
          <w:color w:val="auto"/>
        </w:rPr>
        <w:t>. Each Stock Appreciation Right shall state the time or times when it may become exercisable. No Stock Appreciation Right shall be exercisable after the expiration of ten years from the date it is granted or such lesser period established by the Administrator. Except as provided in Section 15(a) or in the event of a Participant’s death or Disability, a Stock Appreciation Right shall not become vested before the expiration of one year from the date the Stock Appreciation Right is granted.</w:t>
      </w:r>
    </w:p>
    <w:p>
      <w:pPr>
        <w:spacing w:after="0" w:line="186" w:lineRule="exact"/>
        <w:rPr>
          <w:rFonts w:ascii="Arial" w:cs="Arial" w:eastAsia="Arial" w:hAnsi="Arial"/>
          <w:sz w:val="18"/>
          <w:szCs w:val="18"/>
          <w:color w:val="auto"/>
        </w:rPr>
      </w:pPr>
    </w:p>
    <w:p>
      <w:pPr>
        <w:ind w:left="-8" w:firstLine="494"/>
        <w:spacing w:after="0" w:line="342" w:lineRule="auto"/>
        <w:tabs>
          <w:tab w:leader="none" w:pos="1030"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The appreciation distribution in respect of a Stock Appreciation Right may be paid in Common Stock or in cash, or any combination of the two, or in any other form of consideration as determined by the Administrator and contained in the Stock Appreciation Right Agreement.</w:t>
      </w:r>
    </w:p>
    <w:p>
      <w:pPr>
        <w:spacing w:after="0" w:line="123" w:lineRule="exact"/>
        <w:rPr>
          <w:rFonts w:ascii="Arial" w:cs="Arial" w:eastAsia="Arial" w:hAnsi="Arial"/>
          <w:sz w:val="16"/>
          <w:szCs w:val="16"/>
          <w:color w:val="auto"/>
        </w:rPr>
      </w:pPr>
    </w:p>
    <w:p>
      <w:pPr>
        <w:jc w:val="both"/>
        <w:ind w:left="-8" w:firstLine="494"/>
        <w:spacing w:after="0" w:line="291" w:lineRule="auto"/>
        <w:tabs>
          <w:tab w:leader="none" w:pos="1101"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Limitations on Transferability</w:t>
      </w:r>
      <w:r>
        <w:rPr>
          <w:rFonts w:ascii="Arial" w:cs="Arial" w:eastAsia="Arial" w:hAnsi="Arial"/>
          <w:sz w:val="16"/>
          <w:szCs w:val="16"/>
          <w:color w:val="auto"/>
        </w:rPr>
        <w:t>. A Stock Appreciation Right shall, during a Participant’s lifetime, be exercisable only by the Participant. No Stock Appreciation Right or any right granted thereunder shall be transferable by the Participant by operation of law or otherwise, other than by will or the laws of descent and distribution. Notwithstanding the foregoing, a Participant may designate a beneficiary to succeed, after the Participant’s death, to all of the Participant’s Stock Appreciation Rights outstanding on the date of termination of employment. Each Stock Appreciation Right Agreement shall set forth the extent to which the Participant shall have the right to exercise the Stock Appreciation Right following termination of the Participant’s employment or service with the Company and its Affiliates. Such provisions shall be determined in the sole discretion of the Administrator, need not be uniform among all Stock Appreciation Right Agreements entered into pursuant to the Plan and may reflect distinctions based on the reasons for termination of employment.</w:t>
      </w:r>
    </w:p>
    <w:p>
      <w:pPr>
        <w:spacing w:after="0" w:line="167" w:lineRule="exact"/>
        <w:rPr>
          <w:rFonts w:ascii="Arial" w:cs="Arial" w:eastAsia="Arial" w:hAnsi="Arial"/>
          <w:sz w:val="16"/>
          <w:szCs w:val="16"/>
          <w:color w:val="auto"/>
        </w:rPr>
      </w:pPr>
    </w:p>
    <w:p>
      <w:pPr>
        <w:jc w:val="both"/>
        <w:ind w:left="-8" w:firstLine="494"/>
        <w:spacing w:after="0" w:line="257" w:lineRule="auto"/>
        <w:tabs>
          <w:tab w:leader="none" w:pos="1027"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Subject to the limitation that no Stock Appreciation Right may be exercised after its stated expiration date, each Stock Appreciation Right Agreement shall set forth the extent to which the Participant shall have the right to exercise the Stock Appreciation Right, to the extent vested, following termination of the Participant’s employment of service with the Company and its Affiliates. Such provisions shall be determined in the sole discretion of the Administrator, need not be uniform among all Stock Appreciation Rights Agreements entered into pursuant to the Plan and may reflect distinctions based on the reasons for termination of employment.</w:t>
      </w:r>
    </w:p>
    <w:p>
      <w:pPr>
        <w:spacing w:after="0" w:line="188" w:lineRule="exact"/>
        <w:rPr>
          <w:rFonts w:ascii="Arial" w:cs="Arial" w:eastAsia="Arial" w:hAnsi="Arial"/>
          <w:sz w:val="18"/>
          <w:szCs w:val="18"/>
          <w:color w:val="auto"/>
        </w:rPr>
      </w:pPr>
    </w:p>
    <w:p>
      <w:pPr>
        <w:jc w:val="both"/>
        <w:ind w:left="-8" w:firstLine="494"/>
        <w:spacing w:after="0" w:line="264" w:lineRule="auto"/>
        <w:tabs>
          <w:tab w:leader="none" w:pos="1003"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A Participant or a transferee of a Participant shall have no rights as a shareholder with respect to any Shares covered by his or her Stock Appreciation Right until the date of issuance of such Shares. Except as provided in Section 19, no adjustment shall be made for dividends, distributions or other rights for which the record date is prior to the date such Shares are issued.</w:t>
      </w:r>
    </w:p>
    <w:p>
      <w:pPr>
        <w:spacing w:after="0" w:line="181" w:lineRule="exact"/>
        <w:rPr>
          <w:rFonts w:ascii="Arial" w:cs="Arial" w:eastAsia="Arial" w:hAnsi="Arial"/>
          <w:sz w:val="18"/>
          <w:szCs w:val="18"/>
          <w:color w:val="auto"/>
        </w:rPr>
      </w:pPr>
    </w:p>
    <w:p>
      <w:pPr>
        <w:jc w:val="both"/>
        <w:ind w:left="-8" w:firstLine="494"/>
        <w:spacing w:after="0" w:line="264" w:lineRule="auto"/>
        <w:tabs>
          <w:tab w:leader="none" w:pos="104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Other Terms and Conditions</w:t>
      </w:r>
      <w:r>
        <w:rPr>
          <w:rFonts w:ascii="Arial" w:cs="Arial" w:eastAsia="Arial" w:hAnsi="Arial"/>
          <w:sz w:val="18"/>
          <w:szCs w:val="18"/>
          <w:color w:val="auto"/>
        </w:rPr>
        <w:t>. The Stock Appreciation Right Agreement may contain such other terms and conditions, including restrictions or conditions on the vesting of the Stock Appreciation Right or the conditions under which the Stock Appreciation Right may be forfeited, as may be determined by the Administrator that are consistent with the Plan.</w:t>
      </w:r>
    </w:p>
    <w:p>
      <w:pPr>
        <w:spacing w:after="0" w:line="39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1" w:name="page12"/>
    <w:bookmarkEnd w:id="11"/>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494"/>
        <w:spacing w:after="0" w:line="270" w:lineRule="auto"/>
        <w:tabs>
          <w:tab w:leader="none" w:pos="1176"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Grants</w:t>
      </w:r>
      <w:r>
        <w:rPr>
          <w:rFonts w:ascii="Arial" w:cs="Arial" w:eastAsia="Arial" w:hAnsi="Arial"/>
          <w:sz w:val="17"/>
          <w:szCs w:val="17"/>
          <w:color w:val="auto"/>
        </w:rPr>
        <w:t xml:space="preserve">. Subject to the provisions of the Plan, the Administrator shall have sole and complete authority to determine the Employees and Directors to whom, and the time or times at which, grants of Restricted Stock will be made, the number of shares of Restricted Stock to be awarded, the price (if any) to be paid by the recipient of Restricted Stock, the time or times within which such Awards may be subject to forfeiture and all other terms and conditions of the Awards;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provided in Section 15(b) or in the event of a Participant’s death or Disability, Restricted Stock shall have a vesting period of not less than one year. The Administrator may condition the grant of Restricted Stock upon the attainment of specified performance objectives established by the Administrator pursuant to Section 14 or such other factors as the Administrator may determine, in its sole discretion. In addition to the foregoing restrictions, except with respect to a maximum of 5% of the shares authorized for issuance under Section 6, (x) any Awards of Restricted Stock which vest on the basis of the Participant’s length of service with the Company or its subsidiaries shall not provide for vesting that is any more rapid than pro rata vesting over a three-year period, and (y) any Awards of Restricted Stock which provide for vesting upon the attainment of performance goals shall provide for a performance period of at least 12 months.</w:t>
      </w:r>
    </w:p>
    <w:p>
      <w:pPr>
        <w:spacing w:after="0" w:line="17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terms of each Restricted Stock Award shall be set forth in a Restricted Stock Agreement between the Company and the Participant, which Agreement shall contain such provisions as the Administrator determines to be necessary or appropriate to carry out the intent of the Plan. Each Participant receiving a Restricted Stock Award shall be issued a stock certificate in respect of such shares of Restricted Stock. Such certificate shall be registered in the name of such Participant and shall bear an appropriate legend referring to the terms, conditions and restrictions applicable to such Award. The Administrator shall require that stock certificates evidencing such shares be held by the Company until the restrictions lapse and that, as a condition of any Restricted Stock Award, the Participant shall deliver to the Company a stock power relating to the stock covered by such Award.</w:t>
      </w:r>
    </w:p>
    <w:p>
      <w:pPr>
        <w:spacing w:after="0" w:line="178" w:lineRule="exact"/>
        <w:rPr>
          <w:sz w:val="20"/>
          <w:szCs w:val="20"/>
          <w:color w:val="auto"/>
        </w:rPr>
      </w:pPr>
    </w:p>
    <w:p>
      <w:pPr>
        <w:ind w:left="1040" w:hanging="546"/>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Restrictions and Conditions</w:t>
      </w:r>
      <w:r>
        <w:rPr>
          <w:rFonts w:ascii="Arial" w:cs="Arial" w:eastAsia="Arial" w:hAnsi="Arial"/>
          <w:sz w:val="16"/>
          <w:szCs w:val="16"/>
          <w:color w:val="auto"/>
        </w:rPr>
        <w:t>. The shares of Restricted Stock awarded pursuant to this Section 9 shall be subject to the following restrictions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210" w:lineRule="exact"/>
        <w:rPr>
          <w:rFonts w:ascii="Arial" w:cs="Arial" w:eastAsia="Arial" w:hAnsi="Arial"/>
          <w:sz w:val="16"/>
          <w:szCs w:val="16"/>
          <w:color w:val="auto"/>
        </w:rPr>
      </w:pPr>
    </w:p>
    <w:p>
      <w:pPr>
        <w:jc w:val="both"/>
        <w:ind w:left="340" w:firstLine="316"/>
        <w:spacing w:after="0" w:line="257" w:lineRule="auto"/>
        <w:tabs>
          <w:tab w:leader="none" w:pos="12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During a period set by the Administrator commencing with the date of such Award (the “Restriction Period”), the Participant shall not be permitted to sell, transfer, pledge, assign or encumber shares of Restricted Stock awarded under the Plan. Within these limits, the Administrator, in its sole discretion, may provide for the lapse of such restrictions in installments and may accelerate or waive such restrictions in whole or in part, based on service, performance or such other factors or criteria as the Administrator may determine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Administrator may not waive the one-year vesting restriction in the proviso of Section 9(a).</w:t>
      </w:r>
    </w:p>
    <w:p>
      <w:pPr>
        <w:spacing w:after="0" w:line="188" w:lineRule="exact"/>
        <w:rPr>
          <w:rFonts w:ascii="Arial" w:cs="Arial" w:eastAsia="Arial" w:hAnsi="Arial"/>
          <w:sz w:val="18"/>
          <w:szCs w:val="18"/>
          <w:color w:val="auto"/>
        </w:rPr>
      </w:pPr>
    </w:p>
    <w:p>
      <w:pPr>
        <w:jc w:val="both"/>
        <w:ind w:left="340" w:firstLine="316"/>
        <w:spacing w:after="0" w:line="272" w:lineRule="auto"/>
        <w:tabs>
          <w:tab w:leader="none" w:pos="1212"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Except as provided in this paragraph (ii) and paragraph (i) above, the Participant shall have, with respect to the shares of Restricted Stock, all of the rights of a shareholder of the Company, including the right to vote the shares and the right to receive any cash dividends;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Administrator shall provide that either (A) the payment of ordinary cash dividends shall be delayed unless and until the underlying Restricted Stock becomes vested or (B) such ordinary cash dividends shall be invested in additional shares of Restricted Stock (or Share Equivalents or Restricted Stock Units) to the extent available under Section 6, which shall be subject to the same restrictions as the underlying Restricted Stock. Stock dividends issued with respect to Restricted Stock shall be treated as additional shares of Restricted Stock that are subject to the same restrictions and other terms and conditions that apply to the shares with respect to which such dividends are issued.</w:t>
      </w:r>
    </w:p>
    <w:p>
      <w:pPr>
        <w:spacing w:after="0" w:line="177" w:lineRule="exact"/>
        <w:rPr>
          <w:rFonts w:ascii="Arial" w:cs="Arial" w:eastAsia="Arial" w:hAnsi="Arial"/>
          <w:sz w:val="17"/>
          <w:szCs w:val="17"/>
          <w:color w:val="auto"/>
        </w:rPr>
      </w:pPr>
    </w:p>
    <w:p>
      <w:pPr>
        <w:ind w:left="340" w:right="20" w:firstLine="316"/>
        <w:spacing w:after="0" w:line="277" w:lineRule="auto"/>
        <w:tabs>
          <w:tab w:leader="none" w:pos="1273"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Administrator shall specify the conditions under which shares of Restricted Stock shall vest or be forfeited and such conditions shall be set forth in the Restricted Stock Agreement.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ind w:left="340" w:firstLine="316"/>
        <w:spacing w:after="0" w:line="264" w:lineRule="auto"/>
        <w:tabs>
          <w:tab w:leader="none" w:pos="1414" w:val="left"/>
        </w:tabs>
        <w:numPr>
          <w:ilvl w:val="2"/>
          <w:numId w:val="29"/>
        </w:numPr>
        <w:rPr>
          <w:rFonts w:ascii="Arial" w:cs="Arial" w:eastAsia="Arial" w:hAnsi="Arial"/>
          <w:sz w:val="18"/>
          <w:szCs w:val="18"/>
          <w:color w:val="auto"/>
        </w:rPr>
      </w:pPr>
      <w:r>
        <w:rPr>
          <w:rFonts w:ascii="Arial" w:cs="Arial" w:eastAsia="Arial" w:hAnsi="Arial"/>
          <w:sz w:val="18"/>
          <w:szCs w:val="18"/>
          <w:color w:val="auto"/>
        </w:rPr>
        <w:t>If and when the Restriction Period applicable to shares of Restricted Stock expires without a prior forfeiture of the Restricted Stock, certificates for an appropriate number of unrestricted shares shall be delivered promptly to the Participant, and the certificates for the shares of Restricted Stock shall be cancelled.</w:t>
      </w:r>
    </w:p>
    <w:p>
      <w:pPr>
        <w:spacing w:after="0" w:line="17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494"/>
        <w:spacing w:after="0" w:line="288" w:lineRule="auto"/>
        <w:tabs>
          <w:tab w:leader="none" w:pos="1176"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xml:space="preserve">. Subject to the provisions of the Plan, the Administrator shall have sole and complete authority to determine the Employees and Directors to whom, and the time or times at which, grants of Restricted Stock Units will be made, the number of Restricted Stock Units to be awarded, the price (if any) to be paid by the recipient of the Restricted Stock Units, the time or times within which such Restricted Stock Units may be subject to forfeiture and all other terms and conditions of the Restricted Stock Unit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set forth in Section 15(b) or in the event of a Participant’s death or Disability, Restricted Stock Units shall have a vesting period of not less than one year. The Administrator may condition the grant of Restricted Stock Unit Awards upon the attainment of specified performance objectives established by the Administrator pursuant to Section 14 or such other factors as the Administrator may determine, in its sole discretion. In addition to the foregoing restrictions, except with respect to a maximum of 5% of the shares authorized for issuance under Section 6, (x) any Restricted Stock Units which vest on the basis of the Participant’s length of service with the Company or its subsidiaries shall not provide for vesting that is any more rapid than pro rata vesting over a three-year period, and (y) any Restricted Stock Units which provide for vesting upon the attainment of performance goals shall provide for a performance period of at least 12 months.</w:t>
      </w:r>
    </w:p>
    <w:p>
      <w:pPr>
        <w:spacing w:after="0" w:line="16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terms of each Restricted Stock Unit Award shall be set forth in a Restricted Stock Unit Award Agreement between the Company and the Participant, which Agreement shall contain such provisions as the Administrator determines to be necessary or appropriate to carry out the intent of the Plan. With respect to a Restricted Stock Unit Award, no certificate for shares of stock shall be issued at the time the grant is made (nor shall any book entry be made in the records of the Company), and the Participant shall have no right to or interest in shares of stock of the Company as a result of the grant of Restricted Stock Units.</w:t>
      </w:r>
    </w:p>
    <w:p>
      <w:pPr>
        <w:spacing w:after="0" w:line="188" w:lineRule="exact"/>
        <w:rPr>
          <w:sz w:val="20"/>
          <w:szCs w:val="20"/>
          <w:color w:val="auto"/>
        </w:rPr>
      </w:pPr>
    </w:p>
    <w:p>
      <w:pPr>
        <w:ind w:left="1080" w:hanging="586"/>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Restrictions and Conditions</w:t>
      </w:r>
      <w:r>
        <w:rPr>
          <w:rFonts w:ascii="Arial" w:cs="Arial" w:eastAsia="Arial" w:hAnsi="Arial"/>
          <w:sz w:val="16"/>
          <w:szCs w:val="16"/>
          <w:color w:val="auto"/>
        </w:rPr>
        <w:t>. The Restricted Stock Units awarded pursuant to this Section 10 shall be subject to the following restrictions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210" w:lineRule="exact"/>
        <w:rPr>
          <w:rFonts w:ascii="Arial" w:cs="Arial" w:eastAsia="Arial" w:hAnsi="Arial"/>
          <w:sz w:val="16"/>
          <w:szCs w:val="16"/>
          <w:color w:val="auto"/>
        </w:rPr>
      </w:pPr>
    </w:p>
    <w:p>
      <w:pPr>
        <w:jc w:val="both"/>
        <w:ind w:left="340" w:firstLine="316"/>
        <w:spacing w:after="0" w:line="273" w:lineRule="auto"/>
        <w:tabs>
          <w:tab w:leader="none" w:pos="1237"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At the time of grant of a Restricted Stock Unit Award, the Administrator may impose such restrictions or conditions on the vesting of the Restricted Stock Units, as the Administrator deems appropriate. Within these limits, the Administrator, in its sole discretion, may provide for the lapse of such restrictions in installments and may accelerate or waive such restrictions in whole or in part, based on service, performance, or such other factors or criteria as the Administrator may determine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Administrator may not waive the one-year vesting restriction in the proviso of Section 10(a). The foregoing notwithstanding, no action pursuant to the preceding sentence may alter the time of payment of the Restricted Stock Unit Award if such alteration would cause the Award to be subject to penalty under Code Section 409A.</w:t>
      </w:r>
    </w:p>
    <w:p>
      <w:pPr>
        <w:spacing w:after="0" w:line="178" w:lineRule="exact"/>
        <w:rPr>
          <w:rFonts w:ascii="Arial" w:cs="Arial" w:eastAsia="Arial" w:hAnsi="Arial"/>
          <w:sz w:val="17"/>
          <w:szCs w:val="17"/>
          <w:color w:val="auto"/>
        </w:rPr>
      </w:pPr>
    </w:p>
    <w:p>
      <w:pPr>
        <w:jc w:val="both"/>
        <w:ind w:left="340" w:firstLine="316"/>
        <w:spacing w:after="0" w:line="255" w:lineRule="auto"/>
        <w:tabs>
          <w:tab w:leader="none" w:pos="144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Dividend equivalents may be credited in respect of Restricted Stock Units, as the Administrator deems appropriate. Such dividend equivalents may be paid in cash (when the underlying Restricted Stock Unit vests) or converted into additional Restricted Stock Units by dividing (1) the aggregate amount or value of the dividends paid with respect to that number of Shares equal to the number of Restricted Stock Units then credited by (2) the Fair Market Value per Share on the payment date for such dividend. The additional Restricted Stock Units credited by reason of such dividend equivalents will be subject to all of the terms and conditions (including the vesting schedule) of the underlying Restricted Stock Unit Award to which they relate.</w:t>
      </w:r>
    </w:p>
    <w:p>
      <w:pPr>
        <w:spacing w:after="0" w:line="193" w:lineRule="exact"/>
        <w:rPr>
          <w:rFonts w:ascii="Arial" w:cs="Arial" w:eastAsia="Arial" w:hAnsi="Arial"/>
          <w:sz w:val="18"/>
          <w:szCs w:val="18"/>
          <w:color w:val="auto"/>
        </w:rPr>
      </w:pPr>
    </w:p>
    <w:p>
      <w:pPr>
        <w:ind w:left="340" w:firstLine="316"/>
        <w:spacing w:after="0" w:line="277" w:lineRule="auto"/>
        <w:tabs>
          <w:tab w:leader="none" w:pos="1276"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Administrator shall specify the conditions under which Restricted Stock Units shall vest or be forfeited and such conditions shall be set forth in the Restricted Stock Unit Agreement.</w:t>
      </w:r>
    </w:p>
    <w:p>
      <w:pPr>
        <w:spacing w:after="0" w:line="170" w:lineRule="exact"/>
        <w:rPr>
          <w:rFonts w:ascii="Arial" w:cs="Arial" w:eastAsia="Arial" w:hAnsi="Arial"/>
          <w:sz w:val="18"/>
          <w:szCs w:val="18"/>
          <w:color w:val="auto"/>
        </w:rPr>
      </w:pPr>
    </w:p>
    <w:p>
      <w:pPr>
        <w:jc w:val="both"/>
        <w:ind w:firstLine="494"/>
        <w:spacing w:after="0" w:line="255" w:lineRule="auto"/>
        <w:tabs>
          <w:tab w:leader="none" w:pos="104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Deferral Election</w:t>
      </w:r>
      <w:r>
        <w:rPr>
          <w:rFonts w:ascii="Arial" w:cs="Arial" w:eastAsia="Arial" w:hAnsi="Arial"/>
          <w:sz w:val="18"/>
          <w:szCs w:val="18"/>
          <w:color w:val="auto"/>
        </w:rPr>
        <w:t>. Each recipient of a Restricted Stock Unit Award may be eligible, subject to Administrator approval, to elect to defer all or a percentage of any Shares he or she may be entitled to receive upon the lapse of any restrictions or vesting period to which the Award is subject. This election shall be made by giving notice in a manner and within the time prescribed by the Administrator and in compliance with the requirements of Code Section 409A. Each Participant must indicate the percentage (expressed in whole percentages) he or she elects to defer of any Shares he or she may be entitled to receive. If no notice is given, the Participant shall be deemed to have made no deferral election. Each deferral election filed with the Administrator shall become irrevocable on and after the prescribed deadline.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SHARES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494"/>
        <w:spacing w:after="0" w:line="272" w:lineRule="auto"/>
        <w:tabs>
          <w:tab w:leader="none" w:pos="1176"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Grants</w:t>
      </w:r>
      <w:r>
        <w:rPr>
          <w:rFonts w:ascii="Arial" w:cs="Arial" w:eastAsia="Arial" w:hAnsi="Arial"/>
          <w:sz w:val="17"/>
          <w:szCs w:val="17"/>
          <w:color w:val="auto"/>
        </w:rPr>
        <w:t xml:space="preserve">. Subject to the provisions of the Plan, the Administrator shall have sole and complete authority to determine the Employees and Directors to whom, and the time or times at which, grants of Performance Shares will be made, the number of Performance Shares to be awarded, the price (if any) to be paid by the recipient of the Performance Shares, the time or times within which such Performance Shares may be subject to forfeiture and all other terms and conditions of the Performance Share Awards;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set forth in Section 15(b) or in the event of a Participant’s death or Disability, Performance Shares shall have a vesting period of not less than one year. The Administrator may condition the grant of Performance Share Awards upon the attainment of specified performance objectives established by the Administrator pursuant to Section 14 or such other factors as the Administrator may determine, in its sole discretion.</w:t>
      </w:r>
    </w:p>
    <w:p>
      <w:pPr>
        <w:spacing w:after="0" w:line="17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terms of each Performance Share Award shall be set forth in a Performance Share Award Agreement between the Company and the Participant, which Agreement shall contain such provisions as the Administrator determines to be necessary or appropriate to carry out the intent of the Plan. With respect to a Performance Share Award, no certificate for shares of stock shall be issued at the time the grant is made (nor shall any book entry be made in the records of the Company), and the Participant shall have no right to or interest in shares of stock of the Company as a result of the grant of Performance Shares.</w:t>
      </w:r>
    </w:p>
    <w:p>
      <w:pPr>
        <w:spacing w:after="0" w:line="154" w:lineRule="exact"/>
        <w:rPr>
          <w:sz w:val="20"/>
          <w:szCs w:val="20"/>
          <w:color w:val="auto"/>
        </w:rPr>
      </w:pPr>
    </w:p>
    <w:p>
      <w:pPr>
        <w:ind w:left="1120" w:hanging="626"/>
        <w:spacing w:after="0"/>
        <w:tabs>
          <w:tab w:leader="none" w:pos="112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Restrictions and Conditions</w:t>
      </w:r>
      <w:r>
        <w:rPr>
          <w:rFonts w:ascii="Arial" w:cs="Arial" w:eastAsia="Arial" w:hAnsi="Arial"/>
          <w:sz w:val="16"/>
          <w:szCs w:val="16"/>
          <w:color w:val="auto"/>
        </w:rPr>
        <w:t>. The Performance Shares awarded pursuant to this Section 11 shall be subject to the following restrictions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210" w:lineRule="exact"/>
        <w:rPr>
          <w:rFonts w:ascii="Arial" w:cs="Arial" w:eastAsia="Arial" w:hAnsi="Arial"/>
          <w:sz w:val="16"/>
          <w:szCs w:val="16"/>
          <w:color w:val="auto"/>
        </w:rPr>
      </w:pPr>
    </w:p>
    <w:p>
      <w:pPr>
        <w:jc w:val="both"/>
        <w:ind w:left="340" w:firstLine="316"/>
        <w:spacing w:after="0" w:line="270" w:lineRule="auto"/>
        <w:tabs>
          <w:tab w:leader="none" w:pos="1190" w:val="left"/>
        </w:tabs>
        <w:numPr>
          <w:ilvl w:val="2"/>
          <w:numId w:val="33"/>
        </w:numPr>
        <w:rPr>
          <w:rFonts w:ascii="Arial" w:cs="Arial" w:eastAsia="Arial" w:hAnsi="Arial"/>
          <w:sz w:val="17"/>
          <w:szCs w:val="17"/>
          <w:color w:val="auto"/>
        </w:rPr>
      </w:pPr>
      <w:r>
        <w:rPr>
          <w:rFonts w:ascii="Arial" w:cs="Arial" w:eastAsia="Arial" w:hAnsi="Arial"/>
          <w:sz w:val="17"/>
          <w:szCs w:val="17"/>
          <w:color w:val="auto"/>
        </w:rPr>
        <w:t xml:space="preserve">At the time of grant of a Performance Share Award, the Administrator may set performance objectives in its discretion which, depending on the extent to which they are met, will determined the number of Performance Shares that will be paid out to the Participant. The time period during which the performance objectives must be met will be called the “Performance Period.” After the applicable Performance Period has ended, the recipient of the Performance Shares will be entitled to receive the number of Performance Shares earned by the Participant over the Performance Period, to be determined as a function of the extent to which the corresponding performance objectives have been achieved. After the grant of a Performance Share Award, the Administrator, in its sole discretion, may reduce or waive any performance objective for such Performance Share Award;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Administrator may not waive the restriction in the proviso of Section 11(a) and further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performance objective may be waived or reduced for a Covered Employee and further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action may alter the time of payment of the Performance Share Award if such alteration would cause the award to be subject to penalty under Code Section 409A.</w:t>
      </w:r>
    </w:p>
    <w:p>
      <w:pPr>
        <w:spacing w:after="0" w:line="181" w:lineRule="exact"/>
        <w:rPr>
          <w:rFonts w:ascii="Arial" w:cs="Arial" w:eastAsia="Arial" w:hAnsi="Arial"/>
          <w:sz w:val="17"/>
          <w:szCs w:val="17"/>
          <w:color w:val="auto"/>
        </w:rPr>
      </w:pPr>
    </w:p>
    <w:p>
      <w:pPr>
        <w:ind w:left="1200" w:hanging="544"/>
        <w:spacing w:after="0"/>
        <w:tabs>
          <w:tab w:leader="none" w:pos="1200" w:val="left"/>
        </w:tabs>
        <w:numPr>
          <w:ilvl w:val="2"/>
          <w:numId w:val="33"/>
        </w:numPr>
        <w:rPr>
          <w:rFonts w:ascii="Arial" w:cs="Arial" w:eastAsia="Arial" w:hAnsi="Arial"/>
          <w:sz w:val="16"/>
          <w:szCs w:val="16"/>
          <w:color w:val="auto"/>
        </w:rPr>
      </w:pPr>
      <w:r>
        <w:rPr>
          <w:rFonts w:ascii="Arial" w:cs="Arial" w:eastAsia="Arial" w:hAnsi="Arial"/>
          <w:sz w:val="16"/>
          <w:szCs w:val="16"/>
          <w:color w:val="auto"/>
        </w:rPr>
        <w:t>Dividend equivalents will not be credited in respect of any unearned Performance Share Award during the applicable Performance Period.</w:t>
      </w:r>
    </w:p>
    <w:p>
      <w:pPr>
        <w:spacing w:after="0" w:line="244" w:lineRule="exact"/>
        <w:rPr>
          <w:rFonts w:ascii="Arial" w:cs="Arial" w:eastAsia="Arial" w:hAnsi="Arial"/>
          <w:sz w:val="16"/>
          <w:szCs w:val="16"/>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SHARE-BASED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494"/>
        <w:spacing w:after="0" w:line="259" w:lineRule="auto"/>
        <w:tabs>
          <w:tab w:leader="none" w:pos="101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Other Awards of Shares and other Awards that are valued in whole or in part by reference to, or are otherwise based on, Shares (“Other Share-Based Awards”), may be granted either alone or in addition to or in conjunction with other Awards under this Plan. Awards under this Section 12 may include (without limitation) Stock Rights, the grant of Shares conditioned upon some specified event, the payment of cash based upon the performance of the Shares or the grant of securities convertible into Shares.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ind w:firstLine="486"/>
        <w:spacing w:after="0" w:line="286" w:lineRule="auto"/>
        <w:rPr>
          <w:sz w:val="20"/>
          <w:szCs w:val="20"/>
          <w:color w:val="auto"/>
        </w:rPr>
      </w:pPr>
      <w:r>
        <w:rPr>
          <w:rFonts w:ascii="Arial" w:cs="Arial" w:eastAsia="Arial" w:hAnsi="Arial"/>
          <w:sz w:val="16"/>
          <w:szCs w:val="16"/>
          <w:color w:val="auto"/>
        </w:rPr>
        <w:t xml:space="preserve">Subject to the provisions of the Plan, the Administrator shall have sole and complete authority to determine the Employees and Directors to whom and the time or times at which Other Share-Based Awards shall be made, the number of Shares or other securities, if any, to be granted pursuant to Other Share-Based Awards, and all other conditions of the Other Share-Based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set forth in Section 15(b) or in the event of a Participant’s death or Disability, Other Share-Based Awards shall have a vesting period of not less than one year. The Administrator may condition the grant of an Other Share-Based Award upon the attainment of specified performance goals or such other factors as the Administrator shall determine, in its sole discretion. In granting an Other Share-Based Award, the Administrator may determine that the recipient of an Other Share-Based Award shall be entitled to receive, currently or on a deferred basis, interest or dividends or dividend equivalents with respect to the Shares or other securities covered by the Award, and the Administrator may provide that such amounts (if any) shall be deemed to have been reinvested in additional Shares or otherwise reinvested;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Administrator shall provide that either (A) the payment of ordinary cash dividends shall be delayed unless and until the underlying Award becomes vested or (B) such ordinary cash dividends shall be invested in additional Shares, Share Equivalents or Restricted Stock Units to the extent available under Section 6, which shall be subject to the same restrictions as the underlying Award. The terms of any Other Share-Based Award shall be set forth in an Other Share-Based Award Agreement between the Company and the Participant, which Agreement shall contain such provisions as the Administrator determines to be necessary or appropriate to carry out the intent of the Plan.</w:t>
      </w:r>
    </w:p>
    <w:p>
      <w:pPr>
        <w:spacing w:after="0" w:line="175" w:lineRule="exact"/>
        <w:rPr>
          <w:sz w:val="20"/>
          <w:szCs w:val="20"/>
          <w:color w:val="auto"/>
        </w:rPr>
      </w:pPr>
    </w:p>
    <w:p>
      <w:pPr>
        <w:ind w:firstLine="494"/>
        <w:spacing w:after="0" w:line="277" w:lineRule="auto"/>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In addition to the terms and conditions specified in the Other Share-Based Award Agreement, Other Share-Based Awards shall be subject to the following:</w:t>
      </w:r>
    </w:p>
    <w:p>
      <w:pPr>
        <w:spacing w:after="0" w:line="170" w:lineRule="exact"/>
        <w:rPr>
          <w:rFonts w:ascii="Arial" w:cs="Arial" w:eastAsia="Arial" w:hAnsi="Arial"/>
          <w:sz w:val="18"/>
          <w:szCs w:val="18"/>
          <w:color w:val="auto"/>
        </w:rPr>
      </w:pPr>
    </w:p>
    <w:p>
      <w:pPr>
        <w:ind w:left="340" w:firstLine="316"/>
        <w:spacing w:after="0" w:line="308" w:lineRule="auto"/>
        <w:tabs>
          <w:tab w:leader="none" w:pos="1156" w:val="left"/>
        </w:tabs>
        <w:numPr>
          <w:ilvl w:val="2"/>
          <w:numId w:val="35"/>
        </w:numPr>
        <w:rPr>
          <w:rFonts w:ascii="Arial" w:cs="Arial" w:eastAsia="Arial" w:hAnsi="Arial"/>
          <w:sz w:val="17"/>
          <w:szCs w:val="17"/>
          <w:color w:val="auto"/>
        </w:rPr>
      </w:pPr>
      <w:r>
        <w:rPr>
          <w:rFonts w:ascii="Arial" w:cs="Arial" w:eastAsia="Arial" w:hAnsi="Arial"/>
          <w:sz w:val="17"/>
          <w:szCs w:val="17"/>
          <w:color w:val="auto"/>
        </w:rPr>
        <w:t>Any Other Share-Based Award may not be sold, assigned, transferred, pledged or otherwise encumbered prior to the date on which the Shares are issued or the Award becomes payable, or, if later, the date on which any applicable restriction, performance or deferral period lapses.</w:t>
      </w:r>
    </w:p>
    <w:p>
      <w:pPr>
        <w:spacing w:after="0" w:line="146" w:lineRule="exact"/>
        <w:rPr>
          <w:rFonts w:ascii="Arial" w:cs="Arial" w:eastAsia="Arial" w:hAnsi="Arial"/>
          <w:sz w:val="17"/>
          <w:szCs w:val="17"/>
          <w:color w:val="auto"/>
        </w:rPr>
      </w:pPr>
    </w:p>
    <w:p>
      <w:pPr>
        <w:jc w:val="both"/>
        <w:ind w:left="340" w:firstLine="316"/>
        <w:spacing w:after="0" w:line="302" w:lineRule="auto"/>
        <w:tabs>
          <w:tab w:leader="none" w:pos="1231" w:val="left"/>
        </w:tabs>
        <w:numPr>
          <w:ilvl w:val="2"/>
          <w:numId w:val="35"/>
        </w:numPr>
        <w:rPr>
          <w:rFonts w:ascii="Arial" w:cs="Arial" w:eastAsia="Arial" w:hAnsi="Arial"/>
          <w:sz w:val="16"/>
          <w:szCs w:val="16"/>
          <w:color w:val="auto"/>
        </w:rPr>
      </w:pPr>
      <w:r>
        <w:rPr>
          <w:rFonts w:ascii="Arial" w:cs="Arial" w:eastAsia="Arial" w:hAnsi="Arial"/>
          <w:sz w:val="16"/>
          <w:szCs w:val="16"/>
          <w:color w:val="auto"/>
        </w:rPr>
        <w:t>The Other Share-Based Award Agreement shall contain provisions dealing with the disposition of such Award in the event of termination of the Employee's employment or the Director’s service prior to the exercise, realization or payment of such Award, and, subject to the achievement of one-year minimum vesting (unless otherwise in connection with a Change-in-Control), the Administrator in its sole discretion may provide for payment of the Award in the event of the Participant’s Disability or death, with such provisions to take account of the specific nature and purpose of the Award.</w:t>
      </w:r>
    </w:p>
    <w:p>
      <w:pPr>
        <w:spacing w:after="0" w:line="150" w:lineRule="exact"/>
        <w:rPr>
          <w:rFonts w:ascii="Arial" w:cs="Arial" w:eastAsia="Arial" w:hAnsi="Arial"/>
          <w:sz w:val="16"/>
          <w:szCs w:val="16"/>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PAYMENTS IN SHARES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Shares may be issued under this Plan to satisfy the payment of all or part of an award pursuant to the Company’s annual bonus plan. In addition, all or</w:t>
      </w:r>
    </w:p>
    <w:p>
      <w:pPr>
        <w:spacing w:after="0" w:line="46"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part of any Director’s fees may be paid in Shares or Share Equivalents issued under this Plan. Any Shares issued pursuant to this Section 13 shall reduce the number of Shares authorized under Section 6 but shall not be considered an Award for purposes of the maximum grant limitation in Section 5(b).</w:t>
      </w:r>
    </w:p>
    <w:p>
      <w:pPr>
        <w:spacing w:after="0" w:line="135"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OBJECTIVES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20" w:firstLine="494"/>
        <w:spacing w:after="0" w:line="342" w:lineRule="auto"/>
        <w:tabs>
          <w:tab w:leader="none" w:pos="1068"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Authority to Establish</w:t>
      </w:r>
      <w:r>
        <w:rPr>
          <w:rFonts w:ascii="Arial" w:cs="Arial" w:eastAsia="Arial" w:hAnsi="Arial"/>
          <w:sz w:val="16"/>
          <w:szCs w:val="16"/>
          <w:color w:val="auto"/>
        </w:rPr>
        <w:t xml:space="preserve">. The Administrator shall determine the terms and conditions of Awards at the date of grant or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performance objectives for each year, if any, shall be established by the Administrator not later than the latest date permissible under Code Section 162(m).</w:t>
      </w:r>
    </w:p>
    <w:p>
      <w:pPr>
        <w:spacing w:after="0" w:line="123" w:lineRule="exact"/>
        <w:rPr>
          <w:rFonts w:ascii="Arial" w:cs="Arial" w:eastAsia="Arial" w:hAnsi="Arial"/>
          <w:sz w:val="16"/>
          <w:szCs w:val="16"/>
          <w:color w:val="auto"/>
        </w:rPr>
      </w:pPr>
    </w:p>
    <w:p>
      <w:pPr>
        <w:jc w:val="both"/>
        <w:ind w:firstLine="494"/>
        <w:spacing w:after="0" w:line="287" w:lineRule="auto"/>
        <w:tabs>
          <w:tab w:leader="none" w:pos="1025"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Criteria</w:t>
      </w:r>
      <w:r>
        <w:rPr>
          <w:rFonts w:ascii="Arial" w:cs="Arial" w:eastAsia="Arial" w:hAnsi="Arial"/>
          <w:sz w:val="16"/>
          <w:szCs w:val="16"/>
          <w:color w:val="auto"/>
        </w:rPr>
        <w:t>. To the extent that such Awards are paid to Employees the performance objectives to be used, if any, shall be expressed in terms of one or more of the following: total shareholder return; earnings per share; stock price; return on equity; net earnings; income from continuing operations; related return ratios; cash flow; net earnings growth; earnings before interest, taxes, depreciation and amortization (“EBITDA”); gross or operating margins; productivity ratios; expense targets; operating efficiency; market share; customer satisfaction; working capital targets (including, but not limited to days sales outstanding); return on assets; increase in revenues; decrease in expenses; increase in funds from operations (“FFO”); and increase in FFO per share. Awards may be based on performance against objectives for more than one Subsidiary or segment of the Company. For example, awards for a Participant employed by the Company may be based on overall corporate performance against objectives, but awards for a Participant employed by a Subsidiary may be based on a combination of corporate, segment and Subsidiary performance against objectives. Performance objectives, if any, established by the Administrator may be (but need not be) different from year-to-year, and different performance objectives may be applicable to different Participants. Performance objectives may be determined on an absolute basis or relative to internal goals or relative to levels attained in prior years or related to other companies or indices or as ratios expressing relationships between two or more performance objectives. In addition, performance objectives may be based upon the attainment of specified levels of Company performance under one or more of the measures described above relative to the performance of other corporations.</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494"/>
        <w:spacing w:after="0" w:line="273" w:lineRule="auto"/>
        <w:tabs>
          <w:tab w:leader="none" w:pos="1041"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The Committee shall specify the manner of adjustment of any performance objectives to the extent necessary to prevent dilution or enlargement of any award as a result of extraordinary events or circumstances, as determined by the Committee, or to exclude the effects of extraordinary, unusual or nonrecurring items; changes in applicable laws, regulations, or accounting principles; currency fluctuations; discontinued operations; noncash items, such as amortization, depreciation or reserves; asset impairment; or any recapitalization, restructuring, reorganization, merger, acquisition, divestiture, consolidation, spin-off, split-up, combination, liquidation, dissolution, sale of assets or other similar corporate transaction. Any adjustment to performance objectives pursuant to this Section 14(c) shall be done in accordance with Code Section 162(m).</w:t>
      </w:r>
    </w:p>
    <w:p>
      <w:pPr>
        <w:spacing w:after="0" w:line="174" w:lineRule="exact"/>
        <w:rPr>
          <w:rFonts w:ascii="Arial" w:cs="Arial" w:eastAsia="Arial" w:hAnsi="Arial"/>
          <w:sz w:val="17"/>
          <w:szCs w:val="17"/>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CHANGE-IN-CONTROL</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494"/>
        <w:spacing w:after="0" w:line="273" w:lineRule="auto"/>
        <w:tabs>
          <w:tab w:leader="none" w:pos="1068"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Effect of Change-in-Control on Options and Stock Appreciation Rights</w:t>
      </w:r>
      <w:r>
        <w:rPr>
          <w:rFonts w:ascii="Arial" w:cs="Arial" w:eastAsia="Arial" w:hAnsi="Arial"/>
          <w:sz w:val="17"/>
          <w:szCs w:val="17"/>
          <w:color w:val="auto"/>
        </w:rPr>
        <w:t>. Subject to the limitations set forth in Section 15(c), in the event of a Change-in-Control, the surviving, continuing, successor or purchasing Company or other business entity or parent thereof, as the case may be (the “Acquiror”) may, without the consent of any Participant, either assume or continue the Company’s rights and obligations under outstanding Options and Stock Appreciation Rights or substitute for outstanding Options and Stock Appreciation Rights substantially equivalent options covering the Acquiror’s stock. All Options and Stock Appreciation Rights assumed or continued by the Acquiror in connection with a Change-in-Control will become fully vested and exercisable if the Participant’s employment is terminated without Cause at any time during the 12-month period following the Change-in-Control.</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Any Option or Stock Appreciation Right granted one year or more prior to the Change-in-Control that is neither assumed nor continued by the Acquiror in connection with the Change-in-Control shall, contingent on the Change-in-Control, become fully vested and exercisable immediately prior to the Change-in-Control. Any Option or Stock Appreciation Right granted less than one year prior to the Change-in-Control that is neither assumed nor continued by the Acquiror in connection with the Change-in-Control shall, to the extent not previously vested and exercisable, immediately prior to the Change-in-Control become vested and exercisable as to the number of Shares subject to such Option or Stock Appreciation Right equal to (i) the number of Shares originally subject to such Option or Stock Appreciation Right, multiplied by (ii) the number of whole months between the Grant Date and the Change-in-Control, divided by (iii) the number of months between the Grant Date and the date on which all Shares originally subject to such Option or Stock Appreciation Right would have been fully vested and exercisable; and such Option or Stock Appreciation Right shall terminate with respect to all remaining Shares subject to such Option or Stock Appreciation Right.</w:t>
      </w:r>
    </w:p>
    <w:p>
      <w:pPr>
        <w:spacing w:after="0" w:line="182" w:lineRule="exact"/>
        <w:rPr>
          <w:sz w:val="20"/>
          <w:szCs w:val="20"/>
          <w:color w:val="auto"/>
        </w:rPr>
      </w:pPr>
    </w:p>
    <w:p>
      <w:pPr>
        <w:jc w:val="both"/>
        <w:ind w:firstLine="494"/>
        <w:spacing w:after="0" w:line="287" w:lineRule="auto"/>
        <w:tabs>
          <w:tab w:leader="none" w:pos="754"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Effect of Change-in-Control on Awards Other Than Options</w:t>
      </w:r>
      <w:r>
        <w:rPr>
          <w:rFonts w:ascii="Arial" w:cs="Arial" w:eastAsia="Arial" w:hAnsi="Arial"/>
          <w:sz w:val="16"/>
          <w:szCs w:val="16"/>
          <w:color w:val="auto"/>
        </w:rPr>
        <w:t>. Subject to the limitations set forth in Section 15(c), in the event of a Change-in-Control, the Acquiror may, without the consent of any Participant, either assume or continue the Company’s rights and obligations under outstanding Awards other than Options or substitute for such Awards substantially equivalent awards covering the Acquiror’s stock. All Awards other than Options assumed or continued by the Acquiror in connection with a Change-in-Control will become fully vested and all restrictions on such Awards will lapse if the Participant’s employment is terminated without Cause at any time during the 12-month period following the Change-in-Control. Any Award that is neither assumed nor continued by the Acquiror in connection with the Change-in-Control shall, upon the Change-in-Control, become fully vested and all restrictions shall be released immediately prior to the Change-in-Control, and all Restricted Unit Awards and Performance Share Awards shall become immediately payable. Notwithstanding anything in this Section 15(b) to the contrary, with respect to any Award of Restricted Stock Units or Performance Shares granted under this Plan that constitutes deferred compensation within the meaning of Section 409A of the Code, if the Change-in-Control does not constitute a “change in effective ownership or control” of the Company within the meaning of Section 409A of the Code, Restricted Stock Units and Performance Shares shall vest as provided in this Section 15(b), but shall be payable to the Participant in accordance with the payment provisions of the applicable Award Agreement.</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494"/>
        <w:spacing w:after="0" w:line="285" w:lineRule="auto"/>
        <w:tabs>
          <w:tab w:leader="none" w:pos="744"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Limitation on Acceleration</w:t>
      </w:r>
      <w:r>
        <w:rPr>
          <w:rFonts w:ascii="Arial" w:cs="Arial" w:eastAsia="Arial" w:hAnsi="Arial"/>
          <w:sz w:val="16"/>
          <w:szCs w:val="16"/>
          <w:color w:val="auto"/>
        </w:rPr>
        <w:t xml:space="preserve">. In connection with any acceleration of vesting or change in exercisability upon or after a Change-in-Control, if any amount or benefit to be paid or provided under an Award or under any other agreement between a Participant and Company would be an Excess Parachute Payment (including after taking into account the value, to the maximum extent permitted by Code Section 280G, of covenants by or restrictions on Participant following the Change-in-Control), then the payments and benefits to be paid or provided will be reduced to the minimum extent necessary (but in no event to less than zero) so that no portion of any such payment or benefit, as so reduced, constitutes an Excess Parachute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reduction will not be made if such reduction would result in a Participant’s receiving an After-Tax Amount less than 90% of the After-Tax Amount of the payments Participant would have received under such Awards or any other agreement without regard to this limitation. Whether requested by a Participant or the Company, the determination of whether any reduction in such payments or benefits is required pursuant to the preceding sentence, and the value to be assigned to any covenants by or restrictions on Participant, for purposes of determining the amount, if any, of the Excess Parachute Payment will be made at the expense of the Company by the Company’s independent accountants or benefits consultant. The fact that a Participant’s right to payments or benefits may be reduced by reason of the limitations contained in this paragraph will not of itself limit or otherwise affect any other rights of a Participant under any other agreement. In the event that any payment or benefit intended to be provided is required to be reduced pursuant to this paragraph, a Participant will be entitled to designate the payments and/or benefits to be so reduced in order to give effect to this paragraph,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any such payments and/or benefits constitute deferred compensation within the meaning of Section 409A, the following rules shall apply: first a pro rata reduction of (i) cash payments subject to Section 409A of the Code as deferred compensation and (ii) cash payments not subject to Section 409A of the Code, and second a pro rata cancellation of (x) equity-based compensation subject to Section 409A of the Code as deferred compensation and (y) equity-based compensation not subject to Section 409A of the Code. The Company will provide Participant with all information reasonably requested by Participant to permit Participant to make such designation. In the event that Participant fails to make such designation within ten business days after receiving notice from the Company of a reduction under this paragraph, the Company may effect such reduction in any manner it deems appropriate.</w:t>
      </w:r>
    </w:p>
    <w:p>
      <w:pPr>
        <w:spacing w:after="0" w:line="166" w:lineRule="exact"/>
        <w:rPr>
          <w:rFonts w:ascii="Arial" w:cs="Arial" w:eastAsia="Arial" w:hAnsi="Arial"/>
          <w:sz w:val="16"/>
          <w:szCs w:val="16"/>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FORFEITURE FOR CAUSE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Notwithstanding any other provision of this Plan to the contrary, if the independent members of the Board or the Independent Committee determines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a Participant has engaged in conduct which constitutes Cause, the following provisions shall apply:</w:t>
      </w:r>
    </w:p>
    <w:p>
      <w:pPr>
        <w:spacing w:after="0" w:line="211" w:lineRule="exact"/>
        <w:rPr>
          <w:sz w:val="20"/>
          <w:szCs w:val="20"/>
          <w:color w:val="auto"/>
        </w:rPr>
      </w:pPr>
    </w:p>
    <w:p>
      <w:pPr>
        <w:jc w:val="both"/>
        <w:ind w:firstLine="494"/>
        <w:spacing w:after="0" w:line="259" w:lineRule="auto"/>
        <w:tabs>
          <w:tab w:leader="none" w:pos="109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outstanding Option shall immediately and automatically terminate, be forfeited and shall cease to be exercisable, without limitation. In addition, any shares of Restricted Stock, Restricted Stock Units or Performance Shares as to which the restrictions have not lapsed shall immediately and automatically be forfeited, all of the rights of the Participant to such shares or share equivalents shall immediately terminate, and any Restricted Stock shall be returned to the Company.</w:t>
      </w:r>
    </w:p>
    <w:p>
      <w:pPr>
        <w:spacing w:after="0" w:line="186" w:lineRule="exact"/>
        <w:rPr>
          <w:rFonts w:ascii="Arial" w:cs="Arial" w:eastAsia="Arial" w:hAnsi="Arial"/>
          <w:sz w:val="18"/>
          <w:szCs w:val="18"/>
          <w:color w:val="auto"/>
        </w:rPr>
      </w:pPr>
    </w:p>
    <w:p>
      <w:pPr>
        <w:jc w:val="both"/>
        <w:ind w:firstLine="494"/>
        <w:spacing w:after="0" w:line="302" w:lineRule="auto"/>
        <w:tabs>
          <w:tab w:leader="none" w:pos="10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lapse of restrictions on or vesting of Restricted Stock, Restricted Stock Units or Performance Shares that have vested or upon which the restrictions have lapsed within the 36-month period immediately prior to the date it is determined that the Participant engaged in conduct constituting Cause (the “Determination Date”) shall be rescinded and all outstanding Awards shall be canceled. The Participant shall deliver to the Company the Shares delivered upon vesting or lapse of restrictions if such vesting or lapse of restrictions has been rescinded and the Shares retained by the Participant.</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firstLine="494"/>
        <w:spacing w:after="0" w:line="277" w:lineRule="auto"/>
        <w:tabs>
          <w:tab w:leader="none" w:pos="100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independent members of the Board or the Independent Committee may, to the extent permitted by applicable law, rescind any Awards made to the Participant within the 36-month period immediately prior to the Determination Date.</w:t>
      </w:r>
    </w:p>
    <w:p>
      <w:pPr>
        <w:spacing w:after="0" w:line="170" w:lineRule="exact"/>
        <w:rPr>
          <w:rFonts w:ascii="Arial" w:cs="Arial" w:eastAsia="Arial" w:hAnsi="Arial"/>
          <w:sz w:val="18"/>
          <w:szCs w:val="18"/>
          <w:color w:val="auto"/>
        </w:rPr>
      </w:pPr>
    </w:p>
    <w:p>
      <w:pPr>
        <w:jc w:val="both"/>
        <w:ind w:right="20" w:firstLine="494"/>
        <w:spacing w:after="0" w:line="264" w:lineRule="auto"/>
        <w:tabs>
          <w:tab w:leader="none" w:pos="11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independent members of the Board or the Independent Committee may, to the extent permitted by applicable law, recover any gains realized from the sale of vested Shares or the sale or other disposition of any Shares issued or issuable upon the exercise of an Option, in the case of any such sale or other disposition during the 36-month period immediately prior to the Determination Date.</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independent members of the Board or the Independent Committee shall determine in such body’s sole discretion whether the Participant has engaged in conduct that constitutes Cause.</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Any provision of this Section 16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16.</w:t>
      </w:r>
    </w:p>
    <w:p>
      <w:pPr>
        <w:spacing w:after="0" w:line="177"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RECOUPMENT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u w:val="single" w:color="auto"/>
          <w:color w:val="auto"/>
        </w:rPr>
        <w:t>Dodd-Frank Clawback</w:t>
      </w:r>
      <w:r>
        <w:rPr>
          <w:rFonts w:ascii="Arial" w:cs="Arial" w:eastAsia="Arial" w:hAnsi="Arial"/>
          <w:sz w:val="18"/>
          <w:szCs w:val="18"/>
          <w:color w:val="auto"/>
        </w:rPr>
        <w:t>. The Committee shall have full authority to implement any policies and procedures necessary to comply with Section 10D of the Exchange Act and any rules promulgated thereunder. Without limiting the foregoing, the Committee may provide in award agreements or with respect to any Award granted hereunder that, in event of a financial restatement that reduces amount of previously awarded incentive compensation that would not have been earned had results been properly reported, outstanding awards will be cancelled and Company may clawback (i.e., recapture) realized Option/Stock Appreciation Right gains and realized value for vested Restricted Stock or Restricted Stock Units or earned Performance Shares or Other Share-Based Awards within 12 months preceding financial restatement.</w:t>
      </w:r>
    </w:p>
    <w:p>
      <w:pPr>
        <w:spacing w:after="0" w:line="19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u w:val="single" w:color="auto"/>
          <w:color w:val="auto"/>
        </w:rPr>
        <w:t>Recoupment in the Event of Restatement</w:t>
      </w:r>
      <w:r>
        <w:rPr>
          <w:rFonts w:ascii="Arial" w:cs="Arial" w:eastAsia="Arial" w:hAnsi="Arial"/>
          <w:sz w:val="18"/>
          <w:szCs w:val="18"/>
          <w:color w:val="auto"/>
        </w:rPr>
        <w:t>. Notwithstanding any other provision of this Plan to the contrary, if the Company’s financial statements are the subject of a restatement due to misconduct, fraud or malfeasance, then the following shall apply:</w:t>
      </w:r>
    </w:p>
    <w:p>
      <w:pPr>
        <w:spacing w:after="0" w:line="170" w:lineRule="exact"/>
        <w:rPr>
          <w:sz w:val="20"/>
          <w:szCs w:val="20"/>
          <w:color w:val="auto"/>
        </w:rPr>
      </w:pPr>
    </w:p>
    <w:p>
      <w:pPr>
        <w:jc w:val="both"/>
        <w:ind w:firstLine="494"/>
        <w:spacing w:after="0" w:line="273" w:lineRule="auto"/>
        <w:tabs>
          <w:tab w:leader="none" w:pos="112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the extent permitted by governing law, the independent members of the Board or the Independent Committee may, in its discretion, (i) rescind any Excess Equity Award or portion thereof made to an Executive Officer within the 36-month period immediately prior to the date such material restatement is first publicly disclosed and (ii) in the event that an Executive Officer has sold or otherwise disposed of some or all of the Shares subject to the Excess Equity Award, recover any gains made from the sale or other disposition of such Shares that was effected during the 36-month period immediately prior to the date such material restatement is first publicly disclosed. In no event shall the Company be required to award an Executive Officer additional equity incentive compensation should the restated financial statements result in a higher equity incentive payment.</w:t>
      </w:r>
    </w:p>
    <w:p>
      <w:pPr>
        <w:spacing w:after="0" w:line="178" w:lineRule="exact"/>
        <w:rPr>
          <w:rFonts w:ascii="Arial" w:cs="Arial" w:eastAsia="Arial" w:hAnsi="Arial"/>
          <w:sz w:val="17"/>
          <w:szCs w:val="17"/>
          <w:color w:val="auto"/>
        </w:rPr>
      </w:pPr>
    </w:p>
    <w:p>
      <w:pPr>
        <w:jc w:val="both"/>
        <w:ind w:firstLine="494"/>
        <w:spacing w:after="0" w:line="259" w:lineRule="auto"/>
        <w:tabs>
          <w:tab w:leader="none" w:pos="116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addition to the foregoing, the independent members of the Board or the Independent Committee may, in its discretion, require that an Executive Officer pay the Company, in cash and upon demand, Option Proceeds resulting from the sale or other disposition of Shares issued or issuable upon the exercise of an Option if the sale or disposition was effected during the 36-month period immediately prior to the date such material restatement is first publicly disclosed.</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Any provision of this Section 17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17.</w:t>
      </w:r>
    </w:p>
    <w:p>
      <w:pPr>
        <w:spacing w:after="0" w:line="177"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Awards may be granted pursuant to the Plan until the termination of the Plan on January 10, 2022.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RECAPITALIZATION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Subject to any required action by the shareholders, the number of Shares covered by this Plan as provided in Section 6, the maximum grant limitation in Section 5(b), the number of Shares or Share Equivalents covered by or referenced in each outstanding Award, and the Exercise Price of each outstanding Option or Stock Appreciation Right and any price required to be paid for Restricted Stock or Other Share-Based Award shall be proportionately adjusted for any increase or decrease in the number of issued Shares resulting from a subdivision or consolidation of Shares, the payment of a stock dividend (but only of Common Stock) or any other increase or decrease in the number of such Shares effected without receipt of consideration by the Company or the declaration of a dividend payable in cash that has a material effect on the price of issued Shares.</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Subject to any required action by the shareholders, if the Company shall be a party to any merger, consolidation or other reorganization, each outstanding Award shall pertain and apply to the securities to which a holder of the number of Shares or Share Equivalents subject to the Award would have been entitled. In the event of a change in the Common Stock as presently constituted, which is limited to a change of all of its authorized shares with par value into the same number of shares with a different par value or without par value, the shares resulting from any such change shall be deemed to be the Common Stock within the meaning of the Plan.</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 the extent that the foregoing adjustments relate to stock or securities of the Company, such adjustments shall be made by the Administrator, whose determination in that respect shall be final, binding and conclusive, provided that each Incentive Stock Option granted pursuant to this Plan shall not be adjusted in a manner that causes the Option to fail to continue to qualify as an incentive stock option within the meaning of Code Section 422 or subject the Option to the requirements of Code Section 409A.</w:t>
      </w:r>
    </w:p>
    <w:p>
      <w:pPr>
        <w:spacing w:after="0" w:line="18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Except as expressly provided in this Section 19, a Participant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the number or price of Shares subject to the Award.</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grant of an Award pursuant to the Plan shall not affect in any way the right or power of the Company to make adjustments, reclassifications, reorganizations or changes in its capital or business structure or to merge or consolidate or to dissolve, liquidate, sell or transfer all or any part of its business assets.</w:t>
      </w:r>
    </w:p>
    <w:p>
      <w:pPr>
        <w:spacing w:after="0" w:line="177"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 REQUIREMENTS AND LIMITATION OF RIGHTS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494"/>
        <w:spacing w:after="0" w:line="259" w:lineRule="auto"/>
        <w:tabs>
          <w:tab w:leader="none" w:pos="1014"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Securities Law</w:t>
      </w:r>
      <w:r>
        <w:rPr>
          <w:rFonts w:ascii="Arial" w:cs="Arial" w:eastAsia="Arial" w:hAnsi="Arial"/>
          <w:sz w:val="18"/>
          <w:szCs w:val="18"/>
          <w:color w:val="auto"/>
        </w:rPr>
        <w:t>. No Shares shall be issued pursuant to the Plan unless and until the Company has determined that: (i) it and the Participant have taken all actions required to register the Shares under the Securities Act of 1933 or perfect an exemption from registration; (ii) any applicable listing requirement of any stock exchange on which the Common Stock is listed has been satisfied; and (iii) any other applicable provision of state or federal law has been satisfied.</w:t>
      </w:r>
    </w:p>
    <w:p>
      <w:pPr>
        <w:spacing w:after="0" w:line="186" w:lineRule="exact"/>
        <w:rPr>
          <w:rFonts w:ascii="Arial" w:cs="Arial" w:eastAsia="Arial" w:hAnsi="Arial"/>
          <w:sz w:val="18"/>
          <w:szCs w:val="18"/>
          <w:color w:val="auto"/>
        </w:rPr>
      </w:pPr>
    </w:p>
    <w:p>
      <w:pPr>
        <w:jc w:val="both"/>
        <w:ind w:firstLine="494"/>
        <w:spacing w:after="0" w:line="279" w:lineRule="auto"/>
        <w:tabs>
          <w:tab w:leader="none" w:pos="1025"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Employment Rights</w:t>
      </w:r>
      <w:r>
        <w:rPr>
          <w:rFonts w:ascii="Arial" w:cs="Arial" w:eastAsia="Arial" w:hAnsi="Arial"/>
          <w:sz w:val="17"/>
          <w:szCs w:val="17"/>
          <w:color w:val="auto"/>
        </w:rPr>
        <w:t>. Neither the Plan nor any Award granted under the Plan shall be deemed to give any individual a right to remain employed by the Company or an Affiliate or to remain a Director. The Company and its Affiliates reserve the right to terminate the employment of any employee at any time, with or without cause or for no cause, subject only to a written employment contract (if any), and the Board reserves the right to terminate a Director’s membership on the Board for cause in accordance with the Company’s Restated Certificate of Incorporation.</w:t>
      </w:r>
    </w:p>
    <w:p>
      <w:pPr>
        <w:spacing w:after="0" w:line="171" w:lineRule="exact"/>
        <w:rPr>
          <w:rFonts w:ascii="Arial" w:cs="Arial" w:eastAsia="Arial" w:hAnsi="Arial"/>
          <w:sz w:val="17"/>
          <w:szCs w:val="17"/>
          <w:color w:val="auto"/>
        </w:rPr>
      </w:pPr>
    </w:p>
    <w:p>
      <w:pPr>
        <w:jc w:val="both"/>
        <w:ind w:right="20" w:firstLine="494"/>
        <w:spacing w:after="0" w:line="286" w:lineRule="auto"/>
        <w:tabs>
          <w:tab w:leader="none" w:pos="1001"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Shareholders' Rights</w:t>
      </w:r>
      <w:r>
        <w:rPr>
          <w:rFonts w:ascii="Arial" w:cs="Arial" w:eastAsia="Arial" w:hAnsi="Arial"/>
          <w:sz w:val="17"/>
          <w:szCs w:val="17"/>
          <w:color w:val="auto"/>
        </w:rPr>
        <w:t>. Except as provided by the Administrator in accordance with Section 12, a Participant shall have no dividend rights, voting rights or other rights as a shareholder with respect to any Shares covered by his or her Award prior to the issuance of a stock certificate for such Shares. No adjustment shall be made for cash dividends or other rights for which the record date is prior to the date when such certificate is issued.</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ind w:firstLine="494"/>
        <w:spacing w:after="0" w:line="286" w:lineRule="auto"/>
        <w:tabs>
          <w:tab w:leader="none" w:pos="1011"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Creditors’ Rights</w:t>
      </w:r>
      <w:r>
        <w:rPr>
          <w:rFonts w:ascii="Arial" w:cs="Arial" w:eastAsia="Arial" w:hAnsi="Arial"/>
          <w:sz w:val="17"/>
          <w:szCs w:val="17"/>
          <w:color w:val="auto"/>
        </w:rPr>
        <w:t>. A holder of an Other Share-Based Award shall have no rights other than those of a general creditor of the Company. An Other Share-Based Award shall represent an unfunded and unsecured obligation of the Company, subject to the terms and conditions of the applicable Other Share-Based Award Agreement. An Other Share-Based Award shall not be deemed to create a trust for the benefit of any individual.</w:t>
      </w:r>
    </w:p>
    <w:p>
      <w:pPr>
        <w:spacing w:after="0" w:line="161" w:lineRule="exact"/>
        <w:rPr>
          <w:rFonts w:ascii="Arial" w:cs="Arial" w:eastAsia="Arial" w:hAnsi="Arial"/>
          <w:sz w:val="17"/>
          <w:szCs w:val="17"/>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BENEFICIARY DESIGNATION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Participants and their Beneficiaries may designate on the prescribed form one or more Beneficiaries to whom distribution shall be made of any Award</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outstanding at the time of the Participant’s or Beneficiary’s death. A Participant or Beneficiary may change such designation at any time by filing the prescribed form with the Administrator. If a Beneficiary has not been designated or if no designated Beneficiary survives the Participant or Beneficiary, distribution will be made to the residuary beneficiary under the terms of the Participant’s or Beneficiary’s last will and testament or, in the absence of a last will and testament, to the Participant’s or Beneficiary’s estate as Beneficiary.</w:t>
      </w:r>
    </w:p>
    <w:p>
      <w:pPr>
        <w:spacing w:after="0" w:line="186"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OF THE PLAN</w:t>
      </w:r>
      <w:r>
        <w:rPr>
          <w:rFonts w:ascii="Arial" w:cs="Arial" w:eastAsia="Arial" w:hAnsi="Arial"/>
          <w:sz w:val="18"/>
          <w:szCs w:val="18"/>
          <w:b w:val="1"/>
          <w:bCs w:val="1"/>
          <w:color w:val="auto"/>
        </w:rPr>
        <w:t>.</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Board may suspend or discontinue the Plan or revise or amend it with respect to any Shares at the time not subject to Awards except that, without approval of the shareholders of the Company, no such revision or amendment shall:</w:t>
      </w:r>
    </w:p>
    <w:p>
      <w:pPr>
        <w:spacing w:after="0" w:line="170" w:lineRule="exact"/>
        <w:rPr>
          <w:sz w:val="20"/>
          <w:szCs w:val="20"/>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Increase the number of Shares subject to the Plan;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 the designation in Section 5 of the class of Employees eligible to receive Awards;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Decrease the price at which Incentive Stock Options may be granted;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Remove the administration of the Plan from the Administrator;</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Amend Section 23; or</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Amend this Section 22 to defeat its purpose.</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Notwithstanding anything to the contrary in the Plan, the Committee may grant Awards with such terms, or create sub-plans, as may be necessary for the purpose of qualifying for preferred tax treatment under non-U.S. tax laws or complying with local rules and regulations.</w:t>
      </w:r>
    </w:p>
    <w:p>
      <w:pPr>
        <w:spacing w:after="0" w:line="166"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AUTHORITY TO REPRICE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Without the consent of the shareholders of the Company, except as provided in Section 19, the Administrator shall have no authority to effect (i) the repricing of any outstanding Options or Stock Appreciation Rights under the Plan, (ii) the cancellation of any outstanding Options or Stock Appreciation Rights under the Plan and the grant in substitution therefor of new Options or Stock Appreciation Rights, or of new Restricted Stock or Restricted Stock Units or Other Stock-Based Awards, in any case covering the same or different numbers of shares of Common Stock that has the effect of an indirect repricing, or (iii) cashing out Options or Stock Appreciation Rights that have an Exercise Price greater than the then-Fair Market Value of the Shares.</w:t>
      </w:r>
    </w:p>
    <w:p>
      <w:pPr>
        <w:spacing w:after="0" w:line="154"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EXERCISE OPTION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granting of an Option shall impose no obligation upon the Participant to exercise such Option.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APPROVAL OF SHAREHOLDERS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This Plan and any amendments requiring shareholder approval pursuant to Section 22 shall be subject to approval by affirmative vote of the shareholders of the Company. Such vote shall be taken at the first annual meeting of shareholders following the adoption of the Plan or of any such amendments, or any adjournment of such meeting.</w:t>
      </w:r>
    </w:p>
    <w:p>
      <w:pPr>
        <w:spacing w:after="0" w:line="177"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494"/>
        <w:spacing w:after="0" w:line="264" w:lineRule="auto"/>
        <w:tabs>
          <w:tab w:leader="none" w:pos="105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To the extent required by applicable law, the person exercising any Option granted under the Plan or the recipient of any payment or distribution under the Plan shall make arrangements satisfactory to the Company for the satisfaction of any applicable withholding tax obligations. The Company shall not be required to make such payment or distribution until such obligations are satisfied.</w:t>
      </w:r>
    </w:p>
    <w:p>
      <w:pPr>
        <w:spacing w:after="0" w:line="181" w:lineRule="exact"/>
        <w:rPr>
          <w:rFonts w:ascii="Arial" w:cs="Arial" w:eastAsia="Arial" w:hAnsi="Arial"/>
          <w:sz w:val="18"/>
          <w:szCs w:val="18"/>
          <w:color w:val="auto"/>
        </w:rPr>
      </w:pPr>
    </w:p>
    <w:p>
      <w:pPr>
        <w:jc w:val="both"/>
        <w:ind w:firstLine="494"/>
        <w:spacing w:after="0" w:line="291" w:lineRule="auto"/>
        <w:tabs>
          <w:tab w:leader="none" w:pos="1025"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Other Awards</w:t>
      </w:r>
      <w:r>
        <w:rPr>
          <w:rFonts w:ascii="Arial" w:cs="Arial" w:eastAsia="Arial" w:hAnsi="Arial"/>
          <w:sz w:val="16"/>
          <w:szCs w:val="16"/>
          <w:color w:val="auto"/>
        </w:rPr>
        <w:t>. The Administrator may permit a Participant who exercises Nonqualified Stock Options or who vests in Restricted Stock Awards, Restricted Stock Unit Awards, Performance Share Awards or, as applicable, Stock Appreciation Rights and Other Share-Based Awards, to satisfy all or part of his or her tax obligations, up to the maximum amount necessary to satisfy federal, state, and local taxes, domestic or foreign tax obligations with respect to any taxable event arising as a result of the Plan, by having the Company withhold a portion of the Shares that otherwise would be issued to him or her under such Awards. Such Shares shall be valued at the Fair Market Value on the day preceding the day when taxes otherwise would be withheld in cash. The payment of withholding taxes by surrendering Shares to the Company, if permitted by the Administrator, shall be subject to such restrictions as the Administrator may impose, including any restrictions required by rules of the Securities and Exchange Commission.</w:t>
      </w:r>
    </w:p>
    <w:p>
      <w:pPr>
        <w:spacing w:after="0" w:line="163" w:lineRule="exact"/>
        <w:rPr>
          <w:rFonts w:ascii="Arial" w:cs="Arial" w:eastAsia="Arial" w:hAnsi="Arial"/>
          <w:sz w:val="16"/>
          <w:szCs w:val="16"/>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Plan shall be binding upon the Company, its successors and assigns, and any parent Company of the Company’s successors or assigns. Notwithstanding that the Plan may be binding upon a successor or assign by operation of law, the Company shall require any successor or assign to expressly assume and agree to be bound by the Plan in the same manner and to the same extent that the Company would be if no succession or assignment had taken place.</w:t>
      </w:r>
    </w:p>
    <w:p>
      <w:pPr>
        <w:spacing w:after="0" w:line="183"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To record the adoption of the Plan as amended and restated on March 7, 2018, the Company has caused its authorized officer to execute the same.</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ABM INDUSTRIES INCORPORATED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jc w:val="right"/>
              <w:ind w:right="23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R. Goodes</w:t>
            </w:r>
          </w:p>
        </w:tc>
        <w:tc>
          <w:tcPr>
            <w:tcW w:w="1700" w:type="dxa"/>
            <w:vAlign w:val="bottom"/>
          </w:tcPr>
          <w:p>
            <w:pPr>
              <w:spacing w:after="0"/>
              <w:rPr>
                <w:sz w:val="20"/>
                <w:szCs w:val="20"/>
                <w:color w:val="auto"/>
              </w:rPr>
            </w:pPr>
          </w:p>
        </w:tc>
      </w:tr>
      <w:tr>
        <w:trPr>
          <w:trHeight w:val="195"/>
        </w:trPr>
        <w:tc>
          <w:tcPr>
            <w:tcW w:w="630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David R. Goodes</w:t>
            </w:r>
          </w:p>
        </w:tc>
        <w:tc>
          <w:tcPr>
            <w:tcW w:w="1700" w:type="dxa"/>
            <w:vAlign w:val="bottom"/>
          </w:tcPr>
          <w:p>
            <w:pPr>
              <w:spacing w:after="0"/>
              <w:rPr>
                <w:sz w:val="16"/>
                <w:szCs w:val="16"/>
                <w:color w:val="auto"/>
              </w:rPr>
            </w:pPr>
          </w:p>
        </w:tc>
      </w:tr>
      <w:tr>
        <w:trPr>
          <w:trHeight w:val="216"/>
        </w:trPr>
        <w:tc>
          <w:tcPr>
            <w:tcW w:w="63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Senior Vice President, Chief Human</w:t>
            </w:r>
          </w:p>
        </w:tc>
        <w:tc>
          <w:tcPr>
            <w:tcW w:w="1700" w:type="dxa"/>
            <w:vAlign w:val="bottom"/>
          </w:tcPr>
          <w:p>
            <w:pPr>
              <w:spacing w:after="0"/>
              <w:rPr>
                <w:sz w:val="18"/>
                <w:szCs w:val="18"/>
                <w:color w:val="auto"/>
              </w:rPr>
            </w:pPr>
          </w:p>
        </w:tc>
      </w:tr>
      <w:tr>
        <w:trPr>
          <w:trHeight w:val="230"/>
        </w:trPr>
        <w:tc>
          <w:tcPr>
            <w:tcW w:w="63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Resources Officer</w:t>
            </w:r>
          </w:p>
        </w:tc>
        <w:tc>
          <w:tcPr>
            <w:tcW w:w="1700" w:type="dxa"/>
            <w:vAlign w:val="bottom"/>
          </w:tcPr>
          <w:p>
            <w:pPr>
              <w:spacing w:after="0"/>
              <w:rPr>
                <w:sz w:val="20"/>
                <w:szCs w:val="20"/>
                <w:color w:val="auto"/>
              </w:rPr>
            </w:pPr>
          </w:p>
        </w:tc>
      </w:tr>
      <w:tr>
        <w:trPr>
          <w:trHeight w:val="648"/>
        </w:trPr>
        <w:tc>
          <w:tcPr>
            <w:tcW w:w="6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18</w:t>
            </w:r>
          </w:p>
        </w:tc>
        <w:tc>
          <w:tcPr>
            <w:tcW w:w="3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lowerLetter"/>
      <w:start w:val="3"/>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6">
    <w:nsid w:val="22221A70"/>
    <w:multiLevelType w:val="hybridMultilevel"/>
    <w:lvl w:ilvl="0">
      <w:lvlJc w:val="left"/>
      <w:lvlText w:val="%1."/>
      <w:numFmt w:val="decimal"/>
      <w:start w:val="21"/>
    </w:lvl>
    <w:lvl w:ilvl="1">
      <w:lvlJc w:val="left"/>
      <w:lvlText w:val="(%2)"/>
      <w:numFmt w:val="lowerLetter"/>
      <w:start w:val="7"/>
    </w:lvl>
    <w:lvl w:ilvl="2">
      <w:lvlJc w:val="left"/>
      <w:lvlText w:val="(%3)"/>
      <w:numFmt w:val="lowerLetter"/>
      <w:start w:val="9"/>
    </w:lvl>
  </w:abstractNum>
  <w:abstractNum w:abstractNumId="7">
    <w:nsid w:val="4516DDE9"/>
    <w:multiLevelType w:val="hybridMultilevel"/>
    <w:lvl w:ilvl="0">
      <w:lvlJc w:val="left"/>
      <w:lvlText w:val="%1"/>
      <w:numFmt w:val="lowerLetter"/>
      <w:start w:val="1"/>
    </w:lvl>
    <w:lvl w:ilvl="1">
      <w:lvlJc w:val="left"/>
      <w:lvlText w:val="(%2)"/>
      <w:numFmt w:val="lowerRoman"/>
      <w:start w:val="2"/>
    </w:lvl>
  </w:abstractNum>
  <w:abstractNum w:abstractNumId="8">
    <w:nsid w:val="3006C83E"/>
    <w:multiLevelType w:val="hybridMultilevel"/>
    <w:lvl w:ilvl="0">
      <w:lvlJc w:val="left"/>
      <w:lvlText w:val="(%1)"/>
      <w:numFmt w:val="lowerLetter"/>
      <w:start w:val="10"/>
    </w:lvl>
    <w:lvl w:ilvl="1">
      <w:lvlJc w:val="left"/>
      <w:lvlText w:val="%2"/>
      <w:numFmt w:val="lowerRoman"/>
      <w:start w:val="1"/>
    </w:lvl>
  </w:abstractNum>
  <w:abstractNum w:abstractNumId="9">
    <w:nsid w:val="614FD4A1"/>
    <w:multiLevelType w:val="hybridMultilevel"/>
    <w:lvl w:ilvl="0">
      <w:lvlJc w:val="left"/>
      <w:lvlText w:val="(%1)"/>
      <w:numFmt w:val="lowerLetter"/>
      <w:start w:val="23"/>
    </w:lvl>
  </w:abstractNum>
  <w:abstractNum w:abstractNumId="10">
    <w:nsid w:val="419AC241"/>
    <w:multiLevelType w:val="hybridMultilevel"/>
    <w:lvl w:ilvl="0">
      <w:lvlJc w:val="left"/>
      <w:lvlText w:val="(%1)"/>
      <w:numFmt w:val="lowerLetter"/>
      <w:start w:val="27"/>
    </w:lvl>
  </w:abstractNum>
  <w:abstractNum w:abstractNumId="11">
    <w:nsid w:val="5577F8E1"/>
    <w:multiLevelType w:val="hybridMultilevel"/>
    <w:lvl w:ilvl="0">
      <w:lvlJc w:val="left"/>
      <w:lvlText w:val="%1"/>
      <w:numFmt w:val="decimal"/>
      <w:start w:val="1"/>
    </w:lvl>
    <w:lvl w:ilvl="1">
      <w:lvlJc w:val="left"/>
      <w:lvlText w:val="(%2)"/>
      <w:numFmt w:val="lowerLetter"/>
      <w:start w:val="38"/>
    </w:lvl>
  </w:abstractNum>
  <w:abstractNum w:abstractNumId="12">
    <w:nsid w:val="440BADFC"/>
    <w:multiLevelType w:val="hybridMultilevel"/>
    <w:lvl w:ilvl="0">
      <w:lvlJc w:val="left"/>
      <w:lvlText w:val="%1."/>
      <w:numFmt w:val="decimal"/>
      <w:start w:val="3"/>
    </w:lvl>
    <w:lvl w:ilvl="1">
      <w:lvlJc w:val="left"/>
      <w:lvlText w:val="%2"/>
      <w:numFmt w:val="lowerLetter"/>
      <w:start w:val="1"/>
    </w:lvl>
  </w:abstractNum>
  <w:abstractNum w:abstractNumId="13">
    <w:nsid w:val="507236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4">
    <w:nsid w:val="3804823E"/>
    <w:multiLevelType w:val="hybridMultilevel"/>
    <w:lvl w:ilvl="0">
      <w:lvlJc w:val="left"/>
      <w:lvlText w:val="%1"/>
      <w:numFmt w:val="lowerLetter"/>
      <w:start w:val="1"/>
    </w:lvl>
    <w:lvl w:ilvl="1">
      <w:lvlJc w:val="left"/>
      <w:lvlText w:val="(%2)"/>
      <w:numFmt w:val="lowerLetter"/>
      <w:start w:val="35"/>
    </w:lvl>
  </w:abstractNum>
  <w:abstractNum w:abstractNumId="15">
    <w:nsid w:val="77465F01"/>
    <w:multiLevelType w:val="hybridMultilevel"/>
    <w:lvl w:ilvl="0">
      <w:lvlJc w:val="left"/>
      <w:lvlText w:val="(%1)"/>
      <w:numFmt w:val="lowerLetter"/>
      <w:start w:val="3"/>
    </w:lvl>
    <w:lvl w:ilvl="1">
      <w:lvlJc w:val="left"/>
      <w:lvlText w:val="%2"/>
      <w:numFmt w:val="lowerLetter"/>
      <w:start w:val="1"/>
    </w:lvl>
  </w:abstractNum>
  <w:abstractNum w:abstractNumId="16">
    <w:nsid w:val="7724C67E"/>
    <w:multiLevelType w:val="hybridMultilevel"/>
    <w:lvl w:ilvl="0">
      <w:lvlJc w:val="left"/>
      <w:lvlText w:val="%1."/>
      <w:numFmt w:val="decimal"/>
      <w:start w:val="5"/>
    </w:lvl>
  </w:abstractNum>
  <w:abstractNum w:abstractNumId="17">
    <w:nsid w:val="5C482A97"/>
    <w:multiLevelType w:val="hybridMultilevel"/>
    <w:lvl w:ilvl="0">
      <w:lvlJc w:val="left"/>
      <w:lvlText w:val="%1"/>
      <w:numFmt w:val="lowerLetter"/>
      <w:start w:val="1"/>
    </w:lvl>
    <w:lvl w:ilvl="1">
      <w:lvlJc w:val="left"/>
      <w:lvlText w:val="(%2)"/>
      <w:numFmt w:val="lowerLetter"/>
      <w:start w:val="1"/>
    </w:lvl>
  </w:abstractNum>
  <w:abstractNum w:abstractNumId="18">
    <w:nsid w:val="2463B9EA"/>
    <w:multiLevelType w:val="hybridMultilevel"/>
    <w:lvl w:ilvl="0">
      <w:lvlJc w:val="left"/>
      <w:lvlText w:val="(%1)"/>
      <w:numFmt w:val="lowerLetter"/>
      <w:start w:val="35"/>
    </w:lvl>
    <w:lvl w:ilvl="1">
      <w:lvlJc w:val="left"/>
      <w:lvlText w:val="%2"/>
      <w:numFmt w:val="lowerLetter"/>
      <w:start w:val="1"/>
    </w:lvl>
  </w:abstractNum>
  <w:abstractNum w:abstractNumId="19">
    <w:nsid w:val="5E884ADC"/>
    <w:multiLevelType w:val="hybridMultilevel"/>
    <w:lvl w:ilvl="0">
      <w:lvlJc w:val="left"/>
      <w:lvlText w:val="%1."/>
      <w:numFmt w:val="decimal"/>
      <w:start w:val="6"/>
    </w:lvl>
  </w:abstractNum>
  <w:abstractNum w:abstractNumId="20">
    <w:nsid w:val="51EAD36B"/>
    <w:multiLevelType w:val="hybridMultilevel"/>
    <w:lvl w:ilvl="0">
      <w:lvlJc w:val="left"/>
      <w:lvlText w:val="%1."/>
      <w:numFmt w:val="decimal"/>
      <w:start w:val="7"/>
    </w:lvl>
  </w:abstractNum>
  <w:abstractNum w:abstractNumId="21">
    <w:nsid w:val="2D517796"/>
    <w:multiLevelType w:val="hybridMultilevel"/>
    <w:lvl w:ilvl="0">
      <w:lvlJc w:val="left"/>
      <w:lvlText w:val="(%1)"/>
      <w:numFmt w:val="lowerLetter"/>
      <w:start w:val="1"/>
    </w:lvl>
    <w:lvl w:ilvl="1">
      <w:lvlJc w:val="left"/>
      <w:lvlText w:val="(%2)"/>
      <w:numFmt w:val="lowerLetter"/>
      <w:start w:val="9"/>
    </w:lvl>
  </w:abstractNum>
  <w:abstractNum w:abstractNumId="22">
    <w:nsid w:val="580BD78F"/>
    <w:multiLevelType w:val="hybridMultilevel"/>
    <w:lvl w:ilvl="0">
      <w:lvlJc w:val="left"/>
      <w:lvlText w:val="(%1)"/>
      <w:numFmt w:val="lowerRoman"/>
      <w:start w:val="2"/>
    </w:lvl>
  </w:abstractNum>
  <w:abstractNum w:abstractNumId="23">
    <w:nsid w:val="153EA438"/>
    <w:multiLevelType w:val="hybridMultilevel"/>
    <w:lvl w:ilvl="0">
      <w:lvlJc w:val="left"/>
      <w:lvlText w:val="(%1)"/>
      <w:numFmt w:val="lowerLetter"/>
      <w:start w:val="6"/>
    </w:lvl>
  </w:abstractNum>
  <w:abstractNum w:abstractNumId="24">
    <w:nsid w:val="3855585C"/>
    <w:multiLevelType w:val="hybridMultilevel"/>
    <w:lvl w:ilvl="0">
      <w:lvlJc w:val="left"/>
      <w:lvlText w:val="%1"/>
      <w:numFmt w:val="decimal"/>
      <w:start w:val="1"/>
    </w:lvl>
    <w:lvl w:ilvl="1">
      <w:lvlJc w:val="left"/>
      <w:lvlText w:val="(%2)"/>
      <w:numFmt w:val="lowerLetter"/>
      <w:start w:val="10"/>
    </w:lvl>
  </w:abstractNum>
  <w:abstractNum w:abstractNumId="25">
    <w:nsid w:val="70A64E2A"/>
    <w:multiLevelType w:val="hybridMultilevel"/>
    <w:lvl w:ilvl="0">
      <w:lvlJc w:val="left"/>
      <w:lvlText w:val="%1."/>
      <w:numFmt w:val="decimal"/>
      <w:start w:val="8"/>
    </w:lvl>
    <w:lvl w:ilvl="1">
      <w:lvlJc w:val="left"/>
      <w:lvlText w:val="(%2)"/>
      <w:numFmt w:val="lowerLetter"/>
      <w:start w:val="1"/>
    </w:lvl>
  </w:abstractNum>
  <w:abstractNum w:abstractNumId="26">
    <w:nsid w:val="6A2342EC"/>
    <w:multiLevelType w:val="hybridMultilevel"/>
    <w:lvl w:ilvl="0">
      <w:lvlJc w:val="left"/>
      <w:lvlText w:val="%1."/>
      <w:numFmt w:val="decimal"/>
      <w:start w:val="9"/>
    </w:lvl>
    <w:lvl w:ilvl="1">
      <w:lvlJc w:val="left"/>
      <w:lvlText w:val="(%2)"/>
      <w:numFmt w:val="lowerLetter"/>
      <w:start w:val="1"/>
    </w:lvl>
  </w:abstractNum>
  <w:abstractNum w:abstractNumId="27">
    <w:nsid w:val="2A487CB0"/>
    <w:multiLevelType w:val="hybridMultilevel"/>
    <w:lvl w:ilvl="0">
      <w:lvlJc w:val="left"/>
      <w:lvlText w:val="(%1)"/>
      <w:numFmt w:val="lowerLetter"/>
      <w:start w:val="2"/>
    </w:lvl>
    <w:lvl w:ilvl="1">
      <w:lvlJc w:val="left"/>
      <w:lvlText w:val="(%2)"/>
      <w:numFmt w:val="lowerRoman"/>
      <w:start w:val="1"/>
    </w:lvl>
  </w:abstractNum>
  <w:abstractNum w:abstractNumId="28">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9">
    <w:nsid w:val="725A06F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0">
    <w:nsid w:val="2CD89A32"/>
    <w:multiLevelType w:val="hybridMultilevel"/>
    <w:lvl w:ilvl="0">
      <w:lvlJc w:val="left"/>
      <w:lvlText w:val="(%1)"/>
      <w:numFmt w:val="lowerLetter"/>
      <w:start w:val="2"/>
    </w:lvl>
    <w:lvl w:ilvl="1">
      <w:lvlJc w:val="left"/>
      <w:lvlText w:val="(%2)"/>
      <w:numFmt w:val="lowerRoman"/>
      <w:start w:val="1"/>
    </w:lvl>
  </w:abstractNum>
  <w:abstractNum w:abstractNumId="31">
    <w:nsid w:val="57E4CCAF"/>
    <w:multiLevelType w:val="hybridMultilevel"/>
    <w:lvl w:ilvl="0">
      <w:lvlJc w:val="left"/>
      <w:lvlText w:val="%1."/>
      <w:numFmt w:val="decimal"/>
      <w:start w:val="11"/>
    </w:lvl>
    <w:lvl w:ilvl="1">
      <w:lvlJc w:val="left"/>
      <w:lvlText w:val="(%2)"/>
      <w:numFmt w:val="lowerLetter"/>
      <w:start w:val="1"/>
    </w:lvl>
  </w:abstractNum>
  <w:abstractNum w:abstractNumId="32">
    <w:nsid w:val="7A6D8D3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
    <w:nsid w:val="4B588F54"/>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4">
    <w:nsid w:val="542289E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5">
    <w:nsid w:val="6DE91B18"/>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6">
    <w:nsid w:val="38437FDB"/>
    <w:multiLevelType w:val="hybridMultilevel"/>
    <w:lvl w:ilvl="0">
      <w:lvlJc w:val="left"/>
      <w:lvlText w:val="%1."/>
      <w:numFmt w:val="decimal"/>
      <w:start w:val="14"/>
    </w:lvl>
    <w:lvl w:ilvl="1">
      <w:lvlJc w:val="left"/>
      <w:lvlText w:val="(%2)"/>
      <w:numFmt w:val="lowerLetter"/>
      <w:start w:val="1"/>
    </w:lvl>
  </w:abstractNum>
  <w:abstractNum w:abstractNumId="37">
    <w:nsid w:val="7644A45C"/>
    <w:multiLevelType w:val="hybridMultilevel"/>
    <w:lvl w:ilvl="0">
      <w:lvlJc w:val="left"/>
      <w:lvlText w:val="%1"/>
      <w:numFmt w:val="decimal"/>
      <w:start w:val="1"/>
    </w:lvl>
    <w:lvl w:ilvl="1">
      <w:lvlJc w:val="left"/>
      <w:lvlText w:val="(%2)"/>
      <w:numFmt w:val="lowerLetter"/>
      <w:start w:val="3"/>
    </w:lvl>
  </w:abstractNum>
  <w:abstractNum w:abstractNumId="38">
    <w:nsid w:val="32FFF902"/>
    <w:multiLevelType w:val="hybridMultilevel"/>
    <w:lvl w:ilvl="0">
      <w:lvlJc w:val="left"/>
      <w:lvlText w:val="%1."/>
      <w:numFmt w:val="decimal"/>
      <w:start w:val="15"/>
    </w:lvl>
    <w:lvl w:ilvl="1">
      <w:lvlJc w:val="left"/>
      <w:lvlText w:val="(%2)"/>
      <w:numFmt w:val="lowerLetter"/>
      <w:start w:val="1"/>
    </w:lvl>
  </w:abstractNum>
  <w:abstractNum w:abstractNumId="39">
    <w:nsid w:val="684A481A"/>
    <w:multiLevelType w:val="hybridMultilevel"/>
    <w:lvl w:ilvl="0">
      <w:lvlJc w:val="left"/>
      <w:lvlText w:val="(%1)"/>
      <w:numFmt w:val="lowerLetter"/>
      <w:start w:val="2"/>
    </w:lvl>
  </w:abstractNum>
  <w:abstractNum w:abstractNumId="40">
    <w:nsid w:val="579478FE"/>
    <w:multiLevelType w:val="hybridMultilevel"/>
    <w:lvl w:ilvl="0">
      <w:lvlJc w:val="left"/>
      <w:lvlText w:val="%1"/>
      <w:numFmt w:val="decimal"/>
      <w:start w:val="1"/>
    </w:lvl>
    <w:lvl w:ilvl="1">
      <w:lvlJc w:val="left"/>
      <w:lvlText w:val="(%2)"/>
      <w:numFmt w:val="lowerLetter"/>
      <w:start w:val="3"/>
    </w:lvl>
  </w:abstractNum>
  <w:abstractNum w:abstractNumId="41">
    <w:nsid w:val="749ABB43"/>
    <w:multiLevelType w:val="hybridMultilevel"/>
    <w:lvl w:ilvl="0">
      <w:lvlJc w:val="left"/>
      <w:lvlText w:val="%1."/>
      <w:numFmt w:val="decimal"/>
      <w:start w:val="16"/>
    </w:lvl>
    <w:lvl w:ilvl="1">
      <w:lvlJc w:val="left"/>
      <w:lvlText w:val="%2"/>
      <w:numFmt w:val="lowerLetter"/>
      <w:start w:val="1"/>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3"/>
    </w:lvl>
  </w:abstractNum>
  <w:abstractNum w:abstractNumId="44">
    <w:nsid w:val="79A1DEAA"/>
    <w:multiLevelType w:val="hybridMultilevel"/>
    <w:lvl w:ilvl="0">
      <w:lvlJc w:val="left"/>
      <w:lvlText w:val="%1."/>
      <w:numFmt w:val="decimal"/>
      <w:start w:val="17"/>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decimal"/>
      <w:start w:val="18"/>
    </w:lvl>
  </w:abstractNum>
  <w:abstractNum w:abstractNumId="47">
    <w:nsid w:val="70C6A529"/>
    <w:multiLevelType w:val="hybridMultilevel"/>
    <w:lvl w:ilvl="0">
      <w:lvlJc w:val="left"/>
      <w:lvlText w:val="%1."/>
      <w:numFmt w:val="decimal"/>
      <w:start w:val="19"/>
    </w:lvl>
  </w:abstractNum>
  <w:abstractNum w:abstractNumId="48">
    <w:nsid w:val="520EEDD1"/>
    <w:multiLevelType w:val="hybridMultilevel"/>
    <w:lvl w:ilvl="0">
      <w:lvlJc w:val="left"/>
      <w:lvlText w:val="%1."/>
      <w:numFmt w:val="decimal"/>
      <w:start w:val="20"/>
    </w:lvl>
    <w:lvl w:ilvl="1">
      <w:lvlJc w:val="left"/>
      <w:lvlText w:val="(%2)"/>
      <w:numFmt w:val="lowerLetter"/>
      <w:start w:val="1"/>
    </w:lvl>
  </w:abstractNum>
  <w:abstractNum w:abstractNumId="49">
    <w:nsid w:val="374A3FE6"/>
    <w:multiLevelType w:val="hybridMultilevel"/>
    <w:lvl w:ilvl="0">
      <w:lvlJc w:val="left"/>
      <w:lvlText w:val="%1"/>
      <w:numFmt w:val="decimal"/>
      <w:start w:val="1"/>
    </w:lvl>
    <w:lvl w:ilvl="1">
      <w:lvlJc w:val="left"/>
      <w:lvlText w:val="(%2)"/>
      <w:numFmt w:val="lowerLetter"/>
      <w:start w:val="4"/>
    </w:lvl>
  </w:abstractNum>
  <w:abstractNum w:abstractNumId="50">
    <w:nsid w:val="4F4EF005"/>
    <w:multiLevelType w:val="hybridMultilevel"/>
    <w:lvl w:ilvl="0">
      <w:lvlJc w:val="left"/>
      <w:lvlText w:val="%1."/>
      <w:numFmt w:val="decimal"/>
      <w:start w:val="21"/>
    </w:lvl>
    <w:lvl w:ilvl="1">
      <w:lvlJc w:val="left"/>
      <w:lvlText w:val="%2"/>
      <w:numFmt w:val="lowerLetter"/>
      <w:start w:val="1"/>
    </w:lvl>
  </w:abstractNum>
  <w:abstractNum w:abstractNumId="51">
    <w:nsid w:val="23F9C13C"/>
    <w:multiLevelType w:val="hybridMultilevel"/>
    <w:lvl w:ilvl="0">
      <w:lvlJc w:val="left"/>
      <w:lvlText w:val="%1."/>
      <w:numFmt w:val="decimal"/>
      <w:start w:val="22"/>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decimal"/>
      <w:start w:val="23"/>
    </w:lvl>
  </w:abstractNum>
  <w:abstractNum w:abstractNumId="54">
    <w:nsid w:val="39386575"/>
    <w:multiLevelType w:val="hybridMultilevel"/>
    <w:lvl w:ilvl="0">
      <w:lvlJc w:val="left"/>
      <w:lvlText w:val="%1."/>
      <w:numFmt w:val="decimal"/>
      <w:start w:val="24"/>
    </w:lvl>
  </w:abstractNum>
  <w:abstractNum w:abstractNumId="55">
    <w:nsid w:val="1CF10FD8"/>
    <w:multiLevelType w:val="hybridMultilevel"/>
    <w:lvl w:ilvl="0">
      <w:lvlJc w:val="left"/>
      <w:lvlText w:val="%1."/>
      <w:numFmt w:val="decimal"/>
      <w:start w:val="25"/>
    </w:lvl>
  </w:abstractNum>
  <w:abstractNum w:abstractNumId="56">
    <w:nsid w:val="180115BE"/>
    <w:multiLevelType w:val="hybridMultilevel"/>
    <w:lvl w:ilvl="0">
      <w:lvlJc w:val="left"/>
      <w:lvlText w:val="%1."/>
      <w:numFmt w:val="decimal"/>
      <w:start w:val="26"/>
    </w:lvl>
    <w:lvl w:ilvl="1">
      <w:lvlJc w:val="left"/>
      <w:lvlText w:val="(%2)"/>
      <w:numFmt w:val="lowerLetter"/>
      <w:start w:val="1"/>
    </w:lvl>
  </w:abstractNum>
  <w:abstractNum w:abstractNumId="57">
    <w:nsid w:val="235BA861"/>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2019-12-29T00:31:31Z</dcterms:created>
  <dcterms:modified xsi:type="dcterms:W3CDTF">2019-12-29T00:31:31Z</dcterms:modified>
</cp:coreProperties>
</file>