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40" w:type="dxa"/>
            <w:vAlign w:val="bottom"/>
            <w:gridSpan w:val="3"/>
          </w:tcPr>
          <w:p>
            <w:pPr>
              <w:ind w:left="860"/>
              <w:spacing w:after="0"/>
              <w:rPr>
                <w:sz w:val="20"/>
                <w:szCs w:val="20"/>
                <w:color w:val="auto"/>
              </w:rPr>
            </w:pPr>
            <w:r>
              <w:rPr>
                <w:rFonts w:ascii="Arial" w:cs="Arial" w:eastAsia="Arial" w:hAnsi="Arial"/>
                <w:sz w:val="18"/>
                <w:szCs w:val="18"/>
                <w:color w:val="0000FF"/>
              </w:rPr>
              <w:t>09/08/2016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72"/>
              <w:spacing w:after="0"/>
              <w:rPr>
                <w:sz w:val="20"/>
                <w:szCs w:val="20"/>
                <w:color w:val="auto"/>
              </w:rPr>
            </w:pPr>
            <w:r>
              <w:rPr>
                <w:rFonts w:ascii="Arial" w:cs="Arial" w:eastAsia="Arial" w:hAnsi="Arial"/>
                <w:sz w:val="18"/>
                <w:szCs w:val="18"/>
                <w:color w:val="0000FF"/>
              </w:rPr>
              <w:t>450</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40.42</w:t>
            </w:r>
          </w:p>
        </w:tc>
        <w:tc>
          <w:tcPr>
            <w:tcW w:w="340" w:type="dxa"/>
            <w:vAlign w:val="bottom"/>
          </w:tcPr>
          <w:p>
            <w:pPr>
              <w:spacing w:after="0"/>
              <w:rPr>
                <w:sz w:val="23"/>
                <w:szCs w:val="23"/>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24,131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09/12/2016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4,595</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28,727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14,437 unvested RSUs, 1,396 vested RSUs, the receipt of which has been deferred and DERS relating to the RSUs, adjusted to reflect the cumulative effect of fractional shares, 1,441 performance shares earned but not vested with respect to performance shares granted on 1/14/2014, 392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09/12/2016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2019-12-23T21:46:24Z</dcterms:created>
  <dcterms:modified xsi:type="dcterms:W3CDTF">2019-12-23T21:46:24Z</dcterms:modified>
</cp:coreProperties>
</file>