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ABM INDUSTRIES INCORPORATED</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5"/>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1-8929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94-1369354</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24"/>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One Liberty Plaza</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7th Floor</w:t>
            </w:r>
          </w:p>
        </w:tc>
        <w:tc>
          <w:tcPr>
            <w:tcW w:w="32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5"/>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10006</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297-0200</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ABM</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June 6, 2024, ABM Industries Incorporated (the “Company”) issued a press release announcing financial results related to the quarter ended April 30, 2024. A copy of the press release is being furnished as Exhibit 99.1 to this Form 8-K, which is incorporated into this item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7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On June 6, 2024, the Company announced that the Board of Directors of the Company declared a quarterly dividend of $0.225 per share, payable on August 5, 2024 to stockholders of record on July 5,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issued by ABM Industries Incorporated, dated June 6, 2024, announcing financial results related to the quarter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-7620</wp:posOffset>
            </wp:positionV>
            <wp:extent cx="64693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69380" cy="8890"/>
                    </a:xfrm>
                    <a:prstGeom prst="rect">
                      <a:avLst/>
                    </a:prstGeom>
                    <a:noFill/>
                  </pic:spPr>
                </pic:pic>
              </a:graphicData>
            </a:graphic>
          </wp:anchor>
        </w:drawing>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0000FF"/>
        </w:rPr>
        <w:t>2024, and the declaration of a dividend payable August 5, 2024, to stockholders of record on July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-19050</wp:posOffset>
            </wp:positionV>
            <wp:extent cx="48577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857750" cy="8255"/>
                    </a:xfrm>
                    <a:prstGeom prst="rect">
                      <a:avLst/>
                    </a:prstGeom>
                    <a:noFill/>
                  </pic:spPr>
                </pic:pic>
              </a:graphicData>
            </a:graphic>
          </wp:anchor>
        </w:drawing>
      </w: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ABM INDUSTRIES INCORPORATED</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Andrea R. Newborn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Andrea R. Newborn</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Executive Vice President, General Counsel</w:t>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8890</wp:posOffset>
            </wp:positionV>
            <wp:extent cx="1234440" cy="4540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444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line="272" w:lineRule="auto"/>
        <w:rPr>
          <w:sz w:val="20"/>
          <w:szCs w:val="20"/>
          <w:color w:val="auto"/>
        </w:rPr>
      </w:pPr>
      <w:r>
        <w:rPr>
          <w:rFonts w:ascii="Arial" w:cs="Arial" w:eastAsia="Arial" w:hAnsi="Arial"/>
          <w:sz w:val="22"/>
          <w:szCs w:val="22"/>
          <w:b w:val="1"/>
          <w:bCs w:val="1"/>
          <w:color w:val="0046AD"/>
        </w:rPr>
        <w:t>ABM REPORTS SECOND QUARTER FISCAL 2024 RESULTS AND RAISES OUTLOOK FOR FISCAL YEAR 2024 ADJUSTED EPS</w:t>
      </w:r>
    </w:p>
    <w:p>
      <w:pPr>
        <w:spacing w:after="0" w:line="135"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Revenue up 2% to $2.0 billion, all organic growth</w:t>
      </w:r>
    </w:p>
    <w:p>
      <w:pPr>
        <w:spacing w:after="0" w:line="16" w:lineRule="exact"/>
        <w:rPr>
          <w:rFonts w:ascii="Times New Roman" w:cs="Times New Roman" w:eastAsia="Times New Roman" w:hAnsi="Times New Roman"/>
          <w:sz w:val="20"/>
          <w:szCs w:val="20"/>
          <w:color w:val="auto"/>
        </w:rPr>
      </w:pPr>
    </w:p>
    <w:p>
      <w:pPr>
        <w:ind w:left="760" w:hanging="378"/>
        <w:spacing w:after="0" w:line="238" w:lineRule="auto"/>
        <w:tabs>
          <w:tab w:leader="none" w:pos="760" w:val="left"/>
        </w:tabs>
        <w:numPr>
          <w:ilvl w:val="0"/>
          <w:numId w:val="2"/>
        </w:numPr>
        <w:rPr>
          <w:rFonts w:ascii="Times New Roman" w:cs="Times New Roman" w:eastAsia="Times New Roman" w:hAnsi="Times New Roman"/>
          <w:sz w:val="20"/>
          <w:szCs w:val="20"/>
          <w:i w:val="1"/>
          <w:iCs w:val="1"/>
          <w:color w:val="auto"/>
        </w:rPr>
      </w:pPr>
      <w:r>
        <w:rPr>
          <w:rFonts w:ascii="Arial" w:cs="Arial" w:eastAsia="Arial" w:hAnsi="Arial"/>
          <w:sz w:val="20"/>
          <w:szCs w:val="20"/>
          <w:i w:val="1"/>
          <w:iCs w:val="1"/>
          <w:color w:val="auto"/>
        </w:rPr>
        <w:t xml:space="preserve">Net income of $43.8 million and GAAP EPS of </w:t>
      </w:r>
      <w:r>
        <w:rPr>
          <w:rFonts w:ascii="Arial" w:cs="Arial" w:eastAsia="Arial" w:hAnsi="Arial"/>
          <w:sz w:val="20"/>
          <w:szCs w:val="20"/>
          <w:color w:val="auto"/>
        </w:rPr>
        <w:t>$0.69</w:t>
      </w:r>
      <w:r>
        <w:rPr>
          <w:rFonts w:ascii="Arial" w:cs="Arial" w:eastAsia="Arial" w:hAnsi="Arial"/>
          <w:sz w:val="20"/>
          <w:szCs w:val="20"/>
          <w:i w:val="1"/>
          <w:iCs w:val="1"/>
          <w:color w:val="auto"/>
        </w:rPr>
        <w:t xml:space="preserve">, declines of 16% and </w:t>
      </w:r>
      <w:r>
        <w:rPr>
          <w:rFonts w:ascii="Arial" w:cs="Arial" w:eastAsia="Arial" w:hAnsi="Arial"/>
          <w:sz w:val="20"/>
          <w:szCs w:val="20"/>
          <w:color w:val="auto"/>
        </w:rPr>
        <w:t>12%</w:t>
      </w:r>
      <w:r>
        <w:rPr>
          <w:rFonts w:ascii="Arial" w:cs="Arial" w:eastAsia="Arial" w:hAnsi="Arial"/>
          <w:sz w:val="20"/>
          <w:szCs w:val="20"/>
          <w:i w:val="1"/>
          <w:iCs w:val="1"/>
          <w:color w:val="auto"/>
        </w:rPr>
        <w:t>, respectively</w:t>
      </w:r>
    </w:p>
    <w:p>
      <w:pPr>
        <w:ind w:left="760" w:hanging="378"/>
        <w:spacing w:after="0" w:line="238" w:lineRule="auto"/>
        <w:tabs>
          <w:tab w:leader="none" w:pos="760" w:val="left"/>
        </w:tabs>
        <w:numPr>
          <w:ilvl w:val="0"/>
          <w:numId w:val="2"/>
        </w:numPr>
        <w:rPr>
          <w:rFonts w:ascii="Times New Roman" w:cs="Times New Roman" w:eastAsia="Times New Roman" w:hAnsi="Times New Roman"/>
          <w:sz w:val="20"/>
          <w:szCs w:val="20"/>
          <w:i w:val="1"/>
          <w:iCs w:val="1"/>
          <w:color w:val="auto"/>
        </w:rPr>
      </w:pPr>
      <w:r>
        <w:rPr>
          <w:rFonts w:ascii="Arial" w:cs="Arial" w:eastAsia="Arial" w:hAnsi="Arial"/>
          <w:sz w:val="20"/>
          <w:szCs w:val="20"/>
          <w:i w:val="1"/>
          <w:iCs w:val="1"/>
          <w:color w:val="auto"/>
        </w:rPr>
        <w:t>Adjusted EBITDA of $125.3 million, down 9%</w:t>
      </w:r>
    </w:p>
    <w:p>
      <w:pPr>
        <w:ind w:left="760" w:hanging="378"/>
        <w:spacing w:after="0" w:line="238" w:lineRule="auto"/>
        <w:tabs>
          <w:tab w:leader="none" w:pos="760" w:val="left"/>
        </w:tabs>
        <w:numPr>
          <w:ilvl w:val="0"/>
          <w:numId w:val="2"/>
        </w:numPr>
        <w:rPr>
          <w:rFonts w:ascii="Times New Roman" w:cs="Times New Roman" w:eastAsia="Times New Roman" w:hAnsi="Times New Roman"/>
          <w:sz w:val="20"/>
          <w:szCs w:val="20"/>
          <w:i w:val="1"/>
          <w:iCs w:val="1"/>
          <w:color w:val="auto"/>
        </w:rPr>
      </w:pPr>
      <w:r>
        <w:rPr>
          <w:rFonts w:ascii="Arial" w:cs="Arial" w:eastAsia="Arial" w:hAnsi="Arial"/>
          <w:sz w:val="20"/>
          <w:szCs w:val="20"/>
          <w:i w:val="1"/>
          <w:iCs w:val="1"/>
          <w:color w:val="auto"/>
        </w:rPr>
        <w:t>Adjusted EPS of $0.87, down 3%</w:t>
      </w:r>
    </w:p>
    <w:p>
      <w:pPr>
        <w:ind w:left="760" w:hanging="378"/>
        <w:spacing w:after="0"/>
        <w:tabs>
          <w:tab w:leader="none" w:pos="760" w:val="left"/>
        </w:tabs>
        <w:numPr>
          <w:ilvl w:val="0"/>
          <w:numId w:val="2"/>
        </w:numPr>
        <w:rPr>
          <w:rFonts w:ascii="Times New Roman" w:cs="Times New Roman" w:eastAsia="Times New Roman" w:hAnsi="Times New Roman"/>
          <w:sz w:val="20"/>
          <w:szCs w:val="20"/>
          <w:i w:val="1"/>
          <w:iCs w:val="1"/>
          <w:color w:val="auto"/>
        </w:rPr>
      </w:pPr>
      <w:r>
        <w:rPr>
          <w:rFonts w:ascii="Arial" w:cs="Arial" w:eastAsia="Arial" w:hAnsi="Arial"/>
          <w:sz w:val="20"/>
          <w:szCs w:val="20"/>
          <w:i w:val="1"/>
          <w:iCs w:val="1"/>
          <w:color w:val="auto"/>
        </w:rPr>
        <w:t>Operating cash flow of $117.0 million and free cash flow of $101.4 million, both up significantly</w:t>
      </w:r>
    </w:p>
    <w:p>
      <w:pPr>
        <w:spacing w:after="0" w:line="12" w:lineRule="exact"/>
        <w:rPr>
          <w:rFonts w:ascii="Times New Roman" w:cs="Times New Roman" w:eastAsia="Times New Roman" w:hAnsi="Times New Roman"/>
          <w:sz w:val="20"/>
          <w:szCs w:val="20"/>
          <w:i w:val="1"/>
          <w:iCs w:val="1"/>
          <w:color w:val="auto"/>
        </w:rPr>
      </w:pPr>
    </w:p>
    <w:p>
      <w:pPr>
        <w:ind w:left="760" w:hanging="378"/>
        <w:spacing w:after="0"/>
        <w:tabs>
          <w:tab w:leader="none" w:pos="760" w:val="left"/>
        </w:tabs>
        <w:numPr>
          <w:ilvl w:val="0"/>
          <w:numId w:val="2"/>
        </w:numPr>
        <w:rPr>
          <w:rFonts w:ascii="Times New Roman" w:cs="Times New Roman" w:eastAsia="Times New Roman" w:hAnsi="Times New Roman"/>
          <w:sz w:val="20"/>
          <w:szCs w:val="20"/>
          <w:i w:val="1"/>
          <w:iCs w:val="1"/>
          <w:color w:val="auto"/>
        </w:rPr>
      </w:pPr>
      <w:r>
        <w:rPr>
          <w:rFonts w:ascii="Arial" w:cs="Arial" w:eastAsia="Arial" w:hAnsi="Arial"/>
          <w:sz w:val="20"/>
          <w:szCs w:val="20"/>
          <w:i w:val="1"/>
          <w:iCs w:val="1"/>
          <w:color w:val="auto"/>
        </w:rPr>
        <w:t xml:space="preserve">Raises outlook for fiscal year 2024 adjusted EPS to $3.40 to $3.50, up from $3.30 to $3.45 </w:t>
      </w:r>
      <w:r>
        <w:rPr>
          <w:rFonts w:ascii="Arial" w:cs="Arial" w:eastAsia="Arial" w:hAnsi="Arial"/>
          <w:sz w:val="26"/>
          <w:szCs w:val="26"/>
          <w:i w:val="1"/>
          <w:iCs w:val="1"/>
          <w:color w:val="auto"/>
          <w:vertAlign w:val="superscript"/>
        </w:rPr>
        <w:t>(1)</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NEW YORK, NY - June 6, 2024 - ABM (NYSE: ABM), a leading provider of facility solutions, today announced financial results for the second quarter of fiscal 2024.</w:t>
      </w:r>
    </w:p>
    <w:p>
      <w:pPr>
        <w:spacing w:after="0" w:line="128"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“We are pleased with our second quarter results, which were driven by our team’s outstanding execution and highlighted by strong cash flow, as well as mid-single digit organic revenue growth in our Aviation, Technical Solutions, Manufacturing &amp; Distribution and Education segments. Additionally, our Business &amp; Industry segment again displayed its resiliency, benefiting from a diverse client and service mix, including a focus on higher performing Class A properties” said Scott Salmirs, President &amp; Chief Executive Officer. “We also continued to win new business across the portfolio and progressed on our ELEVATE strategic initiatives, further setting us up for a solid second half of the year.”</w:t>
      </w:r>
    </w:p>
    <w:p>
      <w:pPr>
        <w:spacing w:after="0" w:line="14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Mr. Salmirs continued, “Our results are a strong validation of our strategy and of the effectiveness of our advantaged cash-generative business model. ABM’s service breadth, people, and customer focus, as well as the investments we have made in technology, have enabled us to perform well in challenging market conditions. Going forward, we expect to further leverage our investments and strong free cash flow to self-fund growth and pursue margin expansion opportunities, while at the same time consistently returning capital and building long-term stockholder value.”</w:t>
      </w:r>
    </w:p>
    <w:p>
      <w:pPr>
        <w:spacing w:after="0" w:line="148"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“Given our strong second quarter performance and confidence in our second half forecast, we are raising our full-year outlook for adjusted EPS, and now expect it to be in the range of $3.40 to $3.50 versus the prior range of $3.30 to $3.45.”</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Second Quarter Fiscal 2024 Results</w:t>
      </w:r>
    </w:p>
    <w:p>
      <w:pPr>
        <w:spacing w:after="0" w:line="177"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 xml:space="preserve">For the second quarter of fiscal 2024, the Company reported revenue of $2.0 billion, up 2% over the prior year period, all of which was organic growth. </w:t>
      </w:r>
      <w:r>
        <w:rPr>
          <w:rFonts w:ascii="Arial" w:cs="Arial" w:eastAsia="Arial" w:hAnsi="Arial"/>
          <w:sz w:val="20"/>
          <w:szCs w:val="20"/>
          <w:color w:val="242424"/>
        </w:rPr>
        <w:t>Aviation, Technical Solutions, Manufacturing &amp; Distribution, and Education all grew between 4% and</w:t>
      </w:r>
      <w:r>
        <w:rPr>
          <w:rFonts w:ascii="Arial" w:cs="Arial" w:eastAsia="Arial" w:hAnsi="Arial"/>
          <w:sz w:val="20"/>
          <w:szCs w:val="20"/>
          <w:color w:val="auto"/>
        </w:rPr>
        <w:t xml:space="preserve"> </w:t>
      </w:r>
      <w:r>
        <w:rPr>
          <w:rFonts w:ascii="Arial" w:cs="Arial" w:eastAsia="Arial" w:hAnsi="Arial"/>
          <w:sz w:val="20"/>
          <w:szCs w:val="20"/>
          <w:color w:val="242424"/>
        </w:rPr>
        <w:t>5%, driven by generally solid market conditions, and net new business wins and expansions. Business &amp; Industry’s revenue declined less than 1%, as ABM’s focus on service and client diversification, and on market segmentation, largely offset ongoing softness in the broader commercial office market.</w:t>
      </w:r>
    </w:p>
    <w:p>
      <w:pPr>
        <w:spacing w:after="0" w:line="187" w:lineRule="exact"/>
        <w:rPr>
          <w:sz w:val="20"/>
          <w:szCs w:val="20"/>
          <w:color w:val="auto"/>
        </w:rPr>
      </w:pPr>
    </w:p>
    <w:p>
      <w:pPr>
        <w:jc w:val="both"/>
        <w:ind w:right="20" w:firstLine="8"/>
        <w:spacing w:after="0" w:line="271" w:lineRule="auto"/>
        <w:tabs>
          <w:tab w:leader="none" w:pos="216" w:val="left"/>
        </w:tabs>
        <w:numPr>
          <w:ilvl w:val="0"/>
          <w:numId w:val="3"/>
        </w:numPr>
        <w:rPr>
          <w:rFonts w:ascii="Arial" w:cs="Arial" w:eastAsia="Arial" w:hAnsi="Arial"/>
          <w:sz w:val="14"/>
          <w:szCs w:val="14"/>
          <w:b w:val="1"/>
          <w:bCs w:val="1"/>
          <w:color w:val="auto"/>
        </w:rPr>
      </w:pPr>
      <w:r>
        <w:rPr>
          <w:rFonts w:ascii="Arial" w:cs="Arial" w:eastAsia="Arial" w:hAnsi="Arial"/>
          <w:sz w:val="14"/>
          <w:szCs w:val="14"/>
          <w:color w:val="auto"/>
        </w:rPr>
        <w:t>When the company provides expectations for adjusted EPS on a forward-looking basis, a reconciliation of the differences between these non-GAAP expectations and the corresponding GAAP measure generally is not available without unreasonable effort. See “Outlook” and “Use of Non-GAAP Financial Information” below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448310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 w:name="page4"/>
    <w:bookmarkEnd w:id="3"/>
    <w:p>
      <w:pPr>
        <w:jc w:val="both"/>
        <w:spacing w:after="0" w:line="234" w:lineRule="auto"/>
        <w:rPr>
          <w:sz w:val="20"/>
          <w:szCs w:val="20"/>
          <w:color w:val="auto"/>
        </w:rPr>
      </w:pPr>
      <w:r>
        <w:rPr>
          <w:rFonts w:ascii="Arial" w:cs="Arial" w:eastAsia="Arial" w:hAnsi="Arial"/>
          <w:sz w:val="20"/>
          <w:szCs w:val="20"/>
          <w:color w:val="242424"/>
        </w:rPr>
        <w:t>N</w:t>
      </w:r>
      <w:r>
        <w:rPr>
          <w:rFonts w:ascii="Arial" w:cs="Arial" w:eastAsia="Arial" w:hAnsi="Arial"/>
          <w:sz w:val="20"/>
          <w:szCs w:val="20"/>
          <w:color w:val="000000"/>
        </w:rPr>
        <w:t>et income was $43.8 million, or $0.69 per diluted share, compared to $51.9 million, or $0.78 per diluted share, last year,</w:t>
      </w:r>
      <w:r>
        <w:rPr>
          <w:rFonts w:ascii="Arial" w:cs="Arial" w:eastAsia="Arial" w:hAnsi="Arial"/>
          <w:sz w:val="20"/>
          <w:szCs w:val="20"/>
          <w:color w:val="242424"/>
        </w:rPr>
        <w:t xml:space="preserve"> </w:t>
      </w:r>
      <w:r>
        <w:rPr>
          <w:rFonts w:ascii="Arial" w:cs="Arial" w:eastAsia="Arial" w:hAnsi="Arial"/>
          <w:sz w:val="20"/>
          <w:szCs w:val="20"/>
          <w:color w:val="000000"/>
        </w:rPr>
        <w:t>representing declines of 16% and 12%, respectively. This was primarily attributable to the absence of a $12.6 million pre-tax gain related to an Aviation project recognized in the prior year period and higher corporate investments as planned. These were partially offset by higher operating earnings in the Business &amp; Industry, Manufacturing &amp; Distribution, and Technical Solutions segments. Diluted EPS was also positively impacted by a lower share count.</w:t>
      </w:r>
    </w:p>
    <w:p>
      <w:pPr>
        <w:spacing w:after="0" w:line="148"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Adjusted net income was $55.5 million, or $0.87 per diluted share, compared to $60.2 million, or $0.90 per diluted share, in the prior year period, representing declines of 8% and 3%, respectively. Adjusted EBITDA decreased 9% to $125.3 million and adjusted EBITDA margin was 6.5% versus 7.2% last year. This was primarily due to the absence of the aforementioned Aviation project, as well as higher corporate investments. These were partially offset by higher operating earnings in the Business &amp; Industry, Manufacturing &amp; Distribution, and Technical Solutions segments. Adjusted EPS was also positively impacted by a lower share count. Adjusted results exclude items impacting comparability. A description of items impacting comparability can be found in the “Reconciliation of Non-GAAP Financial Measures” table.</w:t>
      </w:r>
    </w:p>
    <w:p>
      <w:pPr>
        <w:spacing w:after="0" w:line="14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Net cash from operating activities was $117.0 million, and free cash flow was $101.4 million, both up significantly over the prior year period, reflecting our cash-generative business model, aided by effective working capital management and lower ELEVATE and integration expenses.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Liquidity, Capital Structure &amp; Share Repurchases</w:t>
      </w:r>
    </w:p>
    <w:p>
      <w:pPr>
        <w:spacing w:after="0" w:line="17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Company ended the second quarter with total indebtedness of $1,351.4 million, including $ 57.9 million in standby letters of credit, resulting in a total leverage ratio, as defined by the Company's credit facility of 2.3x. The Company had available liquidity of $561.8 million, inclusive of cash and cash equivalents, of $60.7 million.</w:t>
      </w:r>
    </w:p>
    <w:p>
      <w:pPr>
        <w:spacing w:after="0" w:line="14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During the second quarter, the Company repurchased 555,461 shares of common stock at an average share price of $42.84, with a total cost of $23.8 million. As of the end of the second quarter, the company's total remaining share repurchase authorization was approximately $186 million.</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Quarterly Cash Dividend</w:t>
      </w:r>
    </w:p>
    <w:p>
      <w:pPr>
        <w:spacing w:after="0" w:line="177"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The Company’s Board of Directors declared a cash dividend of $0.225 per common share which is payable on August 5, 2024, to shareholders of record on July 5, 2024. This will be the Company’s 233</w:t>
      </w:r>
      <w:r>
        <w:rPr>
          <w:rFonts w:ascii="Arial" w:cs="Arial" w:eastAsia="Arial" w:hAnsi="Arial"/>
          <w:sz w:val="26"/>
          <w:szCs w:val="26"/>
          <w:color w:val="auto"/>
          <w:vertAlign w:val="superscript"/>
        </w:rPr>
        <w:t>rd</w:t>
      </w:r>
      <w:r>
        <w:rPr>
          <w:rFonts w:ascii="Arial" w:cs="Arial" w:eastAsia="Arial" w:hAnsi="Arial"/>
          <w:sz w:val="20"/>
          <w:szCs w:val="20"/>
          <w:color w:val="auto"/>
        </w:rPr>
        <w:t xml:space="preserve"> consecutive quarterly cash dividend.</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Outlook</w:t>
      </w:r>
    </w:p>
    <w:p>
      <w:pPr>
        <w:spacing w:after="0" w:line="177" w:lineRule="exact"/>
        <w:rPr>
          <w:sz w:val="20"/>
          <w:szCs w:val="20"/>
          <w:color w:val="auto"/>
        </w:rPr>
      </w:pPr>
    </w:p>
    <w:p>
      <w:pPr>
        <w:jc w:val="both"/>
        <w:spacing w:after="0"/>
        <w:rPr>
          <w:sz w:val="20"/>
          <w:szCs w:val="20"/>
          <w:color w:val="auto"/>
        </w:rPr>
      </w:pPr>
      <w:r>
        <w:rPr>
          <w:rFonts w:ascii="Arial" w:cs="Arial" w:eastAsia="Arial" w:hAnsi="Arial"/>
          <w:sz w:val="20"/>
          <w:szCs w:val="20"/>
          <w:color w:val="auto"/>
        </w:rPr>
        <w:t>Based on its strong second quarter results and confidence in the back half of the year, ABM is raising its outlook for fiscal year 2024 (“FY24”) adjusted EPS. The Company now expects FY24 adjusted EPS to be in the range of $3.40 to $3.50, as compared to the prior range of $3.30 to $3.45. All other components of the Company’s prior outlook remain unchanged. Adjusted EBITDA margin is anticipated to be between 6.2% and 6.5%. Interest expense is expected to be $82 million to $86 million and the tax rate, excluding discrete items and non-taxable items, is anticipated to be 29% to 30%.</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jc w:val="both"/>
        <w:spacing w:after="0" w:line="234" w:lineRule="auto"/>
        <w:rPr>
          <w:sz w:val="20"/>
          <w:szCs w:val="20"/>
          <w:color w:val="auto"/>
        </w:rPr>
      </w:pPr>
      <w:r>
        <w:rPr>
          <w:rFonts w:ascii="Arial" w:cs="Arial" w:eastAsia="Arial" w:hAnsi="Arial"/>
          <w:sz w:val="20"/>
          <w:szCs w:val="20"/>
          <w:color w:val="auto"/>
        </w:rPr>
        <w:t>The Company cannot provide a reconciliation of the differences between the non-GAAP expectations and corresponding GAAP measures for adjusted EPS and adjusted EBITDA margin in 2024 without unreasonable effort, as we believe a GAAP range would be too large and variable to be meaningful due to the uncertainty of the amount and timing of any gains or losses related to, but not limited to, items such as prior-year self-insurance adjustments, acquisition and integration related costs, legal costs and other settlements, as well as transformation initiative costs.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Conference Call Information</w:t>
      </w:r>
    </w:p>
    <w:p>
      <w:pPr>
        <w:spacing w:after="0" w:line="17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 xml:space="preserve">ABM will host its quarterly conference call for all interested parties on Thursday, June 6, 2024, at 8:30 AM (ET). The live conference call can be accessed via audio webcast at the “Investors” section of the Company's website, located at </w:t>
      </w:r>
      <w:r>
        <w:rPr>
          <w:rFonts w:ascii="Arial" w:cs="Arial" w:eastAsia="Arial" w:hAnsi="Arial"/>
          <w:sz w:val="20"/>
          <w:szCs w:val="20"/>
          <w:u w:val="single" w:color="auto"/>
          <w:color w:val="0563C1"/>
        </w:rPr>
        <w:t>www.abm.com</w:t>
      </w:r>
      <w:r>
        <w:rPr>
          <w:rFonts w:ascii="Arial" w:cs="Arial" w:eastAsia="Arial" w:hAnsi="Arial"/>
          <w:sz w:val="20"/>
          <w:szCs w:val="20"/>
          <w:color w:val="000000"/>
        </w:rPr>
        <w:t>, or by dialing (877) 451-6152 (domestic) or (201) 389-0879 (international) approximately 15 minutes prior to the</w:t>
      </w:r>
      <w:r>
        <w:rPr>
          <w:rFonts w:ascii="Arial" w:cs="Arial" w:eastAsia="Arial" w:hAnsi="Arial"/>
          <w:sz w:val="20"/>
          <w:szCs w:val="20"/>
          <w:color w:val="0563C1"/>
        </w:rPr>
        <w:t xml:space="preserve"> </w:t>
      </w:r>
      <w:r>
        <w:rPr>
          <w:rFonts w:ascii="Arial" w:cs="Arial" w:eastAsia="Arial" w:hAnsi="Arial"/>
          <w:sz w:val="20"/>
          <w:szCs w:val="20"/>
          <w:color w:val="000000"/>
        </w:rPr>
        <w:t>scheduled time.</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color w:val="auto"/>
        </w:rPr>
        <w:t>A supplemental presentation will accompany the webcast on the Company's website.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A replay will be available approximately two hours after the webcast through June 20, 2024, and can be accessed by dialing</w:t>
      </w:r>
    </w:p>
    <w:p>
      <w:pPr>
        <w:ind w:left="540" w:hanging="532"/>
        <w:spacing w:after="0" w:line="229" w:lineRule="auto"/>
        <w:tabs>
          <w:tab w:leader="none" w:pos="540" w:val="left"/>
        </w:tabs>
        <w:numPr>
          <w:ilvl w:val="0"/>
          <w:numId w:val="4"/>
        </w:numPr>
        <w:rPr>
          <w:rFonts w:ascii="Arial" w:cs="Arial" w:eastAsia="Arial" w:hAnsi="Arial"/>
          <w:sz w:val="20"/>
          <w:szCs w:val="20"/>
          <w:color w:val="auto"/>
        </w:rPr>
      </w:pPr>
      <w:r>
        <w:rPr>
          <w:rFonts w:ascii="Arial" w:cs="Arial" w:eastAsia="Arial" w:hAnsi="Arial"/>
          <w:sz w:val="20"/>
          <w:szCs w:val="20"/>
          <w:color w:val="auto"/>
        </w:rPr>
        <w:t>512-2921 and then entering ID #13746159. A replay link of the webcast will also be archived on the ABM website for 90</w:t>
      </w:r>
    </w:p>
    <w:p>
      <w:pPr>
        <w:spacing w:after="0"/>
        <w:rPr>
          <w:rFonts w:ascii="Arial" w:cs="Arial" w:eastAsia="Arial" w:hAnsi="Arial"/>
          <w:sz w:val="20"/>
          <w:szCs w:val="20"/>
          <w:color w:val="auto"/>
        </w:rPr>
      </w:pPr>
      <w:r>
        <w:rPr>
          <w:rFonts w:ascii="Arial" w:cs="Arial" w:eastAsia="Arial" w:hAnsi="Arial"/>
          <w:sz w:val="20"/>
          <w:szCs w:val="20"/>
          <w:color w:val="auto"/>
        </w:rPr>
        <w:t>days.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0046AC"/>
        </w:rPr>
        <w:t>About ABM</w:t>
      </w:r>
    </w:p>
    <w:p>
      <w:pPr>
        <w:spacing w:after="0" w:line="177" w:lineRule="exact"/>
        <w:rPr>
          <w:sz w:val="20"/>
          <w:szCs w:val="20"/>
          <w:color w:val="auto"/>
        </w:rPr>
      </w:pPr>
    </w:p>
    <w:p>
      <w:pPr>
        <w:jc w:val="both"/>
        <w:spacing w:after="0"/>
        <w:rPr>
          <w:sz w:val="20"/>
          <w:szCs w:val="20"/>
          <w:color w:val="auto"/>
        </w:rPr>
      </w:pPr>
      <w:r>
        <w:rPr>
          <w:rFonts w:ascii="Arial" w:cs="Arial" w:eastAsia="Arial" w:hAnsi="Arial"/>
          <w:sz w:val="20"/>
          <w:szCs w:val="20"/>
          <w:color w:val="auto"/>
        </w:rPr>
        <w:t xml:space="preserve">ABM (NYSE: ABM) is one of the world’s largest providers of integrated facility solutions. A driving force for a cleaner, healthier, and more sustainable world, ABM provides essential services and forward-looking solutions that improve the spaces and places that matter most. From curbside to rooftop, ABM provides comprehensive facility services that includes janitorial, engineering, parking, electrical &amp; lighting, energy solutions, HVAC &amp; mechanical, landscape &amp; turf, and mission critical solutions. ABM delivers these custom facility solutions to properties across a wide range of industries – from commercial office buildings to universities, airports, hospitals, data centers, manufacturing plants and distribution centers, entertainment venues and more. Founded in 1909, ABM serves over 20,000 clients, with annualized revenue of over $8 billion and more than 100,000 team members in 350+ offices throughout the United States, United Kingdom and other international locations. For more information, visit </w:t>
      </w:r>
      <w:r>
        <w:rPr>
          <w:rFonts w:ascii="Arial" w:cs="Arial" w:eastAsia="Arial" w:hAnsi="Arial"/>
          <w:sz w:val="20"/>
          <w:szCs w:val="20"/>
          <w:color w:val="0000FF"/>
        </w:rPr>
        <w:t>www.abm.com</w:t>
      </w:r>
      <w:r>
        <w:rPr>
          <w:rFonts w:ascii="Arial" w:cs="Arial" w:eastAsia="Arial" w:hAnsi="Arial"/>
          <w:sz w:val="20"/>
          <w:szCs w:val="20"/>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Cautionary Statement under the Private Securities Litigation Reform Act of 1995</w:t>
      </w:r>
    </w:p>
    <w:p>
      <w:pPr>
        <w:spacing w:after="0" w:line="177" w:lineRule="exact"/>
        <w:rPr>
          <w:sz w:val="20"/>
          <w:szCs w:val="20"/>
          <w:color w:val="auto"/>
        </w:rPr>
      </w:pPr>
    </w:p>
    <w:p>
      <w:pPr>
        <w:jc w:val="both"/>
        <w:spacing w:after="0" w:line="230" w:lineRule="auto"/>
        <w:rPr>
          <w:sz w:val="20"/>
          <w:szCs w:val="20"/>
          <w:color w:val="auto"/>
        </w:rPr>
      </w:pPr>
      <w:r>
        <w:rPr>
          <w:rFonts w:ascii="Arial" w:cs="Arial" w:eastAsia="Arial" w:hAnsi="Arial"/>
          <w:sz w:val="20"/>
          <w:szCs w:val="20"/>
          <w:i w:val="1"/>
          <w:iCs w:val="1"/>
          <w:color w:val="auto"/>
        </w:rPr>
        <w:t>This press release contains both historical and forward-looking statements about ABM Industries Incorporated (“ABM”) and its subsidiaries (collectively referred to as “ABM,” “we,” “us,” “our,” or the “Company”).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For us, particular uncertainties that could cause our actual results to be materially different from those expressed in our forward-looking statements include: our success depends on our ability to gain profitable business despite competitive market pressures; our results of operations can be adversely affected by labor shortages, turnover, and labor cost increases; we may not be able to attract and retain qualified personnel and senior management we need to support our business; investments in</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both"/>
        <w:spacing w:after="0"/>
        <w:rPr>
          <w:sz w:val="20"/>
          <w:szCs w:val="20"/>
          <w:color w:val="auto"/>
        </w:rPr>
      </w:pPr>
      <w:r>
        <w:rPr>
          <w:rFonts w:ascii="Arial" w:cs="Arial" w:eastAsia="Arial" w:hAnsi="Arial"/>
          <w:sz w:val="19"/>
          <w:szCs w:val="19"/>
          <w:i w:val="1"/>
          <w:iCs w:val="1"/>
          <w:color w:val="auto"/>
        </w:rPr>
        <w:t>and changes to our businesses, operating structure, or personnel relating to our ELEVATE strategy, including the implementation of strategic transformations, enhanced business processes, and technology initiatives may not have the desired effects on our financial condition and results of operations; our ability to preserve long-term client relationships is essential to our continued success; our use of subcontractors or joint venture partners to perform work under customer contracts exposes us to liability and financial risk; our international business involves risks different from those we face in the United States that could have an effect on our results of operations and financial condition; decreases in commercial office space utilization due to hybrid work models could adversely affect our financial conditions; negative changes in general economic conditions, such as recessionary pressures, high interest rates, durable and non-durable goods pricing, changes in energy prices, or changes in consumer goods pricing, could reduce the demand for services and, as a result, reduce our revenue and earnings and adversely affect our financial condition; acquisitions, divestitures, and other strategic transactions could fail to achieve financial or strategic objectives, disrupt our ongoing business, and adversely impact our results of operations; we may experience breaches of, or disruptions to, our information technology systems or those of our third-party providers or clients, or other compromises of our data that could adversely affect our business; our ongoing implementation of new enterprise resource planning and related boundary systems could adversely impact our ability to operate our business and report our financial results; we manage our insurable risks through a combination of third-party purchased policies and self-insurance, and we retain a substantial portion of the risk associated with expected losses under these programs, which exposes us to volatility associated with those risks, including the possibility that changes in estimates to our ultimate insurance loss reserves could result in material charges against our earnings; our risk management and safety programs may not have the intended effect of reducing our liability for personal injury or property loss; unfavorable developments in our class and representative actions and other lawsuits alleging various claims could cause us to incur substantial liabilities; we are subject to extensive legal and regulatory requirements, which could limit our profitability by increasing the costs of legal and regulatory compliance; a significant number of our employees are covered by collective bargaining agreements that could expose us to potential liabilities in relation to our participation in multiemployer pension plans, requirements to make contributions to other benefit plans, and the potential for strikes, work slowdowns or similar activities, and union organizing drives; our business may be materially affected by changes to fiscal and tax policies; negative or unexpected tax consequences could adversely affect our results of operations; future increases in the level of our borrowings or in interest rates could affect our results of operations; impairment of goodwill and long-lived assets could have a material adverse effect on our financial condition and results of operations; if we fail to maintain proper and effective internal control over financial reporting in the future, our ability to produce accurate and timely financial statements could be negatively impacted, which could harm our operating results and investor perceptions of our Company and as a result may have a material adverse effect on the value of our common stock; our business may be negatively impacted by adverse weather conditions; catastrophic events, disasters, pandemics, and terrorist attacks could disrupt our services; and actions of activist investors could disrupt our business. For additional information on these and other risks and uncertainties we face, see ABM’s risk factors, as they may be amended from time to time, set forth in our filings with the Securities and Exchange Commission, including our most recent Annual Report on Form 10-K and subsequent filings. We urge readers to consider these risks and uncertainties in evaluating our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0046AD"/>
        </w:rPr>
        <w:t>Use of Non-GAAP Financial Information</w:t>
      </w:r>
    </w:p>
    <w:p>
      <w:pPr>
        <w:spacing w:after="0" w:line="177" w:lineRule="exact"/>
        <w:rPr>
          <w:sz w:val="20"/>
          <w:szCs w:val="20"/>
          <w:color w:val="auto"/>
        </w:rPr>
      </w:pPr>
    </w:p>
    <w:p>
      <w:pPr>
        <w:jc w:val="both"/>
        <w:spacing w:after="0" w:line="228" w:lineRule="auto"/>
        <w:rPr>
          <w:sz w:val="20"/>
          <w:szCs w:val="20"/>
          <w:color w:val="auto"/>
        </w:rPr>
      </w:pPr>
      <w:r>
        <w:rPr>
          <w:rFonts w:ascii="Arial" w:cs="Arial" w:eastAsia="Arial" w:hAnsi="Arial"/>
          <w:sz w:val="20"/>
          <w:szCs w:val="20"/>
          <w:i w:val="1"/>
          <w:iCs w:val="1"/>
          <w:color w:val="auto"/>
        </w:rPr>
        <w:t>To supplement ABM’s consolidated financial information, the Company has presented net income and net income per diluted share as adjusted for items impacting comparability for the second quarter of fiscal years 2024 and 2023. These adjustments have been made with the intent of providing financial measures that give management and investors a better understanding of the underlying operational results and trends as well as ABM’s operational performance. In addition, the Company has presented earnings before interest, taxes, depreciation and amortization, and excluding items impacting comparability (adjusted EBITDA) for the second quarter of fiscal years 2024 and 2023. Adjusted EBITDA is among the indicators management uses as a basis for planning and forecasting future periods. Adjusted EBITDA margin is defined as adjusted EBITDA divided by revenue excluding management reimbursement. We cannot provide a reconciliation of forward-looking non-GAAP adjusted EBITDA margin measures to GAAP due to the inherent difficulty in forecasting and quantifying certain amounts that are necessary for such reconciliation. The Company has also presented Free Cash Flow which is defined as net cash provided by (used in) operating activities less additions to property, plant and equipment. The presentation of these non-GAAP financial measures is not meant to be considered in isolation or as a substitute for financial statements prepared in accordance with accounting principles generally accepted in the United States of America. (See accompanying financial tables for supplemental financial data and corresponding reconciliations to certain GAAP financial measures.)</w:t>
      </w:r>
    </w:p>
    <w:p>
      <w:pPr>
        <w:spacing w:after="0" w:line="26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i w:val="1"/>
          <w:iCs w:val="1"/>
          <w:color w:val="auto"/>
        </w:rPr>
        <w:t>We round amounts to millions but calculate all percentages and per-share data from the underlying whole-dollar amounts. As a result, certain amounts may not foot, crossfoot, or recalculate based on reported numbers due to rounding. Unless otherwise noted, all references to years are to our fiscal year, which ends on October 31.</w:t>
      </w:r>
    </w:p>
    <w:p>
      <w:pPr>
        <w:spacing w:after="0" w:line="200" w:lineRule="exact"/>
        <w:rPr>
          <w:sz w:val="20"/>
          <w:szCs w:val="20"/>
          <w:color w:val="auto"/>
        </w:rPr>
      </w:pPr>
    </w:p>
    <w:p>
      <w:pPr>
        <w:spacing w:after="0" w:line="293" w:lineRule="exact"/>
        <w:rPr>
          <w:sz w:val="20"/>
          <w:szCs w:val="20"/>
          <w:color w:val="auto"/>
        </w:rPr>
      </w:pPr>
    </w:p>
    <w:p>
      <w:pPr>
        <w:ind w:left="60"/>
        <w:spacing w:after="0"/>
        <w:rPr>
          <w:sz w:val="20"/>
          <w:szCs w:val="20"/>
          <w:color w:val="auto"/>
        </w:rPr>
      </w:pPr>
      <w:r>
        <w:rPr>
          <w:rFonts w:ascii="Arial" w:cs="Arial" w:eastAsia="Arial" w:hAnsi="Arial"/>
          <w:sz w:val="20"/>
          <w:szCs w:val="20"/>
          <w:b w:val="1"/>
          <w:bCs w:val="1"/>
          <w:u w:val="single" w:color="auto"/>
          <w:color w:val="auto"/>
        </w:rPr>
        <w:t>Contact:</w:t>
      </w:r>
    </w:p>
    <w:p>
      <w:pPr>
        <w:spacing w:after="0" w:line="110" w:lineRule="exact"/>
        <w:rPr>
          <w:sz w:val="20"/>
          <w:szCs w:val="20"/>
          <w:color w:val="auto"/>
        </w:rPr>
      </w:pPr>
    </w:p>
    <w:p>
      <w:pPr>
        <w:ind w:left="60"/>
        <w:spacing w:after="0"/>
        <w:tabs>
          <w:tab w:leader="none" w:pos="2860" w:val="left"/>
        </w:tabs>
        <w:rPr>
          <w:sz w:val="20"/>
          <w:szCs w:val="20"/>
          <w:color w:val="auto"/>
        </w:rPr>
      </w:pPr>
      <w:r>
        <w:rPr>
          <w:rFonts w:ascii="Arial" w:cs="Arial" w:eastAsia="Arial" w:hAnsi="Arial"/>
          <w:sz w:val="20"/>
          <w:szCs w:val="20"/>
          <w:color w:val="auto"/>
        </w:rPr>
        <w:t>Investor Relations:</w:t>
      </w:r>
      <w:r>
        <w:rPr>
          <w:sz w:val="20"/>
          <w:szCs w:val="20"/>
          <w:color w:val="auto"/>
        </w:rPr>
        <w:tab/>
      </w:r>
      <w:r>
        <w:rPr>
          <w:rFonts w:ascii="Arial" w:cs="Arial" w:eastAsia="Arial" w:hAnsi="Arial"/>
          <w:sz w:val="19"/>
          <w:szCs w:val="19"/>
          <w:color w:val="auto"/>
        </w:rPr>
        <w:t>Paul Goldberg</w:t>
      </w:r>
    </w:p>
    <w:p>
      <w:pPr>
        <w:spacing w:after="0" w:line="108" w:lineRule="exact"/>
        <w:rPr>
          <w:sz w:val="20"/>
          <w:szCs w:val="20"/>
          <w:color w:val="auto"/>
        </w:rPr>
      </w:pPr>
    </w:p>
    <w:p>
      <w:pPr>
        <w:ind w:left="3400" w:hanging="523"/>
        <w:spacing w:after="0"/>
        <w:tabs>
          <w:tab w:leader="none" w:pos="3400" w:val="left"/>
        </w:tabs>
        <w:numPr>
          <w:ilvl w:val="0"/>
          <w:numId w:val="5"/>
        </w:numPr>
        <w:rPr>
          <w:rFonts w:ascii="Arial" w:cs="Arial" w:eastAsia="Arial" w:hAnsi="Arial"/>
          <w:sz w:val="20"/>
          <w:szCs w:val="20"/>
          <w:color w:val="auto"/>
        </w:rPr>
      </w:pPr>
      <w:r>
        <w:rPr>
          <w:rFonts w:ascii="Arial" w:cs="Arial" w:eastAsia="Arial" w:hAnsi="Arial"/>
          <w:sz w:val="20"/>
          <w:szCs w:val="20"/>
          <w:color w:val="auto"/>
        </w:rPr>
        <w:t>297-9721</w:t>
      </w:r>
    </w:p>
    <w:p>
      <w:pPr>
        <w:spacing w:after="0" w:line="107" w:lineRule="exact"/>
        <w:rPr>
          <w:rFonts w:ascii="Arial" w:cs="Arial" w:eastAsia="Arial" w:hAnsi="Arial"/>
          <w:sz w:val="20"/>
          <w:szCs w:val="20"/>
          <w:color w:val="auto"/>
        </w:rPr>
      </w:pPr>
    </w:p>
    <w:p>
      <w:pPr>
        <w:ind w:left="2880"/>
        <w:spacing w:after="0"/>
        <w:rPr>
          <w:rFonts w:ascii="Arial" w:cs="Arial" w:eastAsia="Arial" w:hAnsi="Arial"/>
          <w:sz w:val="20"/>
          <w:szCs w:val="20"/>
          <w:color w:val="auto"/>
        </w:rPr>
      </w:pPr>
      <w:r>
        <w:rPr>
          <w:rFonts w:ascii="Arial" w:cs="Arial" w:eastAsia="Arial" w:hAnsi="Arial"/>
          <w:sz w:val="20"/>
          <w:szCs w:val="20"/>
          <w:color w:val="auto"/>
        </w:rPr>
        <w:t>ir@abm.com</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7" w:name="page8"/>
    <w:bookmarkEnd w:id="7"/>
    <w:p>
      <w:pPr>
        <w:ind w:right="4800"/>
        <w:spacing w:after="0" w:line="405" w:lineRule="auto"/>
        <w:rPr>
          <w:sz w:val="20"/>
          <w:szCs w:val="20"/>
          <w:color w:val="auto"/>
        </w:rPr>
      </w:pPr>
      <w:r>
        <w:rPr>
          <w:rFonts w:ascii="Arial" w:cs="Arial" w:eastAsia="Arial" w:hAnsi="Arial"/>
          <w:sz w:val="19"/>
          <w:szCs w:val="19"/>
          <w:b w:val="1"/>
          <w:bCs w:val="1"/>
          <w:color w:val="0046AD"/>
        </w:rPr>
        <w:t>ABM INDUSTRIES INCORPORATED AND SUBSIDIARIES CONSOLIDATED INCOME STATEMENT INFORMATION (UNAUDITED)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3260" w:type="dxa"/>
            <w:vAlign w:val="bottom"/>
            <w:gridSpan w:val="5"/>
          </w:tcPr>
          <w:p>
            <w:pPr>
              <w:jc w:val="right"/>
              <w:ind w:right="419"/>
              <w:spacing w:after="0"/>
              <w:rPr>
                <w:sz w:val="20"/>
                <w:szCs w:val="20"/>
                <w:color w:val="auto"/>
              </w:rPr>
            </w:pPr>
            <w:r>
              <w:rPr>
                <w:rFonts w:ascii="Arial" w:cs="Arial" w:eastAsia="Arial" w:hAnsi="Arial"/>
                <w:sz w:val="16"/>
                <w:szCs w:val="16"/>
                <w:b w:val="1"/>
                <w:bCs w:val="1"/>
                <w:color w:val="auto"/>
              </w:rPr>
              <w:t>Three Months Ended April 30,</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77"/>
        </w:trPr>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ind w:right="319"/>
              <w:spacing w:after="0"/>
              <w:rPr>
                <w:sz w:val="20"/>
                <w:szCs w:val="20"/>
                <w:color w:val="auto"/>
              </w:rPr>
            </w:pPr>
            <w:r>
              <w:rPr>
                <w:rFonts w:ascii="Arial" w:cs="Arial" w:eastAsia="Arial" w:hAnsi="Arial"/>
                <w:sz w:val="16"/>
                <w:szCs w:val="16"/>
                <w:b w:val="1"/>
                <w:bCs w:val="1"/>
                <w:color w:val="auto"/>
              </w:rPr>
              <w:t>Increase /</w:t>
            </w:r>
          </w:p>
        </w:tc>
      </w:tr>
      <w:tr>
        <w:trPr>
          <w:trHeight w:val="203"/>
        </w:trPr>
        <w:tc>
          <w:tcPr>
            <w:tcW w:w="120" w:type="dxa"/>
            <w:vAlign w:val="bottom"/>
          </w:tcPr>
          <w:p>
            <w:pPr>
              <w:spacing w:after="0"/>
              <w:rPr>
                <w:sz w:val="17"/>
                <w:szCs w:val="17"/>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152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740" w:type="dxa"/>
            <w:vAlign w:val="bottom"/>
            <w:gridSpan w:val="3"/>
          </w:tcPr>
          <w:p>
            <w:pPr>
              <w:jc w:val="center"/>
              <w:ind w:left="139"/>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7"/>
                <w:szCs w:val="17"/>
                <w:color w:val="auto"/>
              </w:rPr>
            </w:pPr>
          </w:p>
        </w:tc>
        <w:tc>
          <w:tcPr>
            <w:tcW w:w="1520" w:type="dxa"/>
            <w:vAlign w:val="bottom"/>
          </w:tcPr>
          <w:p>
            <w:pPr>
              <w:jc w:val="right"/>
              <w:ind w:right="259"/>
              <w:spacing w:after="0"/>
              <w:rPr>
                <w:sz w:val="20"/>
                <w:szCs w:val="20"/>
                <w:color w:val="auto"/>
              </w:rPr>
            </w:pPr>
            <w:r>
              <w:rPr>
                <w:rFonts w:ascii="Arial" w:cs="Arial" w:eastAsia="Arial" w:hAnsi="Arial"/>
                <w:sz w:val="16"/>
                <w:szCs w:val="16"/>
                <w:b w:val="1"/>
                <w:bCs w:val="1"/>
                <w:color w:val="auto"/>
              </w:rPr>
              <w:t>(Decrease)</w:t>
            </w:r>
          </w:p>
        </w:tc>
      </w:tr>
      <w:tr>
        <w:trPr>
          <w:trHeight w:val="20"/>
        </w:trPr>
        <w:tc>
          <w:tcPr>
            <w:tcW w:w="120" w:type="dxa"/>
            <w:vAlign w:val="bottom"/>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71"/>
        </w:trPr>
        <w:tc>
          <w:tcPr>
            <w:tcW w:w="120" w:type="dxa"/>
            <w:vAlign w:val="bottom"/>
            <w:tcBorders>
              <w:bottom w:val="single" w:sz="8" w:color="DCE2EF"/>
            </w:tcBorders>
            <w:shd w:val="clear" w:color="auto" w:fill="DCE2EF"/>
          </w:tcPr>
          <w:p>
            <w:pPr>
              <w:spacing w:after="0"/>
              <w:rPr>
                <w:sz w:val="23"/>
                <w:szCs w:val="23"/>
                <w:color w:val="auto"/>
              </w:rPr>
            </w:pPr>
          </w:p>
        </w:tc>
        <w:tc>
          <w:tcPr>
            <w:tcW w:w="614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6"/>
                <w:szCs w:val="16"/>
                <w:b w:val="1"/>
                <w:bCs w:val="1"/>
                <w:color w:val="auto"/>
              </w:rPr>
              <w:t>Revenues</w:t>
            </w:r>
          </w:p>
        </w:tc>
        <w:tc>
          <w:tcPr>
            <w:tcW w:w="860" w:type="dxa"/>
            <w:vAlign w:val="bottom"/>
            <w:tcBorders>
              <w:bottom w:val="single" w:sz="8" w:color="DCE2EF"/>
            </w:tcBorders>
            <w:shd w:val="clear" w:color="auto" w:fill="DCE2EF"/>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2,018.2</w:t>
            </w:r>
          </w:p>
        </w:tc>
        <w:tc>
          <w:tcPr>
            <w:tcW w:w="1060" w:type="dxa"/>
            <w:vAlign w:val="bottom"/>
            <w:tcBorders>
              <w:bottom w:val="single" w:sz="8" w:color="DCE2EF"/>
            </w:tcBorders>
            <w:gridSpan w:val="2"/>
            <w:shd w:val="clear" w:color="auto" w:fill="DCE2EF"/>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DCE2EF"/>
            </w:tcBorders>
            <w:shd w:val="clear" w:color="auto" w:fill="DCE2EF"/>
          </w:tcPr>
          <w:p>
            <w:pPr>
              <w:jc w:val="right"/>
              <w:ind w:right="39"/>
              <w:spacing w:after="0"/>
              <w:rPr>
                <w:sz w:val="20"/>
                <w:szCs w:val="20"/>
                <w:color w:val="auto"/>
              </w:rPr>
            </w:pPr>
            <w:r>
              <w:rPr>
                <w:rFonts w:ascii="Arial" w:cs="Arial" w:eastAsia="Arial" w:hAnsi="Arial"/>
                <w:sz w:val="16"/>
                <w:szCs w:val="16"/>
                <w:color w:val="auto"/>
              </w:rPr>
              <w:t>1,984.0</w:t>
            </w:r>
          </w:p>
        </w:tc>
        <w:tc>
          <w:tcPr>
            <w:tcW w:w="1720" w:type="dxa"/>
            <w:vAlign w:val="bottom"/>
            <w:tcBorders>
              <w:bottom w:val="single" w:sz="8" w:color="DCE2EF"/>
            </w:tcBorders>
            <w:gridSpan w:val="2"/>
            <w:shd w:val="clear" w:color="auto" w:fill="DCE2EF"/>
          </w:tcPr>
          <w:p>
            <w:pPr>
              <w:jc w:val="right"/>
              <w:ind w:right="19"/>
              <w:spacing w:after="0"/>
              <w:rPr>
                <w:sz w:val="20"/>
                <w:szCs w:val="20"/>
                <w:color w:val="auto"/>
              </w:rPr>
            </w:pPr>
            <w:r>
              <w:rPr>
                <w:rFonts w:ascii="Arial" w:cs="Arial" w:eastAsia="Arial" w:hAnsi="Arial"/>
                <w:sz w:val="16"/>
                <w:szCs w:val="16"/>
                <w:color w:val="auto"/>
              </w:rPr>
              <w:t>1.7%</w:t>
            </w:r>
          </w:p>
        </w:tc>
      </w:tr>
      <w:tr>
        <w:trPr>
          <w:trHeight w:val="281"/>
        </w:trPr>
        <w:tc>
          <w:tcPr>
            <w:tcW w:w="120" w:type="dxa"/>
            <w:vAlign w:val="bottom"/>
          </w:tcPr>
          <w:p>
            <w:pPr>
              <w:spacing w:after="0"/>
              <w:rPr>
                <w:sz w:val="24"/>
                <w:szCs w:val="24"/>
                <w:color w:val="auto"/>
              </w:rPr>
            </w:pPr>
          </w:p>
        </w:tc>
        <w:tc>
          <w:tcPr>
            <w:tcW w:w="614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860" w:type="dxa"/>
            <w:vAlign w:val="bottom"/>
          </w:tcPr>
          <w:p>
            <w:pPr>
              <w:spacing w:after="0"/>
              <w:rPr>
                <w:sz w:val="24"/>
                <w:szCs w:val="24"/>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1,763.5</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1,715.2</w:t>
            </w:r>
          </w:p>
        </w:tc>
        <w:tc>
          <w:tcPr>
            <w:tcW w:w="1720" w:type="dxa"/>
            <w:vAlign w:val="bottom"/>
            <w:gridSpan w:val="2"/>
          </w:tcPr>
          <w:p>
            <w:pPr>
              <w:jc w:val="right"/>
              <w:ind w:right="19"/>
              <w:spacing w:after="0"/>
              <w:rPr>
                <w:sz w:val="20"/>
                <w:szCs w:val="20"/>
                <w:color w:val="auto"/>
              </w:rPr>
            </w:pPr>
            <w:r>
              <w:rPr>
                <w:rFonts w:ascii="Arial" w:cs="Arial" w:eastAsia="Arial" w:hAnsi="Arial"/>
                <w:sz w:val="16"/>
                <w:szCs w:val="16"/>
                <w:color w:val="auto"/>
              </w:rPr>
              <w:t>2.8%</w:t>
            </w:r>
          </w:p>
        </w:tc>
      </w:tr>
      <w:tr>
        <w:trPr>
          <w:trHeight w:val="29"/>
        </w:trPr>
        <w:tc>
          <w:tcPr>
            <w:tcW w:w="1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91"/>
        </w:trPr>
        <w:tc>
          <w:tcPr>
            <w:tcW w:w="120" w:type="dxa"/>
            <w:vAlign w:val="bottom"/>
            <w:tcBorders>
              <w:bottom w:val="single" w:sz="8" w:color="DCE2EF"/>
            </w:tcBorders>
            <w:shd w:val="clear" w:color="auto" w:fill="DCE2EF"/>
          </w:tcPr>
          <w:p>
            <w:pPr>
              <w:spacing w:after="0"/>
              <w:rPr>
                <w:sz w:val="24"/>
                <w:szCs w:val="24"/>
                <w:color w:val="auto"/>
              </w:rPr>
            </w:pPr>
          </w:p>
        </w:tc>
        <w:tc>
          <w:tcPr>
            <w:tcW w:w="614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6"/>
                <w:szCs w:val="16"/>
                <w:color w:val="auto"/>
              </w:rPr>
              <w:t>Selling, general and administrative expenses</w:t>
            </w:r>
          </w:p>
        </w:tc>
        <w:tc>
          <w:tcPr>
            <w:tcW w:w="860" w:type="dxa"/>
            <w:vAlign w:val="bottom"/>
            <w:tcBorders>
              <w:bottom w:val="single" w:sz="8" w:color="DCE2EF"/>
            </w:tcBorders>
            <w:shd w:val="clear" w:color="auto" w:fill="DCE2EF"/>
          </w:tcPr>
          <w:p>
            <w:pPr>
              <w:spacing w:after="0"/>
              <w:rPr>
                <w:sz w:val="24"/>
                <w:szCs w:val="24"/>
                <w:color w:val="auto"/>
              </w:rPr>
            </w:pPr>
          </w:p>
        </w:tc>
        <w:tc>
          <w:tcPr>
            <w:tcW w:w="66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159.9</w:t>
            </w:r>
          </w:p>
        </w:tc>
        <w:tc>
          <w:tcPr>
            <w:tcW w:w="220" w:type="dxa"/>
            <w:vAlign w:val="bottom"/>
            <w:tcBorders>
              <w:bottom w:val="single" w:sz="8" w:color="DCE2EF"/>
            </w:tcBorders>
            <w:shd w:val="clear" w:color="auto" w:fill="DCE2EF"/>
          </w:tcPr>
          <w:p>
            <w:pPr>
              <w:spacing w:after="0"/>
              <w:rPr>
                <w:sz w:val="24"/>
                <w:szCs w:val="24"/>
                <w:color w:val="auto"/>
              </w:rPr>
            </w:pPr>
          </w:p>
        </w:tc>
        <w:tc>
          <w:tcPr>
            <w:tcW w:w="840" w:type="dxa"/>
            <w:vAlign w:val="bottom"/>
            <w:tcBorders>
              <w:bottom w:val="single" w:sz="8" w:color="DCE2EF"/>
            </w:tcBorders>
            <w:shd w:val="clear" w:color="auto" w:fill="DCE2EF"/>
          </w:tcPr>
          <w:p>
            <w:pPr>
              <w:spacing w:after="0"/>
              <w:rPr>
                <w:sz w:val="24"/>
                <w:szCs w:val="24"/>
                <w:color w:val="auto"/>
              </w:rPr>
            </w:pPr>
          </w:p>
        </w:tc>
        <w:tc>
          <w:tcPr>
            <w:tcW w:w="680" w:type="dxa"/>
            <w:vAlign w:val="bottom"/>
            <w:tcBorders>
              <w:bottom w:val="single" w:sz="8" w:color="DCE2EF"/>
            </w:tcBorders>
            <w:shd w:val="clear" w:color="auto" w:fill="DCE2EF"/>
          </w:tcPr>
          <w:p>
            <w:pPr>
              <w:jc w:val="right"/>
              <w:ind w:right="39"/>
              <w:spacing w:after="0"/>
              <w:rPr>
                <w:sz w:val="20"/>
                <w:szCs w:val="20"/>
                <w:color w:val="auto"/>
              </w:rPr>
            </w:pPr>
            <w:r>
              <w:rPr>
                <w:rFonts w:ascii="Arial" w:cs="Arial" w:eastAsia="Arial" w:hAnsi="Arial"/>
                <w:sz w:val="16"/>
                <w:szCs w:val="16"/>
                <w:color w:val="auto"/>
              </w:rPr>
              <w:t>156.6</w:t>
            </w:r>
          </w:p>
        </w:tc>
        <w:tc>
          <w:tcPr>
            <w:tcW w:w="1720" w:type="dxa"/>
            <w:vAlign w:val="bottom"/>
            <w:tcBorders>
              <w:bottom w:val="single" w:sz="8" w:color="DCE2EF"/>
            </w:tcBorders>
            <w:gridSpan w:val="2"/>
            <w:shd w:val="clear" w:color="auto" w:fill="DCE2EF"/>
          </w:tcPr>
          <w:p>
            <w:pPr>
              <w:jc w:val="right"/>
              <w:ind w:right="19"/>
              <w:spacing w:after="0"/>
              <w:rPr>
                <w:sz w:val="20"/>
                <w:szCs w:val="20"/>
                <w:color w:val="auto"/>
              </w:rPr>
            </w:pPr>
            <w:r>
              <w:rPr>
                <w:rFonts w:ascii="Arial" w:cs="Arial" w:eastAsia="Arial" w:hAnsi="Arial"/>
                <w:sz w:val="16"/>
                <w:szCs w:val="16"/>
                <w:color w:val="auto"/>
              </w:rPr>
              <w:t>2.1%</w:t>
            </w:r>
          </w:p>
        </w:tc>
      </w:tr>
      <w:tr>
        <w:trPr>
          <w:trHeight w:val="281"/>
        </w:trPr>
        <w:tc>
          <w:tcPr>
            <w:tcW w:w="120" w:type="dxa"/>
            <w:vAlign w:val="bottom"/>
          </w:tcPr>
          <w:p>
            <w:pPr>
              <w:spacing w:after="0"/>
              <w:rPr>
                <w:sz w:val="24"/>
                <w:szCs w:val="24"/>
                <w:color w:val="auto"/>
              </w:rPr>
            </w:pPr>
          </w:p>
        </w:tc>
        <w:tc>
          <w:tcPr>
            <w:tcW w:w="6140" w:type="dxa"/>
            <w:vAlign w:val="bottom"/>
            <w:gridSpan w:val="2"/>
          </w:tcPr>
          <w:p>
            <w:pPr>
              <w:spacing w:after="0"/>
              <w:rPr>
                <w:sz w:val="20"/>
                <w:szCs w:val="20"/>
                <w:color w:val="auto"/>
              </w:rPr>
            </w:pPr>
            <w:r>
              <w:rPr>
                <w:rFonts w:ascii="Arial" w:cs="Arial" w:eastAsia="Arial" w:hAnsi="Arial"/>
                <w:sz w:val="16"/>
                <w:szCs w:val="16"/>
                <w:color w:val="auto"/>
              </w:rPr>
              <w:t>Amortization of intangible assets</w:t>
            </w:r>
          </w:p>
        </w:tc>
        <w:tc>
          <w:tcPr>
            <w:tcW w:w="860" w:type="dxa"/>
            <w:vAlign w:val="bottom"/>
          </w:tcPr>
          <w:p>
            <w:pPr>
              <w:spacing w:after="0"/>
              <w:rPr>
                <w:sz w:val="24"/>
                <w:szCs w:val="24"/>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13.6</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19.5</w:t>
            </w:r>
          </w:p>
        </w:tc>
        <w:tc>
          <w:tcPr>
            <w:tcW w:w="1720" w:type="dxa"/>
            <w:vAlign w:val="bottom"/>
            <w:gridSpan w:val="2"/>
          </w:tcPr>
          <w:p>
            <w:pPr>
              <w:jc w:val="right"/>
              <w:ind w:right="19"/>
              <w:spacing w:after="0"/>
              <w:rPr>
                <w:sz w:val="20"/>
                <w:szCs w:val="20"/>
                <w:color w:val="auto"/>
              </w:rPr>
            </w:pPr>
            <w:r>
              <w:rPr>
                <w:rFonts w:ascii="Arial" w:cs="Arial" w:eastAsia="Arial" w:hAnsi="Arial"/>
                <w:sz w:val="16"/>
                <w:szCs w:val="16"/>
                <w:color w:val="auto"/>
              </w:rPr>
              <w:t>(30.5)%</w:t>
            </w:r>
          </w:p>
        </w:tc>
      </w:tr>
      <w:tr>
        <w:trPr>
          <w:trHeight w:val="29"/>
        </w:trPr>
        <w:tc>
          <w:tcPr>
            <w:tcW w:w="120" w:type="dxa"/>
            <w:vAlign w:val="bottom"/>
            <w:tcBorders>
              <w:bottom w:val="single" w:sz="8" w:color="DCE2EF"/>
            </w:tcBorders>
          </w:tcPr>
          <w:p>
            <w:pPr>
              <w:spacing w:after="0"/>
              <w:rPr>
                <w:sz w:val="2"/>
                <w:szCs w:val="2"/>
                <w:color w:val="auto"/>
              </w:rPr>
            </w:pPr>
          </w:p>
        </w:tc>
        <w:tc>
          <w:tcPr>
            <w:tcW w:w="2240" w:type="dxa"/>
            <w:vAlign w:val="bottom"/>
            <w:tcBorders>
              <w:bottom w:val="single" w:sz="8" w:color="DCE2EF"/>
            </w:tcBorders>
          </w:tcPr>
          <w:p>
            <w:pPr>
              <w:spacing w:after="0"/>
              <w:rPr>
                <w:sz w:val="2"/>
                <w:szCs w:val="2"/>
                <w:color w:val="auto"/>
              </w:rPr>
            </w:pPr>
          </w:p>
        </w:tc>
        <w:tc>
          <w:tcPr>
            <w:tcW w:w="3900" w:type="dxa"/>
            <w:vAlign w:val="bottom"/>
            <w:tcBorders>
              <w:bottom w:val="single" w:sz="8" w:color="DCE2E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DCE2E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DCE2EF"/>
            </w:tcBorders>
          </w:tcPr>
          <w:p>
            <w:pPr>
              <w:spacing w:after="0"/>
              <w:rPr>
                <w:sz w:val="2"/>
                <w:szCs w:val="2"/>
                <w:color w:val="auto"/>
              </w:rPr>
            </w:pPr>
          </w:p>
        </w:tc>
        <w:tc>
          <w:tcPr>
            <w:tcW w:w="1520" w:type="dxa"/>
            <w:vAlign w:val="bottom"/>
            <w:tcBorders>
              <w:bottom w:val="single" w:sz="8" w:color="DCE2EF"/>
            </w:tcBorders>
          </w:tcPr>
          <w:p>
            <w:pPr>
              <w:spacing w:after="0"/>
              <w:rPr>
                <w:sz w:val="2"/>
                <w:szCs w:val="2"/>
                <w:color w:val="auto"/>
              </w:rPr>
            </w:pPr>
          </w:p>
        </w:tc>
      </w:tr>
      <w:tr>
        <w:trPr>
          <w:trHeight w:val="270"/>
        </w:trPr>
        <w:tc>
          <w:tcPr>
            <w:tcW w:w="120" w:type="dxa"/>
            <w:vAlign w:val="bottom"/>
            <w:tcBorders>
              <w:bottom w:val="single" w:sz="8" w:color="DCE2EF"/>
            </w:tcBorders>
            <w:shd w:val="clear" w:color="auto" w:fill="DCE2EF"/>
          </w:tcPr>
          <w:p>
            <w:pPr>
              <w:spacing w:after="0"/>
              <w:rPr>
                <w:sz w:val="23"/>
                <w:szCs w:val="23"/>
                <w:color w:val="auto"/>
              </w:rPr>
            </w:pPr>
          </w:p>
        </w:tc>
        <w:tc>
          <w:tcPr>
            <w:tcW w:w="614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6"/>
                <w:szCs w:val="16"/>
                <w:b w:val="1"/>
                <w:bCs w:val="1"/>
                <w:color w:val="auto"/>
              </w:rPr>
              <w:t>Operating profit</w:t>
            </w:r>
          </w:p>
        </w:tc>
        <w:tc>
          <w:tcPr>
            <w:tcW w:w="860" w:type="dxa"/>
            <w:vAlign w:val="bottom"/>
            <w:tcBorders>
              <w:bottom w:val="single" w:sz="8" w:color="DCE2EF"/>
            </w:tcBorders>
            <w:shd w:val="clear" w:color="auto" w:fill="DCE2EF"/>
          </w:tcPr>
          <w:p>
            <w:pPr>
              <w:spacing w:after="0"/>
              <w:rPr>
                <w:sz w:val="23"/>
                <w:szCs w:val="23"/>
                <w:color w:val="auto"/>
              </w:rPr>
            </w:pPr>
          </w:p>
        </w:tc>
        <w:tc>
          <w:tcPr>
            <w:tcW w:w="66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81.3</w:t>
            </w:r>
          </w:p>
        </w:tc>
        <w:tc>
          <w:tcPr>
            <w:tcW w:w="220" w:type="dxa"/>
            <w:vAlign w:val="bottom"/>
            <w:tcBorders>
              <w:bottom w:val="single" w:sz="8" w:color="DCE2EF"/>
            </w:tcBorders>
            <w:shd w:val="clear" w:color="auto" w:fill="DCE2EF"/>
          </w:tcPr>
          <w:p>
            <w:pPr>
              <w:spacing w:after="0"/>
              <w:rPr>
                <w:sz w:val="23"/>
                <w:szCs w:val="23"/>
                <w:color w:val="auto"/>
              </w:rPr>
            </w:pPr>
          </w:p>
        </w:tc>
        <w:tc>
          <w:tcPr>
            <w:tcW w:w="840" w:type="dxa"/>
            <w:vAlign w:val="bottom"/>
            <w:tcBorders>
              <w:bottom w:val="single" w:sz="8" w:color="DCE2EF"/>
            </w:tcBorders>
            <w:shd w:val="clear" w:color="auto" w:fill="DCE2EF"/>
          </w:tcPr>
          <w:p>
            <w:pPr>
              <w:spacing w:after="0"/>
              <w:rPr>
                <w:sz w:val="23"/>
                <w:szCs w:val="23"/>
                <w:color w:val="auto"/>
              </w:rPr>
            </w:pPr>
          </w:p>
        </w:tc>
        <w:tc>
          <w:tcPr>
            <w:tcW w:w="680" w:type="dxa"/>
            <w:vAlign w:val="bottom"/>
            <w:tcBorders>
              <w:bottom w:val="single" w:sz="8" w:color="DCE2EF"/>
            </w:tcBorders>
            <w:shd w:val="clear" w:color="auto" w:fill="DCE2EF"/>
          </w:tcPr>
          <w:p>
            <w:pPr>
              <w:jc w:val="right"/>
              <w:ind w:right="39"/>
              <w:spacing w:after="0"/>
              <w:rPr>
                <w:sz w:val="20"/>
                <w:szCs w:val="20"/>
                <w:color w:val="auto"/>
              </w:rPr>
            </w:pPr>
            <w:r>
              <w:rPr>
                <w:rFonts w:ascii="Arial" w:cs="Arial" w:eastAsia="Arial" w:hAnsi="Arial"/>
                <w:sz w:val="16"/>
                <w:szCs w:val="16"/>
                <w:color w:val="auto"/>
              </w:rPr>
              <w:t>92.7</w:t>
            </w:r>
          </w:p>
        </w:tc>
        <w:tc>
          <w:tcPr>
            <w:tcW w:w="1720" w:type="dxa"/>
            <w:vAlign w:val="bottom"/>
            <w:tcBorders>
              <w:bottom w:val="single" w:sz="8" w:color="DCE2EF"/>
            </w:tcBorders>
            <w:gridSpan w:val="2"/>
            <w:shd w:val="clear" w:color="auto" w:fill="DCE2EF"/>
          </w:tcPr>
          <w:p>
            <w:pPr>
              <w:jc w:val="right"/>
              <w:ind w:right="19"/>
              <w:spacing w:after="0"/>
              <w:rPr>
                <w:sz w:val="20"/>
                <w:szCs w:val="20"/>
                <w:color w:val="auto"/>
              </w:rPr>
            </w:pPr>
            <w:r>
              <w:rPr>
                <w:rFonts w:ascii="Arial" w:cs="Arial" w:eastAsia="Arial" w:hAnsi="Arial"/>
                <w:sz w:val="16"/>
                <w:szCs w:val="16"/>
                <w:color w:val="auto"/>
              </w:rPr>
              <w:t>(12.3)%</w:t>
            </w:r>
          </w:p>
        </w:tc>
      </w:tr>
      <w:tr>
        <w:trPr>
          <w:trHeight w:val="282"/>
        </w:trPr>
        <w:tc>
          <w:tcPr>
            <w:tcW w:w="120" w:type="dxa"/>
            <w:vAlign w:val="bottom"/>
          </w:tcPr>
          <w:p>
            <w:pPr>
              <w:spacing w:after="0"/>
              <w:rPr>
                <w:sz w:val="24"/>
                <w:szCs w:val="24"/>
                <w:color w:val="auto"/>
              </w:rPr>
            </w:pPr>
          </w:p>
        </w:tc>
        <w:tc>
          <w:tcPr>
            <w:tcW w:w="6140" w:type="dxa"/>
            <w:vAlign w:val="bottom"/>
            <w:gridSpan w:val="2"/>
          </w:tcPr>
          <w:p>
            <w:pPr>
              <w:spacing w:after="0"/>
              <w:rPr>
                <w:sz w:val="20"/>
                <w:szCs w:val="20"/>
                <w:color w:val="auto"/>
              </w:rPr>
            </w:pPr>
            <w:r>
              <w:rPr>
                <w:rFonts w:ascii="Arial" w:cs="Arial" w:eastAsia="Arial" w:hAnsi="Arial"/>
                <w:sz w:val="16"/>
                <w:szCs w:val="16"/>
                <w:color w:val="auto"/>
              </w:rPr>
              <w:t>Income from unconsolidated affiliates</w:t>
            </w:r>
          </w:p>
        </w:tc>
        <w:tc>
          <w:tcPr>
            <w:tcW w:w="860" w:type="dxa"/>
            <w:vAlign w:val="bottom"/>
          </w:tcPr>
          <w:p>
            <w:pPr>
              <w:spacing w:after="0"/>
              <w:rPr>
                <w:sz w:val="24"/>
                <w:szCs w:val="24"/>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200" w:type="dxa"/>
            <w:vAlign w:val="bottom"/>
          </w:tcPr>
          <w:p>
            <w:pPr>
              <w:spacing w:after="0"/>
              <w:rPr>
                <w:sz w:val="24"/>
                <w:szCs w:val="24"/>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NM*</w:t>
            </w:r>
          </w:p>
        </w:tc>
      </w:tr>
      <w:tr>
        <w:trPr>
          <w:trHeight w:val="29"/>
        </w:trPr>
        <w:tc>
          <w:tcPr>
            <w:tcW w:w="1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304"/>
        </w:trPr>
        <w:tc>
          <w:tcPr>
            <w:tcW w:w="120" w:type="dxa"/>
            <w:vAlign w:val="bottom"/>
            <w:tcBorders>
              <w:bottom w:val="single" w:sz="8" w:color="DCE2EF"/>
            </w:tcBorders>
            <w:shd w:val="clear" w:color="auto" w:fill="DCE2EF"/>
          </w:tcPr>
          <w:p>
            <w:pPr>
              <w:spacing w:after="0"/>
              <w:rPr>
                <w:sz w:val="24"/>
                <w:szCs w:val="24"/>
                <w:color w:val="auto"/>
              </w:rPr>
            </w:pPr>
          </w:p>
        </w:tc>
        <w:tc>
          <w:tcPr>
            <w:tcW w:w="614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6"/>
                <w:szCs w:val="16"/>
                <w:color w:val="auto"/>
              </w:rPr>
              <w:t>Interest expense</w:t>
            </w:r>
          </w:p>
        </w:tc>
        <w:tc>
          <w:tcPr>
            <w:tcW w:w="860" w:type="dxa"/>
            <w:vAlign w:val="bottom"/>
            <w:tcBorders>
              <w:bottom w:val="single" w:sz="8" w:color="auto"/>
            </w:tcBorders>
            <w:shd w:val="clear" w:color="auto" w:fill="DCE2EF"/>
          </w:tcPr>
          <w:p>
            <w:pPr>
              <w:spacing w:after="0"/>
              <w:rPr>
                <w:sz w:val="24"/>
                <w:szCs w:val="24"/>
                <w:color w:val="auto"/>
              </w:rPr>
            </w:pPr>
          </w:p>
        </w:tc>
        <w:tc>
          <w:tcPr>
            <w:tcW w:w="66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(20.6)</w:t>
            </w:r>
          </w:p>
        </w:tc>
        <w:tc>
          <w:tcPr>
            <w:tcW w:w="220" w:type="dxa"/>
            <w:vAlign w:val="bottom"/>
            <w:tcBorders>
              <w:bottom w:val="single" w:sz="8" w:color="DCE2EF"/>
            </w:tcBorders>
            <w:shd w:val="clear" w:color="auto" w:fill="DCE2EF"/>
          </w:tcPr>
          <w:p>
            <w:pPr>
              <w:spacing w:after="0"/>
              <w:rPr>
                <w:sz w:val="24"/>
                <w:szCs w:val="24"/>
                <w:color w:val="auto"/>
              </w:rPr>
            </w:pPr>
          </w:p>
        </w:tc>
        <w:tc>
          <w:tcPr>
            <w:tcW w:w="840" w:type="dxa"/>
            <w:vAlign w:val="bottom"/>
            <w:tcBorders>
              <w:bottom w:val="single" w:sz="8" w:color="auto"/>
            </w:tcBorders>
            <w:shd w:val="clear" w:color="auto" w:fill="DCE2EF"/>
          </w:tcPr>
          <w:p>
            <w:pPr>
              <w:spacing w:after="0"/>
              <w:rPr>
                <w:sz w:val="24"/>
                <w:szCs w:val="24"/>
                <w:color w:val="auto"/>
              </w:rPr>
            </w:pPr>
          </w:p>
        </w:tc>
        <w:tc>
          <w:tcPr>
            <w:tcW w:w="68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(21.1)</w:t>
            </w:r>
          </w:p>
        </w:tc>
        <w:tc>
          <w:tcPr>
            <w:tcW w:w="1720" w:type="dxa"/>
            <w:vAlign w:val="bottom"/>
            <w:tcBorders>
              <w:bottom w:val="single" w:sz="8" w:color="DCE2EF"/>
            </w:tcBorders>
            <w:gridSpan w:val="2"/>
            <w:shd w:val="clear" w:color="auto" w:fill="DCE2EF"/>
          </w:tcPr>
          <w:p>
            <w:pPr>
              <w:jc w:val="right"/>
              <w:ind w:right="19"/>
              <w:spacing w:after="0"/>
              <w:rPr>
                <w:sz w:val="20"/>
                <w:szCs w:val="20"/>
                <w:color w:val="auto"/>
              </w:rPr>
            </w:pPr>
            <w:r>
              <w:rPr>
                <w:rFonts w:ascii="Arial" w:cs="Arial" w:eastAsia="Arial" w:hAnsi="Arial"/>
                <w:sz w:val="16"/>
                <w:szCs w:val="16"/>
                <w:color w:val="auto"/>
              </w:rPr>
              <w:t>2.2%</w:t>
            </w:r>
          </w:p>
        </w:tc>
      </w:tr>
      <w:tr>
        <w:trPr>
          <w:trHeight w:val="254"/>
        </w:trPr>
        <w:tc>
          <w:tcPr>
            <w:tcW w:w="120" w:type="dxa"/>
            <w:vAlign w:val="bottom"/>
          </w:tcPr>
          <w:p>
            <w:pPr>
              <w:spacing w:after="0"/>
              <w:rPr>
                <w:sz w:val="22"/>
                <w:szCs w:val="22"/>
                <w:color w:val="auto"/>
              </w:rPr>
            </w:pPr>
          </w:p>
        </w:tc>
        <w:tc>
          <w:tcPr>
            <w:tcW w:w="6140" w:type="dxa"/>
            <w:vAlign w:val="bottom"/>
            <w:gridSpan w:val="2"/>
          </w:tcPr>
          <w:p>
            <w:pPr>
              <w:spacing w:after="0"/>
              <w:rPr>
                <w:sz w:val="20"/>
                <w:szCs w:val="20"/>
                <w:color w:val="auto"/>
              </w:rPr>
            </w:pPr>
            <w:r>
              <w:rPr>
                <w:rFonts w:ascii="Arial" w:cs="Arial" w:eastAsia="Arial" w:hAnsi="Arial"/>
                <w:sz w:val="16"/>
                <w:szCs w:val="16"/>
                <w:color w:val="auto"/>
              </w:rPr>
              <w:t>Income before income taxes</w:t>
            </w:r>
          </w:p>
        </w:tc>
        <w:tc>
          <w:tcPr>
            <w:tcW w:w="860" w:type="dxa"/>
            <w:vAlign w:val="bottom"/>
          </w:tcPr>
          <w:p>
            <w:pPr>
              <w:spacing w:after="0"/>
              <w:rPr>
                <w:sz w:val="22"/>
                <w:szCs w:val="22"/>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62.4</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72.3</w:t>
            </w:r>
          </w:p>
        </w:tc>
        <w:tc>
          <w:tcPr>
            <w:tcW w:w="1720" w:type="dxa"/>
            <w:vAlign w:val="bottom"/>
            <w:gridSpan w:val="2"/>
          </w:tcPr>
          <w:p>
            <w:pPr>
              <w:jc w:val="right"/>
              <w:ind w:right="19"/>
              <w:spacing w:after="0"/>
              <w:rPr>
                <w:sz w:val="20"/>
                <w:szCs w:val="20"/>
                <w:color w:val="auto"/>
              </w:rPr>
            </w:pPr>
            <w:r>
              <w:rPr>
                <w:rFonts w:ascii="Arial" w:cs="Arial" w:eastAsia="Arial" w:hAnsi="Arial"/>
                <w:sz w:val="16"/>
                <w:szCs w:val="16"/>
                <w:color w:val="auto"/>
              </w:rPr>
              <w:t>(13.7)%</w:t>
            </w:r>
          </w:p>
        </w:tc>
      </w:tr>
      <w:tr>
        <w:trPr>
          <w:trHeight w:val="43"/>
        </w:trPr>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39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310"/>
        </w:trPr>
        <w:tc>
          <w:tcPr>
            <w:tcW w:w="120" w:type="dxa"/>
            <w:vAlign w:val="bottom"/>
            <w:tcBorders>
              <w:bottom w:val="single" w:sz="8" w:color="DCE2EF"/>
            </w:tcBorders>
            <w:shd w:val="clear" w:color="auto" w:fill="DCE2EF"/>
          </w:tcPr>
          <w:p>
            <w:pPr>
              <w:spacing w:after="0"/>
              <w:rPr>
                <w:sz w:val="24"/>
                <w:szCs w:val="24"/>
                <w:color w:val="auto"/>
              </w:rPr>
            </w:pPr>
          </w:p>
        </w:tc>
        <w:tc>
          <w:tcPr>
            <w:tcW w:w="614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6"/>
                <w:szCs w:val="16"/>
                <w:color w:val="auto"/>
              </w:rPr>
              <w:t>Income tax provision</w:t>
            </w:r>
          </w:p>
        </w:tc>
        <w:tc>
          <w:tcPr>
            <w:tcW w:w="860" w:type="dxa"/>
            <w:vAlign w:val="bottom"/>
            <w:tcBorders>
              <w:bottom w:val="single" w:sz="8" w:color="DCE2EF"/>
            </w:tcBorders>
            <w:shd w:val="clear" w:color="auto" w:fill="DCE2EF"/>
          </w:tcPr>
          <w:p>
            <w:pPr>
              <w:spacing w:after="0"/>
              <w:rPr>
                <w:sz w:val="24"/>
                <w:szCs w:val="24"/>
                <w:color w:val="auto"/>
              </w:rPr>
            </w:pPr>
          </w:p>
        </w:tc>
        <w:tc>
          <w:tcPr>
            <w:tcW w:w="66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(18.7)</w:t>
            </w:r>
          </w:p>
        </w:tc>
        <w:tc>
          <w:tcPr>
            <w:tcW w:w="220" w:type="dxa"/>
            <w:vAlign w:val="bottom"/>
            <w:tcBorders>
              <w:bottom w:val="single" w:sz="8" w:color="DCE2EF"/>
            </w:tcBorders>
            <w:shd w:val="clear" w:color="auto" w:fill="DCE2EF"/>
          </w:tcPr>
          <w:p>
            <w:pPr>
              <w:spacing w:after="0"/>
              <w:rPr>
                <w:sz w:val="24"/>
                <w:szCs w:val="24"/>
                <w:color w:val="auto"/>
              </w:rPr>
            </w:pPr>
          </w:p>
        </w:tc>
        <w:tc>
          <w:tcPr>
            <w:tcW w:w="840" w:type="dxa"/>
            <w:vAlign w:val="bottom"/>
            <w:tcBorders>
              <w:bottom w:val="single" w:sz="8" w:color="DCE2EF"/>
            </w:tcBorders>
            <w:shd w:val="clear" w:color="auto" w:fill="DCE2EF"/>
          </w:tcPr>
          <w:p>
            <w:pPr>
              <w:spacing w:after="0"/>
              <w:rPr>
                <w:sz w:val="24"/>
                <w:szCs w:val="24"/>
                <w:color w:val="auto"/>
              </w:rPr>
            </w:pPr>
          </w:p>
        </w:tc>
        <w:tc>
          <w:tcPr>
            <w:tcW w:w="680" w:type="dxa"/>
            <w:vAlign w:val="bottom"/>
            <w:tcBorders>
              <w:bottom w:val="single" w:sz="8" w:color="DCE2EF"/>
            </w:tcBorders>
            <w:shd w:val="clear" w:color="auto" w:fill="DCE2EF"/>
          </w:tcPr>
          <w:p>
            <w:pPr>
              <w:jc w:val="right"/>
              <w:ind w:right="39"/>
              <w:spacing w:after="0"/>
              <w:rPr>
                <w:sz w:val="20"/>
                <w:szCs w:val="20"/>
                <w:color w:val="auto"/>
              </w:rPr>
            </w:pPr>
            <w:r>
              <w:rPr>
                <w:rFonts w:ascii="Arial" w:cs="Arial" w:eastAsia="Arial" w:hAnsi="Arial"/>
                <w:sz w:val="16"/>
                <w:szCs w:val="16"/>
                <w:color w:val="auto"/>
              </w:rPr>
              <w:t>(20.4)</w:t>
            </w:r>
          </w:p>
        </w:tc>
        <w:tc>
          <w:tcPr>
            <w:tcW w:w="1720" w:type="dxa"/>
            <w:vAlign w:val="bottom"/>
            <w:tcBorders>
              <w:bottom w:val="single" w:sz="8" w:color="DCE2EF"/>
            </w:tcBorders>
            <w:gridSpan w:val="2"/>
            <w:shd w:val="clear" w:color="auto" w:fill="DCE2EF"/>
          </w:tcPr>
          <w:p>
            <w:pPr>
              <w:jc w:val="right"/>
              <w:ind w:right="19"/>
              <w:spacing w:after="0"/>
              <w:rPr>
                <w:sz w:val="20"/>
                <w:szCs w:val="20"/>
                <w:color w:val="auto"/>
              </w:rPr>
            </w:pPr>
            <w:r>
              <w:rPr>
                <w:rFonts w:ascii="Arial" w:cs="Arial" w:eastAsia="Arial" w:hAnsi="Arial"/>
                <w:sz w:val="16"/>
                <w:szCs w:val="16"/>
                <w:color w:val="auto"/>
              </w:rPr>
              <w:t>8.3%</w:t>
            </w:r>
          </w:p>
        </w:tc>
      </w:tr>
      <w:tr>
        <w:trPr>
          <w:trHeight w:val="262"/>
        </w:trPr>
        <w:tc>
          <w:tcPr>
            <w:tcW w:w="120" w:type="dxa"/>
            <w:vAlign w:val="bottom"/>
          </w:tcPr>
          <w:p>
            <w:pPr>
              <w:spacing w:after="0"/>
              <w:rPr>
                <w:sz w:val="22"/>
                <w:szCs w:val="22"/>
                <w:color w:val="auto"/>
              </w:rPr>
            </w:pPr>
          </w:p>
        </w:tc>
        <w:tc>
          <w:tcPr>
            <w:tcW w:w="614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43.8</w:t>
            </w:r>
          </w:p>
        </w:tc>
        <w:tc>
          <w:tcPr>
            <w:tcW w:w="220" w:type="dxa"/>
            <w:vAlign w:val="bottom"/>
          </w:tcPr>
          <w:p>
            <w:pPr>
              <w:spacing w:after="0"/>
              <w:rPr>
                <w:sz w:val="22"/>
                <w:szCs w:val="22"/>
                <w:color w:val="auto"/>
              </w:rPr>
            </w:pPr>
          </w:p>
        </w:tc>
        <w:tc>
          <w:tcPr>
            <w:tcW w:w="840" w:type="dxa"/>
            <w:vAlign w:val="bottom"/>
            <w:tcBorders>
              <w:top w:val="single" w:sz="8" w:color="auto"/>
            </w:tcBorders>
          </w:tcPr>
          <w:p>
            <w:pPr>
              <w:jc w:val="center"/>
              <w:ind w:left="63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51.9</w:t>
            </w:r>
          </w:p>
        </w:tc>
        <w:tc>
          <w:tcPr>
            <w:tcW w:w="1720" w:type="dxa"/>
            <w:vAlign w:val="bottom"/>
            <w:gridSpan w:val="2"/>
          </w:tcPr>
          <w:p>
            <w:pPr>
              <w:jc w:val="right"/>
              <w:ind w:right="19"/>
              <w:spacing w:after="0"/>
              <w:rPr>
                <w:sz w:val="20"/>
                <w:szCs w:val="20"/>
                <w:color w:val="auto"/>
              </w:rPr>
            </w:pPr>
            <w:r>
              <w:rPr>
                <w:rFonts w:ascii="Arial" w:cs="Arial" w:eastAsia="Arial" w:hAnsi="Arial"/>
                <w:sz w:val="16"/>
                <w:szCs w:val="16"/>
                <w:color w:val="auto"/>
              </w:rPr>
              <w:t>(15.7)%</w:t>
            </w:r>
          </w:p>
        </w:tc>
      </w:tr>
      <w:tr>
        <w:trPr>
          <w:trHeight w:val="29"/>
        </w:trPr>
        <w:tc>
          <w:tcPr>
            <w:tcW w:w="120" w:type="dxa"/>
            <w:vAlign w:val="bottom"/>
            <w:tcBorders>
              <w:bottom w:val="single" w:sz="8" w:color="DCE2EF"/>
            </w:tcBorders>
          </w:tcPr>
          <w:p>
            <w:pPr>
              <w:spacing w:after="0"/>
              <w:rPr>
                <w:sz w:val="2"/>
                <w:szCs w:val="2"/>
                <w:color w:val="auto"/>
              </w:rPr>
            </w:pPr>
          </w:p>
        </w:tc>
        <w:tc>
          <w:tcPr>
            <w:tcW w:w="2240" w:type="dxa"/>
            <w:vAlign w:val="bottom"/>
            <w:tcBorders>
              <w:bottom w:val="single" w:sz="8" w:color="DCE2EF"/>
            </w:tcBorders>
          </w:tcPr>
          <w:p>
            <w:pPr>
              <w:spacing w:after="0"/>
              <w:rPr>
                <w:sz w:val="2"/>
                <w:szCs w:val="2"/>
                <w:color w:val="auto"/>
              </w:rPr>
            </w:pPr>
          </w:p>
        </w:tc>
        <w:tc>
          <w:tcPr>
            <w:tcW w:w="3900" w:type="dxa"/>
            <w:vAlign w:val="bottom"/>
            <w:tcBorders>
              <w:bottom w:val="single" w:sz="8" w:color="DCE2E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DCE2E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DCE2EF"/>
            </w:tcBorders>
          </w:tcPr>
          <w:p>
            <w:pPr>
              <w:spacing w:after="0"/>
              <w:rPr>
                <w:sz w:val="2"/>
                <w:szCs w:val="2"/>
                <w:color w:val="auto"/>
              </w:rPr>
            </w:pPr>
          </w:p>
        </w:tc>
        <w:tc>
          <w:tcPr>
            <w:tcW w:w="1520" w:type="dxa"/>
            <w:vAlign w:val="bottom"/>
            <w:tcBorders>
              <w:bottom w:val="single" w:sz="8" w:color="DCE2EF"/>
            </w:tcBorders>
          </w:tcPr>
          <w:p>
            <w:pPr>
              <w:spacing w:after="0"/>
              <w:rPr>
                <w:sz w:val="2"/>
                <w:szCs w:val="2"/>
                <w:color w:val="auto"/>
              </w:rPr>
            </w:pPr>
          </w:p>
        </w:tc>
      </w:tr>
      <w:tr>
        <w:trPr>
          <w:trHeight w:val="257"/>
        </w:trPr>
        <w:tc>
          <w:tcPr>
            <w:tcW w:w="120" w:type="dxa"/>
            <w:vAlign w:val="bottom"/>
            <w:tcBorders>
              <w:bottom w:val="single" w:sz="8" w:color="DCE2EF"/>
            </w:tcBorders>
            <w:shd w:val="clear" w:color="auto" w:fill="DCE2EF"/>
          </w:tcPr>
          <w:p>
            <w:pPr>
              <w:spacing w:after="0"/>
              <w:rPr>
                <w:sz w:val="22"/>
                <w:szCs w:val="22"/>
                <w:color w:val="auto"/>
              </w:rPr>
            </w:pPr>
          </w:p>
        </w:tc>
        <w:tc>
          <w:tcPr>
            <w:tcW w:w="614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6"/>
                <w:szCs w:val="16"/>
                <w:b w:val="1"/>
                <w:bCs w:val="1"/>
                <w:color w:val="auto"/>
              </w:rPr>
              <w:t>Net income per common share</w:t>
            </w:r>
          </w:p>
        </w:tc>
        <w:tc>
          <w:tcPr>
            <w:tcW w:w="860" w:type="dxa"/>
            <w:vAlign w:val="bottom"/>
            <w:tcBorders>
              <w:bottom w:val="single" w:sz="8" w:color="DCE2EF"/>
            </w:tcBorders>
            <w:shd w:val="clear" w:color="auto" w:fill="DCE2EF"/>
          </w:tcPr>
          <w:p>
            <w:pPr>
              <w:spacing w:after="0"/>
              <w:rPr>
                <w:sz w:val="22"/>
                <w:szCs w:val="22"/>
                <w:color w:val="auto"/>
              </w:rPr>
            </w:pPr>
          </w:p>
        </w:tc>
        <w:tc>
          <w:tcPr>
            <w:tcW w:w="660" w:type="dxa"/>
            <w:vAlign w:val="bottom"/>
            <w:tcBorders>
              <w:bottom w:val="single" w:sz="8" w:color="DCE2EF"/>
            </w:tcBorders>
            <w:shd w:val="clear" w:color="auto" w:fill="DCE2EF"/>
          </w:tcPr>
          <w:p>
            <w:pPr>
              <w:spacing w:after="0"/>
              <w:rPr>
                <w:sz w:val="22"/>
                <w:szCs w:val="22"/>
                <w:color w:val="auto"/>
              </w:rPr>
            </w:pPr>
          </w:p>
        </w:tc>
        <w:tc>
          <w:tcPr>
            <w:tcW w:w="220" w:type="dxa"/>
            <w:vAlign w:val="bottom"/>
            <w:tcBorders>
              <w:bottom w:val="single" w:sz="8" w:color="DCE2EF"/>
            </w:tcBorders>
            <w:shd w:val="clear" w:color="auto" w:fill="DCE2EF"/>
          </w:tcPr>
          <w:p>
            <w:pPr>
              <w:spacing w:after="0"/>
              <w:rPr>
                <w:sz w:val="22"/>
                <w:szCs w:val="22"/>
                <w:color w:val="auto"/>
              </w:rPr>
            </w:pPr>
          </w:p>
        </w:tc>
        <w:tc>
          <w:tcPr>
            <w:tcW w:w="840" w:type="dxa"/>
            <w:vAlign w:val="bottom"/>
            <w:tcBorders>
              <w:bottom w:val="single" w:sz="8" w:color="DCE2EF"/>
            </w:tcBorders>
            <w:shd w:val="clear" w:color="auto" w:fill="DCE2EF"/>
          </w:tcPr>
          <w:p>
            <w:pPr>
              <w:spacing w:after="0"/>
              <w:rPr>
                <w:sz w:val="22"/>
                <w:szCs w:val="22"/>
                <w:color w:val="auto"/>
              </w:rPr>
            </w:pPr>
          </w:p>
        </w:tc>
        <w:tc>
          <w:tcPr>
            <w:tcW w:w="680" w:type="dxa"/>
            <w:vAlign w:val="bottom"/>
            <w:tcBorders>
              <w:bottom w:val="single" w:sz="8" w:color="DCE2EF"/>
            </w:tcBorders>
            <w:shd w:val="clear" w:color="auto" w:fill="DCE2EF"/>
          </w:tcPr>
          <w:p>
            <w:pPr>
              <w:spacing w:after="0"/>
              <w:rPr>
                <w:sz w:val="22"/>
                <w:szCs w:val="22"/>
                <w:color w:val="auto"/>
              </w:rPr>
            </w:pPr>
          </w:p>
        </w:tc>
        <w:tc>
          <w:tcPr>
            <w:tcW w:w="200" w:type="dxa"/>
            <w:vAlign w:val="bottom"/>
            <w:tcBorders>
              <w:bottom w:val="single" w:sz="8" w:color="DCE2EF"/>
            </w:tcBorders>
            <w:shd w:val="clear" w:color="auto" w:fill="DCE2EF"/>
          </w:tcPr>
          <w:p>
            <w:pPr>
              <w:spacing w:after="0"/>
              <w:rPr>
                <w:sz w:val="22"/>
                <w:szCs w:val="22"/>
                <w:color w:val="auto"/>
              </w:rPr>
            </w:pPr>
          </w:p>
        </w:tc>
        <w:tc>
          <w:tcPr>
            <w:tcW w:w="1520" w:type="dxa"/>
            <w:vAlign w:val="bottom"/>
            <w:tcBorders>
              <w:bottom w:val="single" w:sz="8" w:color="DCE2EF"/>
            </w:tcBorders>
            <w:shd w:val="clear" w:color="auto" w:fill="DCE2EF"/>
          </w:tcPr>
          <w:p>
            <w:pPr>
              <w:spacing w:after="0"/>
              <w:rPr>
                <w:sz w:val="22"/>
                <w:szCs w:val="22"/>
                <w:color w:val="auto"/>
              </w:rPr>
            </w:pPr>
          </w:p>
        </w:tc>
      </w:tr>
      <w:tr>
        <w:trPr>
          <w:trHeight w:val="282"/>
        </w:trPr>
        <w:tc>
          <w:tcPr>
            <w:tcW w:w="120" w:type="dxa"/>
            <w:vAlign w:val="bottom"/>
          </w:tcPr>
          <w:p>
            <w:pPr>
              <w:spacing w:after="0"/>
              <w:rPr>
                <w:sz w:val="24"/>
                <w:szCs w:val="24"/>
                <w:color w:val="auto"/>
              </w:rPr>
            </w:pPr>
          </w:p>
        </w:tc>
        <w:tc>
          <w:tcPr>
            <w:tcW w:w="6140" w:type="dxa"/>
            <w:vAlign w:val="bottom"/>
            <w:gridSpan w:val="2"/>
          </w:tcPr>
          <w:p>
            <w:pPr>
              <w:ind w:left="320"/>
              <w:spacing w:after="0"/>
              <w:rPr>
                <w:sz w:val="20"/>
                <w:szCs w:val="20"/>
                <w:color w:val="auto"/>
              </w:rPr>
            </w:pPr>
            <w:r>
              <w:rPr>
                <w:rFonts w:ascii="Arial" w:cs="Arial" w:eastAsia="Arial" w:hAnsi="Arial"/>
                <w:sz w:val="16"/>
                <w:szCs w:val="16"/>
                <w:color w:val="auto"/>
              </w:rPr>
              <w:t>Basic</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0.69</w:t>
            </w:r>
          </w:p>
        </w:tc>
        <w:tc>
          <w:tcPr>
            <w:tcW w:w="1060" w:type="dxa"/>
            <w:vAlign w:val="bottom"/>
            <w:gridSpan w:val="2"/>
          </w:tcPr>
          <w:p>
            <w:pPr>
              <w:jc w:val="center"/>
              <w:ind w:left="85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0.78</w:t>
            </w:r>
          </w:p>
        </w:tc>
        <w:tc>
          <w:tcPr>
            <w:tcW w:w="1720" w:type="dxa"/>
            <w:vAlign w:val="bottom"/>
            <w:gridSpan w:val="2"/>
          </w:tcPr>
          <w:p>
            <w:pPr>
              <w:jc w:val="right"/>
              <w:ind w:right="19"/>
              <w:spacing w:after="0"/>
              <w:rPr>
                <w:sz w:val="20"/>
                <w:szCs w:val="20"/>
                <w:color w:val="auto"/>
              </w:rPr>
            </w:pPr>
            <w:r>
              <w:rPr>
                <w:rFonts w:ascii="Arial" w:cs="Arial" w:eastAsia="Arial" w:hAnsi="Arial"/>
                <w:sz w:val="16"/>
                <w:szCs w:val="16"/>
                <w:color w:val="auto"/>
              </w:rPr>
              <w:t>(11.5)%</w:t>
            </w:r>
          </w:p>
        </w:tc>
      </w:tr>
      <w:tr>
        <w:trPr>
          <w:trHeight w:val="29"/>
        </w:trPr>
        <w:tc>
          <w:tcPr>
            <w:tcW w:w="1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91"/>
        </w:trPr>
        <w:tc>
          <w:tcPr>
            <w:tcW w:w="120" w:type="dxa"/>
            <w:vAlign w:val="bottom"/>
            <w:tcBorders>
              <w:bottom w:val="single" w:sz="8" w:color="DCE2EF"/>
            </w:tcBorders>
            <w:shd w:val="clear" w:color="auto" w:fill="DCE2EF"/>
          </w:tcPr>
          <w:p>
            <w:pPr>
              <w:spacing w:after="0"/>
              <w:rPr>
                <w:sz w:val="24"/>
                <w:szCs w:val="24"/>
                <w:color w:val="auto"/>
              </w:rPr>
            </w:pPr>
          </w:p>
        </w:tc>
        <w:tc>
          <w:tcPr>
            <w:tcW w:w="6140" w:type="dxa"/>
            <w:vAlign w:val="bottom"/>
            <w:tcBorders>
              <w:bottom w:val="single" w:sz="8" w:color="DCE2EF"/>
            </w:tcBorders>
            <w:gridSpan w:val="2"/>
            <w:shd w:val="clear" w:color="auto" w:fill="DCE2EF"/>
          </w:tcPr>
          <w:p>
            <w:pPr>
              <w:ind w:left="320"/>
              <w:spacing w:after="0"/>
              <w:rPr>
                <w:sz w:val="20"/>
                <w:szCs w:val="20"/>
                <w:color w:val="auto"/>
              </w:rPr>
            </w:pPr>
            <w:r>
              <w:rPr>
                <w:rFonts w:ascii="Arial" w:cs="Arial" w:eastAsia="Arial" w:hAnsi="Arial"/>
                <w:sz w:val="16"/>
                <w:szCs w:val="16"/>
                <w:color w:val="auto"/>
              </w:rPr>
              <w:t>Diluted</w:t>
            </w:r>
          </w:p>
        </w:tc>
        <w:tc>
          <w:tcPr>
            <w:tcW w:w="8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0.69</w:t>
            </w:r>
          </w:p>
        </w:tc>
        <w:tc>
          <w:tcPr>
            <w:tcW w:w="1060" w:type="dxa"/>
            <w:vAlign w:val="bottom"/>
            <w:tcBorders>
              <w:bottom w:val="single" w:sz="8" w:color="DCE2EF"/>
            </w:tcBorders>
            <w:gridSpan w:val="2"/>
            <w:shd w:val="clear" w:color="auto" w:fill="DCE2EF"/>
          </w:tcPr>
          <w:p>
            <w:pPr>
              <w:jc w:val="center"/>
              <w:ind w:lef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DCE2EF"/>
            </w:tcBorders>
            <w:shd w:val="clear" w:color="auto" w:fill="DCE2EF"/>
          </w:tcPr>
          <w:p>
            <w:pPr>
              <w:jc w:val="right"/>
              <w:ind w:right="39"/>
              <w:spacing w:after="0"/>
              <w:rPr>
                <w:sz w:val="20"/>
                <w:szCs w:val="20"/>
                <w:color w:val="auto"/>
              </w:rPr>
            </w:pPr>
            <w:r>
              <w:rPr>
                <w:rFonts w:ascii="Arial" w:cs="Arial" w:eastAsia="Arial" w:hAnsi="Arial"/>
                <w:sz w:val="16"/>
                <w:szCs w:val="16"/>
                <w:color w:val="auto"/>
              </w:rPr>
              <w:t>0.78</w:t>
            </w:r>
          </w:p>
        </w:tc>
        <w:tc>
          <w:tcPr>
            <w:tcW w:w="1720" w:type="dxa"/>
            <w:vAlign w:val="bottom"/>
            <w:tcBorders>
              <w:bottom w:val="single" w:sz="8" w:color="DCE2EF"/>
            </w:tcBorders>
            <w:gridSpan w:val="2"/>
            <w:shd w:val="clear" w:color="auto" w:fill="DCE2EF"/>
          </w:tcPr>
          <w:p>
            <w:pPr>
              <w:jc w:val="right"/>
              <w:ind w:right="19"/>
              <w:spacing w:after="0"/>
              <w:rPr>
                <w:sz w:val="20"/>
                <w:szCs w:val="20"/>
                <w:color w:val="auto"/>
              </w:rPr>
            </w:pPr>
            <w:r>
              <w:rPr>
                <w:rFonts w:ascii="Arial" w:cs="Arial" w:eastAsia="Arial" w:hAnsi="Arial"/>
                <w:sz w:val="16"/>
                <w:szCs w:val="16"/>
                <w:color w:val="auto"/>
              </w:rPr>
              <w:t>(11.5)%</w:t>
            </w:r>
          </w:p>
        </w:tc>
      </w:tr>
      <w:tr>
        <w:trPr>
          <w:trHeight w:val="283"/>
        </w:trPr>
        <w:tc>
          <w:tcPr>
            <w:tcW w:w="120" w:type="dxa"/>
            <w:vAlign w:val="bottom"/>
          </w:tcPr>
          <w:p>
            <w:pPr>
              <w:spacing w:after="0"/>
              <w:rPr>
                <w:sz w:val="24"/>
                <w:szCs w:val="24"/>
                <w:color w:val="auto"/>
              </w:rPr>
            </w:pPr>
          </w:p>
        </w:tc>
        <w:tc>
          <w:tcPr>
            <w:tcW w:w="6140" w:type="dxa"/>
            <w:vAlign w:val="bottom"/>
            <w:gridSpan w:val="2"/>
          </w:tcPr>
          <w:p>
            <w:pPr>
              <w:spacing w:after="0"/>
              <w:rPr>
                <w:sz w:val="20"/>
                <w:szCs w:val="20"/>
                <w:color w:val="auto"/>
              </w:rPr>
            </w:pPr>
            <w:r>
              <w:rPr>
                <w:rFonts w:ascii="Arial" w:cs="Arial" w:eastAsia="Arial" w:hAnsi="Arial"/>
                <w:sz w:val="16"/>
                <w:szCs w:val="16"/>
                <w:b w:val="1"/>
                <w:bCs w:val="1"/>
                <w:color w:val="auto"/>
              </w:rPr>
              <w:t>Weighted-average common and common equivalent</w:t>
            </w: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23"/>
        </w:trPr>
        <w:tc>
          <w:tcPr>
            <w:tcW w:w="120" w:type="dxa"/>
            <w:vAlign w:val="bottom"/>
          </w:tcPr>
          <w:p>
            <w:pPr>
              <w:spacing w:after="0"/>
              <w:rPr>
                <w:sz w:val="19"/>
                <w:szCs w:val="19"/>
                <w:color w:val="auto"/>
              </w:rPr>
            </w:pPr>
          </w:p>
        </w:tc>
        <w:tc>
          <w:tcPr>
            <w:tcW w:w="6140" w:type="dxa"/>
            <w:vAlign w:val="bottom"/>
            <w:gridSpan w:val="2"/>
          </w:tcPr>
          <w:p>
            <w:pPr>
              <w:ind w:left="120"/>
              <w:spacing w:after="0"/>
              <w:rPr>
                <w:sz w:val="20"/>
                <w:szCs w:val="20"/>
                <w:color w:val="auto"/>
              </w:rPr>
            </w:pPr>
            <w:r>
              <w:rPr>
                <w:rFonts w:ascii="Arial" w:cs="Arial" w:eastAsia="Arial" w:hAnsi="Arial"/>
                <w:sz w:val="16"/>
                <w:szCs w:val="16"/>
                <w:b w:val="1"/>
                <w:bCs w:val="1"/>
                <w:color w:val="auto"/>
              </w:rPr>
              <w:t>shares outstanding</w:t>
            </w: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
        </w:trPr>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90"/>
        </w:trPr>
        <w:tc>
          <w:tcPr>
            <w:tcW w:w="120" w:type="dxa"/>
            <w:vAlign w:val="bottom"/>
            <w:tcBorders>
              <w:bottom w:val="single" w:sz="8" w:color="DCE2EF"/>
            </w:tcBorders>
            <w:shd w:val="clear" w:color="auto" w:fill="DCE2EF"/>
          </w:tcPr>
          <w:p>
            <w:pPr>
              <w:spacing w:after="0"/>
              <w:rPr>
                <w:sz w:val="24"/>
                <w:szCs w:val="24"/>
                <w:color w:val="auto"/>
              </w:rPr>
            </w:pPr>
          </w:p>
        </w:tc>
        <w:tc>
          <w:tcPr>
            <w:tcW w:w="6140" w:type="dxa"/>
            <w:vAlign w:val="bottom"/>
            <w:tcBorders>
              <w:bottom w:val="single" w:sz="8" w:color="DCE2EF"/>
            </w:tcBorders>
            <w:gridSpan w:val="2"/>
            <w:shd w:val="clear" w:color="auto" w:fill="DCE2EF"/>
          </w:tcPr>
          <w:p>
            <w:pPr>
              <w:ind w:left="320"/>
              <w:spacing w:after="0"/>
              <w:rPr>
                <w:sz w:val="20"/>
                <w:szCs w:val="20"/>
                <w:color w:val="auto"/>
              </w:rPr>
            </w:pPr>
            <w:r>
              <w:rPr>
                <w:rFonts w:ascii="Arial" w:cs="Arial" w:eastAsia="Arial" w:hAnsi="Arial"/>
                <w:sz w:val="16"/>
                <w:szCs w:val="16"/>
                <w:color w:val="auto"/>
              </w:rPr>
              <w:t>Basic</w:t>
            </w:r>
          </w:p>
        </w:tc>
        <w:tc>
          <w:tcPr>
            <w:tcW w:w="860" w:type="dxa"/>
            <w:vAlign w:val="bottom"/>
            <w:tcBorders>
              <w:bottom w:val="single" w:sz="8" w:color="DCE2EF"/>
            </w:tcBorders>
            <w:shd w:val="clear" w:color="auto" w:fill="DCE2EF"/>
          </w:tcPr>
          <w:p>
            <w:pPr>
              <w:spacing w:after="0"/>
              <w:rPr>
                <w:sz w:val="24"/>
                <w:szCs w:val="24"/>
                <w:color w:val="auto"/>
              </w:rPr>
            </w:pPr>
          </w:p>
        </w:tc>
        <w:tc>
          <w:tcPr>
            <w:tcW w:w="66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63.3</w:t>
            </w:r>
          </w:p>
        </w:tc>
        <w:tc>
          <w:tcPr>
            <w:tcW w:w="220" w:type="dxa"/>
            <w:vAlign w:val="bottom"/>
            <w:tcBorders>
              <w:bottom w:val="single" w:sz="8" w:color="DCE2EF"/>
            </w:tcBorders>
            <w:shd w:val="clear" w:color="auto" w:fill="DCE2EF"/>
          </w:tcPr>
          <w:p>
            <w:pPr>
              <w:spacing w:after="0"/>
              <w:rPr>
                <w:sz w:val="24"/>
                <w:szCs w:val="24"/>
                <w:color w:val="auto"/>
              </w:rPr>
            </w:pPr>
          </w:p>
        </w:tc>
        <w:tc>
          <w:tcPr>
            <w:tcW w:w="840" w:type="dxa"/>
            <w:vAlign w:val="bottom"/>
            <w:tcBorders>
              <w:bottom w:val="single" w:sz="8" w:color="DCE2EF"/>
            </w:tcBorders>
            <w:shd w:val="clear" w:color="auto" w:fill="DCE2EF"/>
          </w:tcPr>
          <w:p>
            <w:pPr>
              <w:spacing w:after="0"/>
              <w:rPr>
                <w:sz w:val="24"/>
                <w:szCs w:val="24"/>
                <w:color w:val="auto"/>
              </w:rPr>
            </w:pPr>
          </w:p>
        </w:tc>
        <w:tc>
          <w:tcPr>
            <w:tcW w:w="680" w:type="dxa"/>
            <w:vAlign w:val="bottom"/>
            <w:tcBorders>
              <w:bottom w:val="single" w:sz="8" w:color="DCE2EF"/>
            </w:tcBorders>
            <w:shd w:val="clear" w:color="auto" w:fill="DCE2EF"/>
          </w:tcPr>
          <w:p>
            <w:pPr>
              <w:jc w:val="right"/>
              <w:ind w:right="39"/>
              <w:spacing w:after="0"/>
              <w:rPr>
                <w:sz w:val="20"/>
                <w:szCs w:val="20"/>
                <w:color w:val="auto"/>
              </w:rPr>
            </w:pPr>
            <w:r>
              <w:rPr>
                <w:rFonts w:ascii="Arial" w:cs="Arial" w:eastAsia="Arial" w:hAnsi="Arial"/>
                <w:sz w:val="16"/>
                <w:szCs w:val="16"/>
                <w:color w:val="auto"/>
              </w:rPr>
              <w:t>66.4</w:t>
            </w:r>
          </w:p>
        </w:tc>
        <w:tc>
          <w:tcPr>
            <w:tcW w:w="200" w:type="dxa"/>
            <w:vAlign w:val="bottom"/>
            <w:tcBorders>
              <w:bottom w:val="single" w:sz="8" w:color="DCE2EF"/>
            </w:tcBorders>
            <w:shd w:val="clear" w:color="auto" w:fill="DCE2EF"/>
          </w:tcPr>
          <w:p>
            <w:pPr>
              <w:spacing w:after="0"/>
              <w:rPr>
                <w:sz w:val="24"/>
                <w:szCs w:val="24"/>
                <w:color w:val="auto"/>
              </w:rPr>
            </w:pPr>
          </w:p>
        </w:tc>
        <w:tc>
          <w:tcPr>
            <w:tcW w:w="1520" w:type="dxa"/>
            <w:vAlign w:val="bottom"/>
            <w:tcBorders>
              <w:bottom w:val="single" w:sz="8" w:color="DCE2EF"/>
            </w:tcBorders>
            <w:shd w:val="clear" w:color="auto" w:fill="DCE2EF"/>
          </w:tcPr>
          <w:p>
            <w:pPr>
              <w:spacing w:after="0"/>
              <w:rPr>
                <w:sz w:val="24"/>
                <w:szCs w:val="24"/>
                <w:color w:val="auto"/>
              </w:rPr>
            </w:pPr>
          </w:p>
        </w:tc>
      </w:tr>
      <w:tr>
        <w:trPr>
          <w:trHeight w:val="281"/>
        </w:trPr>
        <w:tc>
          <w:tcPr>
            <w:tcW w:w="120" w:type="dxa"/>
            <w:vAlign w:val="bottom"/>
          </w:tcPr>
          <w:p>
            <w:pPr>
              <w:spacing w:after="0"/>
              <w:rPr>
                <w:sz w:val="24"/>
                <w:szCs w:val="24"/>
                <w:color w:val="auto"/>
              </w:rPr>
            </w:pPr>
          </w:p>
        </w:tc>
        <w:tc>
          <w:tcPr>
            <w:tcW w:w="6140" w:type="dxa"/>
            <w:vAlign w:val="bottom"/>
            <w:gridSpan w:val="2"/>
          </w:tcPr>
          <w:p>
            <w:pPr>
              <w:ind w:left="320"/>
              <w:spacing w:after="0"/>
              <w:rPr>
                <w:sz w:val="20"/>
                <w:szCs w:val="20"/>
                <w:color w:val="auto"/>
              </w:rPr>
            </w:pPr>
            <w:r>
              <w:rPr>
                <w:rFonts w:ascii="Arial" w:cs="Arial" w:eastAsia="Arial" w:hAnsi="Arial"/>
                <w:sz w:val="16"/>
                <w:szCs w:val="16"/>
                <w:color w:val="auto"/>
              </w:rPr>
              <w:t>Diluted</w:t>
            </w:r>
          </w:p>
        </w:tc>
        <w:tc>
          <w:tcPr>
            <w:tcW w:w="860" w:type="dxa"/>
            <w:vAlign w:val="bottom"/>
          </w:tcPr>
          <w:p>
            <w:pPr>
              <w:spacing w:after="0"/>
              <w:rPr>
                <w:sz w:val="24"/>
                <w:szCs w:val="24"/>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63.5</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66.7</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9"/>
        </w:trPr>
        <w:tc>
          <w:tcPr>
            <w:tcW w:w="1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90"/>
        </w:trPr>
        <w:tc>
          <w:tcPr>
            <w:tcW w:w="120" w:type="dxa"/>
            <w:vAlign w:val="bottom"/>
            <w:shd w:val="clear" w:color="auto" w:fill="DCE2EF"/>
          </w:tcPr>
          <w:p>
            <w:pPr>
              <w:spacing w:after="0"/>
              <w:rPr>
                <w:sz w:val="24"/>
                <w:szCs w:val="24"/>
                <w:color w:val="auto"/>
              </w:rPr>
            </w:pPr>
          </w:p>
        </w:tc>
        <w:tc>
          <w:tcPr>
            <w:tcW w:w="614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Dividends declared per common share</w:t>
            </w:r>
          </w:p>
        </w:tc>
        <w:tc>
          <w:tcPr>
            <w:tcW w:w="860" w:type="dxa"/>
            <w:vAlign w:val="bottom"/>
            <w:shd w:val="clear" w:color="auto" w:fill="DCE2EF"/>
          </w:tcPr>
          <w:p>
            <w:pPr>
              <w:spacing w:after="0"/>
              <w:rPr>
                <w:sz w:val="24"/>
                <w:szCs w:val="24"/>
                <w:color w:val="auto"/>
              </w:rPr>
            </w:pPr>
          </w:p>
        </w:tc>
        <w:tc>
          <w:tcPr>
            <w:tcW w:w="66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$0.225</w:t>
            </w:r>
          </w:p>
        </w:tc>
        <w:tc>
          <w:tcPr>
            <w:tcW w:w="220" w:type="dxa"/>
            <w:vAlign w:val="bottom"/>
            <w:shd w:val="clear" w:color="auto" w:fill="DCE2EF"/>
          </w:tcPr>
          <w:p>
            <w:pPr>
              <w:spacing w:after="0"/>
              <w:rPr>
                <w:sz w:val="24"/>
                <w:szCs w:val="24"/>
                <w:color w:val="auto"/>
              </w:rPr>
            </w:pPr>
          </w:p>
        </w:tc>
        <w:tc>
          <w:tcPr>
            <w:tcW w:w="840" w:type="dxa"/>
            <w:vAlign w:val="bottom"/>
            <w:shd w:val="clear" w:color="auto" w:fill="DCE2EF"/>
          </w:tcPr>
          <w:p>
            <w:pPr>
              <w:spacing w:after="0"/>
              <w:rPr>
                <w:sz w:val="24"/>
                <w:szCs w:val="24"/>
                <w:color w:val="auto"/>
              </w:rPr>
            </w:pPr>
          </w:p>
        </w:tc>
        <w:tc>
          <w:tcPr>
            <w:tcW w:w="68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$0.220</w:t>
            </w:r>
          </w:p>
        </w:tc>
        <w:tc>
          <w:tcPr>
            <w:tcW w:w="200" w:type="dxa"/>
            <w:vAlign w:val="bottom"/>
            <w:shd w:val="clear" w:color="auto" w:fill="DCE2EF"/>
          </w:tcPr>
          <w:p>
            <w:pPr>
              <w:spacing w:after="0"/>
              <w:rPr>
                <w:sz w:val="24"/>
                <w:szCs w:val="24"/>
                <w:color w:val="auto"/>
              </w:rPr>
            </w:pPr>
          </w:p>
        </w:tc>
        <w:tc>
          <w:tcPr>
            <w:tcW w:w="1520" w:type="dxa"/>
            <w:vAlign w:val="bottom"/>
            <w:shd w:val="clear" w:color="auto" w:fill="DCE2EF"/>
          </w:tcPr>
          <w:p>
            <w:pPr>
              <w:spacing w:after="0"/>
              <w:rPr>
                <w:sz w:val="24"/>
                <w:szCs w:val="24"/>
                <w:color w:val="auto"/>
              </w:rPr>
            </w:pPr>
          </w:p>
        </w:tc>
      </w:tr>
      <w:tr>
        <w:trPr>
          <w:trHeight w:val="21"/>
        </w:trPr>
        <w:tc>
          <w:tcPr>
            <w:tcW w:w="120" w:type="dxa"/>
            <w:vAlign w:val="bottom"/>
            <w:shd w:val="clear" w:color="auto" w:fill="DCE2EF"/>
          </w:tcPr>
          <w:p>
            <w:pPr>
              <w:spacing w:after="0" w:line="20" w:lineRule="exact"/>
              <w:rPr>
                <w:sz w:val="1"/>
                <w:szCs w:val="1"/>
                <w:color w:val="auto"/>
              </w:rPr>
            </w:pPr>
          </w:p>
        </w:tc>
        <w:tc>
          <w:tcPr>
            <w:tcW w:w="2240" w:type="dxa"/>
            <w:vAlign w:val="bottom"/>
            <w:shd w:val="clear" w:color="auto" w:fill="DCE2EF"/>
          </w:tcPr>
          <w:p>
            <w:pPr>
              <w:spacing w:after="0" w:line="20" w:lineRule="exact"/>
              <w:rPr>
                <w:sz w:val="1"/>
                <w:szCs w:val="1"/>
                <w:color w:val="auto"/>
              </w:rPr>
            </w:pPr>
          </w:p>
        </w:tc>
        <w:tc>
          <w:tcPr>
            <w:tcW w:w="3900" w:type="dxa"/>
            <w:vAlign w:val="bottom"/>
            <w:shd w:val="clear" w:color="auto" w:fill="DCE2EF"/>
          </w:tcPr>
          <w:p>
            <w:pPr>
              <w:spacing w:after="0" w:line="20" w:lineRule="exact"/>
              <w:rPr>
                <w:sz w:val="1"/>
                <w:szCs w:val="1"/>
                <w:color w:val="auto"/>
              </w:rPr>
            </w:pPr>
          </w:p>
        </w:tc>
        <w:tc>
          <w:tcPr>
            <w:tcW w:w="860" w:type="dxa"/>
            <w:vAlign w:val="bottom"/>
            <w:shd w:val="clear" w:color="auto" w:fill="DCE2EF"/>
          </w:tcPr>
          <w:p>
            <w:pPr>
              <w:spacing w:after="0" w:line="20" w:lineRule="exact"/>
              <w:rPr>
                <w:sz w:val="1"/>
                <w:szCs w:val="1"/>
                <w:color w:val="auto"/>
              </w:rPr>
            </w:pPr>
          </w:p>
        </w:tc>
        <w:tc>
          <w:tcPr>
            <w:tcW w:w="660" w:type="dxa"/>
            <w:vAlign w:val="bottom"/>
            <w:shd w:val="clear" w:color="auto" w:fill="DCE2EF"/>
          </w:tcPr>
          <w:p>
            <w:pPr>
              <w:spacing w:after="0" w:line="20" w:lineRule="exact"/>
              <w:rPr>
                <w:sz w:val="1"/>
                <w:szCs w:val="1"/>
                <w:color w:val="auto"/>
              </w:rPr>
            </w:pPr>
          </w:p>
        </w:tc>
        <w:tc>
          <w:tcPr>
            <w:tcW w:w="220" w:type="dxa"/>
            <w:vAlign w:val="bottom"/>
            <w:shd w:val="clear" w:color="auto" w:fill="DCE2EF"/>
          </w:tcPr>
          <w:p>
            <w:pPr>
              <w:spacing w:after="0" w:line="20" w:lineRule="exact"/>
              <w:rPr>
                <w:sz w:val="1"/>
                <w:szCs w:val="1"/>
                <w:color w:val="auto"/>
              </w:rPr>
            </w:pPr>
          </w:p>
        </w:tc>
        <w:tc>
          <w:tcPr>
            <w:tcW w:w="840" w:type="dxa"/>
            <w:vAlign w:val="bottom"/>
            <w:shd w:val="clear" w:color="auto" w:fill="DCE2EF"/>
          </w:tcPr>
          <w:p>
            <w:pPr>
              <w:spacing w:after="0" w:line="20" w:lineRule="exact"/>
              <w:rPr>
                <w:sz w:val="1"/>
                <w:szCs w:val="1"/>
                <w:color w:val="auto"/>
              </w:rPr>
            </w:pPr>
          </w:p>
        </w:tc>
        <w:tc>
          <w:tcPr>
            <w:tcW w:w="680" w:type="dxa"/>
            <w:vAlign w:val="bottom"/>
            <w:shd w:val="clear" w:color="auto" w:fill="DCE2EF"/>
          </w:tcPr>
          <w:p>
            <w:pPr>
              <w:spacing w:after="0" w:line="20" w:lineRule="exact"/>
              <w:rPr>
                <w:sz w:val="1"/>
                <w:szCs w:val="1"/>
                <w:color w:val="auto"/>
              </w:rPr>
            </w:pPr>
          </w:p>
        </w:tc>
        <w:tc>
          <w:tcPr>
            <w:tcW w:w="200" w:type="dxa"/>
            <w:vAlign w:val="bottom"/>
            <w:shd w:val="clear" w:color="auto" w:fill="DCE2EF"/>
          </w:tcPr>
          <w:p>
            <w:pPr>
              <w:spacing w:after="0" w:line="20" w:lineRule="exact"/>
              <w:rPr>
                <w:sz w:val="1"/>
                <w:szCs w:val="1"/>
                <w:color w:val="auto"/>
              </w:rPr>
            </w:pPr>
          </w:p>
        </w:tc>
        <w:tc>
          <w:tcPr>
            <w:tcW w:w="1520" w:type="dxa"/>
            <w:vAlign w:val="bottom"/>
            <w:shd w:val="clear" w:color="auto" w:fill="DCE2E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-2691130</wp:posOffset>
            </wp:positionV>
            <wp:extent cx="137160"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-2691130</wp:posOffset>
            </wp:positionV>
            <wp:extent cx="137160" cy="11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-2102485</wp:posOffset>
            </wp:positionV>
            <wp:extent cx="137160" cy="11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-2102485</wp:posOffset>
            </wp:positionV>
            <wp:extent cx="137160" cy="11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-1508125</wp:posOffset>
            </wp:positionV>
            <wp:extent cx="137160" cy="11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-1508125</wp:posOffset>
            </wp:positionV>
            <wp:extent cx="137160"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160" cy="11430"/>
                    </a:xfrm>
                    <a:prstGeom prst="rect">
                      <a:avLst/>
                    </a:prstGeom>
                    <a:noFill/>
                  </pic:spPr>
                </pic:pic>
              </a:graphicData>
            </a:graphic>
          </wp:anchor>
        </w:drawing>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*Not meaningful (due to variance greater than or equal to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8" w:name="page9"/>
    <w:bookmarkEnd w:id="8"/>
    <w:p>
      <w:pPr>
        <w:ind w:right="4800"/>
        <w:spacing w:after="0" w:line="405" w:lineRule="auto"/>
        <w:rPr>
          <w:sz w:val="20"/>
          <w:szCs w:val="20"/>
          <w:color w:val="auto"/>
        </w:rPr>
      </w:pPr>
      <w:r>
        <w:rPr>
          <w:rFonts w:ascii="Arial" w:cs="Arial" w:eastAsia="Arial" w:hAnsi="Arial"/>
          <w:sz w:val="19"/>
          <w:szCs w:val="19"/>
          <w:b w:val="1"/>
          <w:bCs w:val="1"/>
          <w:color w:val="0046AD"/>
        </w:rPr>
        <w:t>ABM INDUSTRIES INCORPORATED AND SUBSIDIARIES CONSOLIDATED INCOME STATEMENT INFORMATION (UNAUDITED)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3280" w:type="dxa"/>
            <w:vAlign w:val="bottom"/>
            <w:gridSpan w:val="5"/>
          </w:tcPr>
          <w:p>
            <w:pPr>
              <w:jc w:val="right"/>
              <w:ind w:right="499"/>
              <w:spacing w:after="0"/>
              <w:rPr>
                <w:sz w:val="20"/>
                <w:szCs w:val="20"/>
                <w:color w:val="auto"/>
              </w:rPr>
            </w:pPr>
            <w:r>
              <w:rPr>
                <w:rFonts w:ascii="Arial" w:cs="Arial" w:eastAsia="Arial" w:hAnsi="Arial"/>
                <w:sz w:val="16"/>
                <w:szCs w:val="16"/>
                <w:b w:val="1"/>
                <w:bCs w:val="1"/>
                <w:color w:val="auto"/>
              </w:rPr>
              <w:t>Six Months Ended April 30,</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540" w:type="dxa"/>
            <w:vAlign w:val="bottom"/>
            <w:gridSpan w:val="2"/>
            <w:vMerge w:val="restart"/>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1740" w:type="dxa"/>
            <w:vAlign w:val="bottom"/>
            <w:gridSpan w:val="3"/>
            <w:vMerge w:val="restart"/>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560" w:type="dxa"/>
            <w:vAlign w:val="bottom"/>
          </w:tcPr>
          <w:p>
            <w:pPr>
              <w:jc w:val="right"/>
              <w:ind w:right="239"/>
              <w:spacing w:after="0"/>
              <w:rPr>
                <w:sz w:val="20"/>
                <w:szCs w:val="20"/>
                <w:color w:val="auto"/>
              </w:rPr>
            </w:pPr>
            <w:r>
              <w:rPr>
                <w:rFonts w:ascii="Arial" w:cs="Arial" w:eastAsia="Arial" w:hAnsi="Arial"/>
                <w:sz w:val="16"/>
                <w:szCs w:val="16"/>
                <w:b w:val="1"/>
                <w:bCs w:val="1"/>
                <w:color w:val="auto"/>
              </w:rPr>
              <w:t>Increase /</w:t>
            </w: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1540" w:type="dxa"/>
            <w:vAlign w:val="bottom"/>
            <w:gridSpan w:val="2"/>
            <w:vMerge w:val="continue"/>
          </w:tcPr>
          <w:p>
            <w:pPr>
              <w:spacing w:after="0"/>
              <w:rPr>
                <w:sz w:val="16"/>
                <w:szCs w:val="16"/>
                <w:color w:val="auto"/>
              </w:rPr>
            </w:pPr>
          </w:p>
        </w:tc>
        <w:tc>
          <w:tcPr>
            <w:tcW w:w="1740" w:type="dxa"/>
            <w:vAlign w:val="bottom"/>
            <w:gridSpan w:val="3"/>
            <w:vMerge w:val="continue"/>
          </w:tcPr>
          <w:p>
            <w:pPr>
              <w:spacing w:after="0"/>
              <w:rPr>
                <w:sz w:val="16"/>
                <w:szCs w:val="16"/>
                <w:color w:val="auto"/>
              </w:rPr>
            </w:pPr>
          </w:p>
        </w:tc>
        <w:tc>
          <w:tcPr>
            <w:tcW w:w="1560" w:type="dxa"/>
            <w:vAlign w:val="bottom"/>
          </w:tcPr>
          <w:p>
            <w:pPr>
              <w:jc w:val="right"/>
              <w:ind w:right="179"/>
              <w:spacing w:after="0"/>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5"/>
        </w:trPr>
        <w:tc>
          <w:tcPr>
            <w:tcW w:w="120" w:type="dxa"/>
            <w:vAlign w:val="bottom"/>
            <w:tcBorders>
              <w:bottom w:val="single" w:sz="8" w:color="DCE2EF"/>
            </w:tcBorders>
            <w:shd w:val="clear" w:color="auto" w:fill="DCE2EF"/>
          </w:tcPr>
          <w:p>
            <w:pPr>
              <w:spacing w:after="0"/>
              <w:rPr>
                <w:sz w:val="24"/>
                <w:szCs w:val="24"/>
                <w:color w:val="auto"/>
              </w:rPr>
            </w:pPr>
          </w:p>
        </w:tc>
        <w:tc>
          <w:tcPr>
            <w:tcW w:w="628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6"/>
                <w:szCs w:val="16"/>
                <w:b w:val="1"/>
                <w:bCs w:val="1"/>
                <w:color w:val="auto"/>
              </w:rPr>
              <w:t>Revenues</w:t>
            </w:r>
          </w:p>
        </w:tc>
        <w:tc>
          <w:tcPr>
            <w:tcW w:w="860" w:type="dxa"/>
            <w:vAlign w:val="bottom"/>
            <w:tcBorders>
              <w:bottom w:val="single" w:sz="8" w:color="DCE2EF"/>
            </w:tcBorders>
            <w:shd w:val="clear" w:color="auto" w:fill="DCE2EF"/>
          </w:tcPr>
          <w:p>
            <w:pPr>
              <w:jc w:val="right"/>
              <w:ind w:right="2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DCE2EF"/>
            </w:tcBorders>
            <w:shd w:val="clear" w:color="auto" w:fill="DCE2EF"/>
          </w:tcPr>
          <w:p>
            <w:pPr>
              <w:jc w:val="right"/>
              <w:ind w:right="39"/>
              <w:spacing w:after="0"/>
              <w:rPr>
                <w:sz w:val="20"/>
                <w:szCs w:val="20"/>
                <w:color w:val="auto"/>
              </w:rPr>
            </w:pPr>
            <w:r>
              <w:rPr>
                <w:rFonts w:ascii="Arial" w:cs="Arial" w:eastAsia="Arial" w:hAnsi="Arial"/>
                <w:sz w:val="16"/>
                <w:szCs w:val="16"/>
                <w:color w:val="auto"/>
              </w:rPr>
              <w:t>4,087.8</w:t>
            </w:r>
          </w:p>
        </w:tc>
        <w:tc>
          <w:tcPr>
            <w:tcW w:w="1080" w:type="dxa"/>
            <w:vAlign w:val="bottom"/>
            <w:tcBorders>
              <w:bottom w:val="single" w:sz="8" w:color="DCE2EF"/>
            </w:tcBorders>
            <w:gridSpan w:val="2"/>
            <w:shd w:val="clear" w:color="auto" w:fill="DCE2EF"/>
          </w:tcPr>
          <w:p>
            <w:pPr>
              <w:jc w:val="right"/>
              <w:ind w:right="3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3,975.3</w:t>
            </w:r>
          </w:p>
        </w:tc>
        <w:tc>
          <w:tcPr>
            <w:tcW w:w="156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5"/>
        </w:trPr>
        <w:tc>
          <w:tcPr>
            <w:tcW w:w="120" w:type="dxa"/>
            <w:vAlign w:val="bottom"/>
          </w:tcPr>
          <w:p>
            <w:pPr>
              <w:spacing w:after="0"/>
              <w:rPr>
                <w:sz w:val="24"/>
                <w:szCs w:val="24"/>
                <w:color w:val="auto"/>
              </w:rPr>
            </w:pPr>
          </w:p>
        </w:tc>
        <w:tc>
          <w:tcPr>
            <w:tcW w:w="628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860" w:type="dxa"/>
            <w:vAlign w:val="bottom"/>
          </w:tcPr>
          <w:p>
            <w:pPr>
              <w:spacing w:after="0"/>
              <w:rPr>
                <w:sz w:val="24"/>
                <w:szCs w:val="24"/>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3,589.8</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3,465.0</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4"/>
        </w:trPr>
        <w:tc>
          <w:tcPr>
            <w:tcW w:w="120" w:type="dxa"/>
            <w:vAlign w:val="bottom"/>
            <w:tcBorders>
              <w:bottom w:val="single" w:sz="8" w:color="DCE2EF"/>
            </w:tcBorders>
            <w:shd w:val="clear" w:color="auto" w:fill="DCE2EF"/>
          </w:tcPr>
          <w:p>
            <w:pPr>
              <w:spacing w:after="0"/>
              <w:rPr>
                <w:sz w:val="24"/>
                <w:szCs w:val="24"/>
                <w:color w:val="auto"/>
              </w:rPr>
            </w:pPr>
          </w:p>
        </w:tc>
        <w:tc>
          <w:tcPr>
            <w:tcW w:w="628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6"/>
                <w:szCs w:val="16"/>
                <w:color w:val="auto"/>
              </w:rPr>
              <w:t>Selling, general and administrative expenses</w:t>
            </w:r>
          </w:p>
        </w:tc>
        <w:tc>
          <w:tcPr>
            <w:tcW w:w="860" w:type="dxa"/>
            <w:vAlign w:val="bottom"/>
            <w:tcBorders>
              <w:bottom w:val="single" w:sz="8" w:color="DCE2EF"/>
            </w:tcBorders>
            <w:shd w:val="clear" w:color="auto" w:fill="DCE2EF"/>
          </w:tcPr>
          <w:p>
            <w:pPr>
              <w:spacing w:after="0"/>
              <w:rPr>
                <w:sz w:val="24"/>
                <w:szCs w:val="24"/>
                <w:color w:val="auto"/>
              </w:rPr>
            </w:pPr>
          </w:p>
        </w:tc>
        <w:tc>
          <w:tcPr>
            <w:tcW w:w="680" w:type="dxa"/>
            <w:vAlign w:val="bottom"/>
            <w:tcBorders>
              <w:bottom w:val="single" w:sz="8" w:color="DCE2EF"/>
            </w:tcBorders>
            <w:shd w:val="clear" w:color="auto" w:fill="DCE2EF"/>
          </w:tcPr>
          <w:p>
            <w:pPr>
              <w:jc w:val="right"/>
              <w:ind w:right="39"/>
              <w:spacing w:after="0"/>
              <w:rPr>
                <w:sz w:val="20"/>
                <w:szCs w:val="20"/>
                <w:color w:val="auto"/>
              </w:rPr>
            </w:pPr>
            <w:r>
              <w:rPr>
                <w:rFonts w:ascii="Arial" w:cs="Arial" w:eastAsia="Arial" w:hAnsi="Arial"/>
                <w:sz w:val="16"/>
                <w:szCs w:val="16"/>
                <w:color w:val="auto"/>
              </w:rPr>
              <w:t>314.5</w:t>
            </w:r>
          </w:p>
        </w:tc>
        <w:tc>
          <w:tcPr>
            <w:tcW w:w="220" w:type="dxa"/>
            <w:vAlign w:val="bottom"/>
            <w:tcBorders>
              <w:bottom w:val="single" w:sz="8" w:color="DCE2EF"/>
            </w:tcBorders>
            <w:shd w:val="clear" w:color="auto" w:fill="DCE2EF"/>
          </w:tcPr>
          <w:p>
            <w:pPr>
              <w:spacing w:after="0"/>
              <w:rPr>
                <w:sz w:val="24"/>
                <w:szCs w:val="24"/>
                <w:color w:val="auto"/>
              </w:rPr>
            </w:pPr>
          </w:p>
        </w:tc>
        <w:tc>
          <w:tcPr>
            <w:tcW w:w="860" w:type="dxa"/>
            <w:vAlign w:val="bottom"/>
            <w:tcBorders>
              <w:bottom w:val="single" w:sz="8" w:color="DCE2EF"/>
            </w:tcBorders>
            <w:shd w:val="clear" w:color="auto" w:fill="DCE2EF"/>
          </w:tcPr>
          <w:p>
            <w:pPr>
              <w:spacing w:after="0"/>
              <w:rPr>
                <w:sz w:val="24"/>
                <w:szCs w:val="24"/>
                <w:color w:val="auto"/>
              </w:rPr>
            </w:pPr>
          </w:p>
        </w:tc>
        <w:tc>
          <w:tcPr>
            <w:tcW w:w="66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307.2</w:t>
            </w:r>
          </w:p>
        </w:tc>
        <w:tc>
          <w:tcPr>
            <w:tcW w:w="156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5"/>
        </w:trPr>
        <w:tc>
          <w:tcPr>
            <w:tcW w:w="120" w:type="dxa"/>
            <w:vAlign w:val="bottom"/>
          </w:tcPr>
          <w:p>
            <w:pPr>
              <w:spacing w:after="0"/>
              <w:rPr>
                <w:sz w:val="24"/>
                <w:szCs w:val="24"/>
                <w:color w:val="auto"/>
              </w:rPr>
            </w:pPr>
          </w:p>
        </w:tc>
        <w:tc>
          <w:tcPr>
            <w:tcW w:w="6280" w:type="dxa"/>
            <w:vAlign w:val="bottom"/>
            <w:gridSpan w:val="2"/>
          </w:tcPr>
          <w:p>
            <w:pPr>
              <w:spacing w:after="0"/>
              <w:rPr>
                <w:sz w:val="20"/>
                <w:szCs w:val="20"/>
                <w:color w:val="auto"/>
              </w:rPr>
            </w:pPr>
            <w:r>
              <w:rPr>
                <w:rFonts w:ascii="Arial" w:cs="Arial" w:eastAsia="Arial" w:hAnsi="Arial"/>
                <w:sz w:val="16"/>
                <w:szCs w:val="16"/>
                <w:color w:val="auto"/>
              </w:rPr>
              <w:t>Amortization of intangible assets</w:t>
            </w:r>
          </w:p>
        </w:tc>
        <w:tc>
          <w:tcPr>
            <w:tcW w:w="860" w:type="dxa"/>
            <w:vAlign w:val="bottom"/>
          </w:tcPr>
          <w:p>
            <w:pPr>
              <w:spacing w:after="0"/>
              <w:rPr>
                <w:sz w:val="24"/>
                <w:szCs w:val="24"/>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28.2</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39.0</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9"/>
        </w:trPr>
        <w:tc>
          <w:tcPr>
            <w:tcW w:w="120" w:type="dxa"/>
            <w:vAlign w:val="bottom"/>
            <w:tcBorders>
              <w:bottom w:val="single" w:sz="8" w:color="DCE2EF"/>
            </w:tcBorders>
          </w:tcPr>
          <w:p>
            <w:pPr>
              <w:spacing w:after="0"/>
              <w:rPr>
                <w:sz w:val="2"/>
                <w:szCs w:val="2"/>
                <w:color w:val="auto"/>
              </w:rPr>
            </w:pPr>
          </w:p>
        </w:tc>
        <w:tc>
          <w:tcPr>
            <w:tcW w:w="2240" w:type="dxa"/>
            <w:vAlign w:val="bottom"/>
            <w:tcBorders>
              <w:bottom w:val="single" w:sz="8" w:color="DCE2EF"/>
            </w:tcBorders>
          </w:tcPr>
          <w:p>
            <w:pPr>
              <w:spacing w:after="0"/>
              <w:rPr>
                <w:sz w:val="2"/>
                <w:szCs w:val="2"/>
                <w:color w:val="auto"/>
              </w:rPr>
            </w:pPr>
          </w:p>
        </w:tc>
        <w:tc>
          <w:tcPr>
            <w:tcW w:w="4040" w:type="dxa"/>
            <w:vAlign w:val="bottom"/>
            <w:tcBorders>
              <w:bottom w:val="single" w:sz="8" w:color="DCE2E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DCE2E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60" w:type="dxa"/>
            <w:vAlign w:val="bottom"/>
            <w:tcBorders>
              <w:bottom w:val="single" w:sz="8" w:color="DCE2EF"/>
            </w:tcBorders>
          </w:tcPr>
          <w:p>
            <w:pPr>
              <w:spacing w:after="0"/>
              <w:rPr>
                <w:sz w:val="2"/>
                <w:szCs w:val="2"/>
                <w:color w:val="auto"/>
              </w:rPr>
            </w:pPr>
          </w:p>
        </w:tc>
        <w:tc>
          <w:tcPr>
            <w:tcW w:w="0" w:type="dxa"/>
            <w:vAlign w:val="bottom"/>
          </w:tcPr>
          <w:p>
            <w:pPr>
              <w:spacing w:after="0"/>
              <w:rPr>
                <w:sz w:val="1"/>
                <w:szCs w:val="1"/>
                <w:color w:val="auto"/>
              </w:rPr>
            </w:pPr>
          </w:p>
        </w:tc>
      </w:tr>
      <w:tr>
        <w:trPr>
          <w:trHeight w:val="324"/>
        </w:trPr>
        <w:tc>
          <w:tcPr>
            <w:tcW w:w="120" w:type="dxa"/>
            <w:vAlign w:val="bottom"/>
            <w:tcBorders>
              <w:bottom w:val="single" w:sz="8" w:color="DCE2EF"/>
            </w:tcBorders>
            <w:shd w:val="clear" w:color="auto" w:fill="DCE2EF"/>
          </w:tcPr>
          <w:p>
            <w:pPr>
              <w:spacing w:after="0"/>
              <w:rPr>
                <w:sz w:val="24"/>
                <w:szCs w:val="24"/>
                <w:color w:val="auto"/>
              </w:rPr>
            </w:pPr>
          </w:p>
        </w:tc>
        <w:tc>
          <w:tcPr>
            <w:tcW w:w="628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6"/>
                <w:szCs w:val="16"/>
                <w:b w:val="1"/>
                <w:bCs w:val="1"/>
                <w:color w:val="auto"/>
              </w:rPr>
              <w:t>Operating profit</w:t>
            </w:r>
          </w:p>
        </w:tc>
        <w:tc>
          <w:tcPr>
            <w:tcW w:w="860" w:type="dxa"/>
            <w:vAlign w:val="bottom"/>
            <w:tcBorders>
              <w:bottom w:val="single" w:sz="8" w:color="DCE2EF"/>
            </w:tcBorders>
            <w:shd w:val="clear" w:color="auto" w:fill="DCE2EF"/>
          </w:tcPr>
          <w:p>
            <w:pPr>
              <w:spacing w:after="0"/>
              <w:rPr>
                <w:sz w:val="24"/>
                <w:szCs w:val="24"/>
                <w:color w:val="auto"/>
              </w:rPr>
            </w:pPr>
          </w:p>
        </w:tc>
        <w:tc>
          <w:tcPr>
            <w:tcW w:w="680" w:type="dxa"/>
            <w:vAlign w:val="bottom"/>
            <w:tcBorders>
              <w:bottom w:val="single" w:sz="8" w:color="DCE2EF"/>
            </w:tcBorders>
            <w:shd w:val="clear" w:color="auto" w:fill="DCE2EF"/>
          </w:tcPr>
          <w:p>
            <w:pPr>
              <w:jc w:val="right"/>
              <w:ind w:right="39"/>
              <w:spacing w:after="0"/>
              <w:rPr>
                <w:sz w:val="20"/>
                <w:szCs w:val="20"/>
                <w:color w:val="auto"/>
              </w:rPr>
            </w:pPr>
            <w:r>
              <w:rPr>
                <w:rFonts w:ascii="Arial" w:cs="Arial" w:eastAsia="Arial" w:hAnsi="Arial"/>
                <w:sz w:val="16"/>
                <w:szCs w:val="16"/>
                <w:color w:val="auto"/>
              </w:rPr>
              <w:t>155.4</w:t>
            </w:r>
          </w:p>
        </w:tc>
        <w:tc>
          <w:tcPr>
            <w:tcW w:w="220" w:type="dxa"/>
            <w:vAlign w:val="bottom"/>
            <w:tcBorders>
              <w:bottom w:val="single" w:sz="8" w:color="DCE2EF"/>
            </w:tcBorders>
            <w:shd w:val="clear" w:color="auto" w:fill="DCE2EF"/>
          </w:tcPr>
          <w:p>
            <w:pPr>
              <w:spacing w:after="0"/>
              <w:rPr>
                <w:sz w:val="24"/>
                <w:szCs w:val="24"/>
                <w:color w:val="auto"/>
              </w:rPr>
            </w:pPr>
          </w:p>
        </w:tc>
        <w:tc>
          <w:tcPr>
            <w:tcW w:w="860" w:type="dxa"/>
            <w:vAlign w:val="bottom"/>
            <w:tcBorders>
              <w:bottom w:val="single" w:sz="8" w:color="DCE2EF"/>
            </w:tcBorders>
            <w:shd w:val="clear" w:color="auto" w:fill="DCE2EF"/>
          </w:tcPr>
          <w:p>
            <w:pPr>
              <w:spacing w:after="0"/>
              <w:rPr>
                <w:sz w:val="24"/>
                <w:szCs w:val="24"/>
                <w:color w:val="auto"/>
              </w:rPr>
            </w:pPr>
          </w:p>
        </w:tc>
        <w:tc>
          <w:tcPr>
            <w:tcW w:w="66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164.1</w:t>
            </w:r>
          </w:p>
        </w:tc>
        <w:tc>
          <w:tcPr>
            <w:tcW w:w="156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335"/>
        </w:trPr>
        <w:tc>
          <w:tcPr>
            <w:tcW w:w="120" w:type="dxa"/>
            <w:vAlign w:val="bottom"/>
          </w:tcPr>
          <w:p>
            <w:pPr>
              <w:spacing w:after="0"/>
              <w:rPr>
                <w:sz w:val="24"/>
                <w:szCs w:val="24"/>
                <w:color w:val="auto"/>
              </w:rPr>
            </w:pPr>
          </w:p>
        </w:tc>
        <w:tc>
          <w:tcPr>
            <w:tcW w:w="6280" w:type="dxa"/>
            <w:vAlign w:val="bottom"/>
            <w:gridSpan w:val="2"/>
          </w:tcPr>
          <w:p>
            <w:pPr>
              <w:spacing w:after="0"/>
              <w:rPr>
                <w:sz w:val="20"/>
                <w:szCs w:val="20"/>
                <w:color w:val="auto"/>
              </w:rPr>
            </w:pPr>
            <w:r>
              <w:rPr>
                <w:rFonts w:ascii="Arial" w:cs="Arial" w:eastAsia="Arial" w:hAnsi="Arial"/>
                <w:sz w:val="16"/>
                <w:szCs w:val="16"/>
                <w:color w:val="auto"/>
              </w:rPr>
              <w:t>Income from unconsolidated affiliates</w:t>
            </w:r>
          </w:p>
        </w:tc>
        <w:tc>
          <w:tcPr>
            <w:tcW w:w="860" w:type="dxa"/>
            <w:vAlign w:val="bottom"/>
          </w:tcPr>
          <w:p>
            <w:pPr>
              <w:spacing w:after="0"/>
              <w:rPr>
                <w:sz w:val="24"/>
                <w:szCs w:val="24"/>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8"/>
        </w:trPr>
        <w:tc>
          <w:tcPr>
            <w:tcW w:w="120" w:type="dxa"/>
            <w:vAlign w:val="bottom"/>
            <w:tcBorders>
              <w:bottom w:val="single" w:sz="8" w:color="DCE2EF"/>
            </w:tcBorders>
            <w:shd w:val="clear" w:color="auto" w:fill="DCE2EF"/>
          </w:tcPr>
          <w:p>
            <w:pPr>
              <w:spacing w:after="0"/>
              <w:rPr>
                <w:sz w:val="24"/>
                <w:szCs w:val="24"/>
                <w:color w:val="auto"/>
              </w:rPr>
            </w:pPr>
          </w:p>
        </w:tc>
        <w:tc>
          <w:tcPr>
            <w:tcW w:w="628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6"/>
                <w:szCs w:val="16"/>
                <w:color w:val="auto"/>
              </w:rPr>
              <w:t>Interest expense</w:t>
            </w:r>
          </w:p>
        </w:tc>
        <w:tc>
          <w:tcPr>
            <w:tcW w:w="860" w:type="dxa"/>
            <w:vAlign w:val="bottom"/>
            <w:tcBorders>
              <w:bottom w:val="single" w:sz="8" w:color="auto"/>
            </w:tcBorders>
            <w:shd w:val="clear" w:color="auto" w:fill="DCE2EF"/>
          </w:tcPr>
          <w:p>
            <w:pPr>
              <w:spacing w:after="0"/>
              <w:rPr>
                <w:sz w:val="24"/>
                <w:szCs w:val="24"/>
                <w:color w:val="auto"/>
              </w:rPr>
            </w:pPr>
          </w:p>
        </w:tc>
        <w:tc>
          <w:tcPr>
            <w:tcW w:w="68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(41.9)</w:t>
            </w:r>
          </w:p>
        </w:tc>
        <w:tc>
          <w:tcPr>
            <w:tcW w:w="220" w:type="dxa"/>
            <w:vAlign w:val="bottom"/>
            <w:tcBorders>
              <w:bottom w:val="single" w:sz="8" w:color="DCE2EF"/>
            </w:tcBorders>
            <w:shd w:val="clear" w:color="auto" w:fill="DCE2EF"/>
          </w:tcPr>
          <w:p>
            <w:pPr>
              <w:spacing w:after="0"/>
              <w:rPr>
                <w:sz w:val="24"/>
                <w:szCs w:val="24"/>
                <w:color w:val="auto"/>
              </w:rPr>
            </w:pPr>
          </w:p>
        </w:tc>
        <w:tc>
          <w:tcPr>
            <w:tcW w:w="860" w:type="dxa"/>
            <w:vAlign w:val="bottom"/>
            <w:tcBorders>
              <w:bottom w:val="single" w:sz="8" w:color="auto"/>
            </w:tcBorders>
            <w:shd w:val="clear" w:color="auto" w:fill="DCE2EF"/>
          </w:tcPr>
          <w:p>
            <w:pPr>
              <w:spacing w:after="0"/>
              <w:rPr>
                <w:sz w:val="24"/>
                <w:szCs w:val="24"/>
                <w:color w:val="auto"/>
              </w:rPr>
            </w:pPr>
          </w:p>
        </w:tc>
        <w:tc>
          <w:tcPr>
            <w:tcW w:w="66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(40.9)</w:t>
            </w:r>
          </w:p>
        </w:tc>
        <w:tc>
          <w:tcPr>
            <w:tcW w:w="156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08"/>
        </w:trPr>
        <w:tc>
          <w:tcPr>
            <w:tcW w:w="120" w:type="dxa"/>
            <w:vAlign w:val="bottom"/>
          </w:tcPr>
          <w:p>
            <w:pPr>
              <w:spacing w:after="0"/>
              <w:rPr>
                <w:sz w:val="24"/>
                <w:szCs w:val="24"/>
                <w:color w:val="auto"/>
              </w:rPr>
            </w:pPr>
          </w:p>
        </w:tc>
        <w:tc>
          <w:tcPr>
            <w:tcW w:w="6280" w:type="dxa"/>
            <w:vAlign w:val="bottom"/>
            <w:gridSpan w:val="2"/>
          </w:tcPr>
          <w:p>
            <w:pPr>
              <w:spacing w:after="0"/>
              <w:rPr>
                <w:sz w:val="20"/>
                <w:szCs w:val="20"/>
                <w:color w:val="auto"/>
              </w:rPr>
            </w:pPr>
            <w:r>
              <w:rPr>
                <w:rFonts w:ascii="Arial" w:cs="Arial" w:eastAsia="Arial" w:hAnsi="Arial"/>
                <w:sz w:val="16"/>
                <w:szCs w:val="16"/>
                <w:color w:val="auto"/>
              </w:rPr>
              <w:t>Income before income taxes</w:t>
            </w:r>
          </w:p>
        </w:tc>
        <w:tc>
          <w:tcPr>
            <w:tcW w:w="860" w:type="dxa"/>
            <w:vAlign w:val="bottom"/>
          </w:tcPr>
          <w:p>
            <w:pPr>
              <w:spacing w:after="0"/>
              <w:rPr>
                <w:sz w:val="24"/>
                <w:szCs w:val="24"/>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116.4</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125.0</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43"/>
        </w:trPr>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40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4"/>
        </w:trPr>
        <w:tc>
          <w:tcPr>
            <w:tcW w:w="120" w:type="dxa"/>
            <w:vAlign w:val="bottom"/>
            <w:tcBorders>
              <w:bottom w:val="single" w:sz="8" w:color="DCE2EF"/>
            </w:tcBorders>
            <w:shd w:val="clear" w:color="auto" w:fill="DCE2EF"/>
          </w:tcPr>
          <w:p>
            <w:pPr>
              <w:spacing w:after="0"/>
              <w:rPr>
                <w:sz w:val="24"/>
                <w:szCs w:val="24"/>
                <w:color w:val="auto"/>
              </w:rPr>
            </w:pPr>
          </w:p>
        </w:tc>
        <w:tc>
          <w:tcPr>
            <w:tcW w:w="628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6"/>
                <w:szCs w:val="16"/>
                <w:color w:val="auto"/>
              </w:rPr>
              <w:t>Income tax provision</w:t>
            </w:r>
          </w:p>
        </w:tc>
        <w:tc>
          <w:tcPr>
            <w:tcW w:w="860" w:type="dxa"/>
            <w:vAlign w:val="bottom"/>
            <w:tcBorders>
              <w:bottom w:val="single" w:sz="8" w:color="DCE2EF"/>
            </w:tcBorders>
            <w:shd w:val="clear" w:color="auto" w:fill="DCE2EF"/>
          </w:tcPr>
          <w:p>
            <w:pPr>
              <w:spacing w:after="0"/>
              <w:rPr>
                <w:sz w:val="24"/>
                <w:szCs w:val="24"/>
                <w:color w:val="auto"/>
              </w:rPr>
            </w:pPr>
          </w:p>
        </w:tc>
        <w:tc>
          <w:tcPr>
            <w:tcW w:w="680" w:type="dxa"/>
            <w:vAlign w:val="bottom"/>
            <w:tcBorders>
              <w:bottom w:val="single" w:sz="8" w:color="DCE2EF"/>
            </w:tcBorders>
            <w:shd w:val="clear" w:color="auto" w:fill="DCE2EF"/>
          </w:tcPr>
          <w:p>
            <w:pPr>
              <w:jc w:val="right"/>
              <w:ind w:right="39"/>
              <w:spacing w:after="0"/>
              <w:rPr>
                <w:sz w:val="20"/>
                <w:szCs w:val="20"/>
                <w:color w:val="auto"/>
              </w:rPr>
            </w:pPr>
            <w:r>
              <w:rPr>
                <w:rFonts w:ascii="Arial" w:cs="Arial" w:eastAsia="Arial" w:hAnsi="Arial"/>
                <w:sz w:val="16"/>
                <w:szCs w:val="16"/>
                <w:color w:val="auto"/>
              </w:rPr>
              <w:t>(28.0)</w:t>
            </w:r>
          </w:p>
        </w:tc>
        <w:tc>
          <w:tcPr>
            <w:tcW w:w="220" w:type="dxa"/>
            <w:vAlign w:val="bottom"/>
            <w:tcBorders>
              <w:bottom w:val="single" w:sz="8" w:color="DCE2EF"/>
            </w:tcBorders>
            <w:shd w:val="clear" w:color="auto" w:fill="DCE2EF"/>
          </w:tcPr>
          <w:p>
            <w:pPr>
              <w:spacing w:after="0"/>
              <w:rPr>
                <w:sz w:val="24"/>
                <w:szCs w:val="24"/>
                <w:color w:val="auto"/>
              </w:rPr>
            </w:pPr>
          </w:p>
        </w:tc>
        <w:tc>
          <w:tcPr>
            <w:tcW w:w="860" w:type="dxa"/>
            <w:vAlign w:val="bottom"/>
            <w:tcBorders>
              <w:bottom w:val="single" w:sz="8" w:color="DCE2EF"/>
            </w:tcBorders>
            <w:shd w:val="clear" w:color="auto" w:fill="DCE2EF"/>
          </w:tcPr>
          <w:p>
            <w:pPr>
              <w:spacing w:after="0"/>
              <w:rPr>
                <w:sz w:val="24"/>
                <w:szCs w:val="24"/>
                <w:color w:val="auto"/>
              </w:rPr>
            </w:pPr>
          </w:p>
        </w:tc>
        <w:tc>
          <w:tcPr>
            <w:tcW w:w="66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(34.5)</w:t>
            </w:r>
          </w:p>
        </w:tc>
        <w:tc>
          <w:tcPr>
            <w:tcW w:w="156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316"/>
        </w:trPr>
        <w:tc>
          <w:tcPr>
            <w:tcW w:w="120" w:type="dxa"/>
            <w:vAlign w:val="bottom"/>
          </w:tcPr>
          <w:p>
            <w:pPr>
              <w:spacing w:after="0"/>
              <w:rPr>
                <w:sz w:val="24"/>
                <w:szCs w:val="24"/>
                <w:color w:val="auto"/>
              </w:rPr>
            </w:pPr>
          </w:p>
        </w:tc>
        <w:tc>
          <w:tcPr>
            <w:tcW w:w="628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8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88.4</w:t>
            </w:r>
          </w:p>
        </w:tc>
        <w:tc>
          <w:tcPr>
            <w:tcW w:w="2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90.4</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120" w:type="dxa"/>
            <w:vAlign w:val="bottom"/>
            <w:tcBorders>
              <w:bottom w:val="single" w:sz="8" w:color="DCE2EF"/>
            </w:tcBorders>
            <w:shd w:val="clear" w:color="auto" w:fill="DCE2EF"/>
          </w:tcPr>
          <w:p>
            <w:pPr>
              <w:spacing w:after="0"/>
              <w:rPr>
                <w:sz w:val="23"/>
                <w:szCs w:val="23"/>
                <w:color w:val="auto"/>
              </w:rPr>
            </w:pPr>
          </w:p>
        </w:tc>
        <w:tc>
          <w:tcPr>
            <w:tcW w:w="628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6"/>
                <w:szCs w:val="16"/>
                <w:b w:val="1"/>
                <w:bCs w:val="1"/>
                <w:color w:val="auto"/>
              </w:rPr>
              <w:t>Net income per common share</w:t>
            </w:r>
          </w:p>
        </w:tc>
        <w:tc>
          <w:tcPr>
            <w:tcW w:w="860" w:type="dxa"/>
            <w:vAlign w:val="bottom"/>
            <w:tcBorders>
              <w:bottom w:val="single" w:sz="8" w:color="DCE2EF"/>
            </w:tcBorders>
            <w:shd w:val="clear" w:color="auto" w:fill="DCE2EF"/>
          </w:tcPr>
          <w:p>
            <w:pPr>
              <w:spacing w:after="0"/>
              <w:rPr>
                <w:sz w:val="23"/>
                <w:szCs w:val="23"/>
                <w:color w:val="auto"/>
              </w:rPr>
            </w:pPr>
          </w:p>
        </w:tc>
        <w:tc>
          <w:tcPr>
            <w:tcW w:w="680" w:type="dxa"/>
            <w:vAlign w:val="bottom"/>
            <w:tcBorders>
              <w:bottom w:val="single" w:sz="8" w:color="DCE2EF"/>
            </w:tcBorders>
            <w:shd w:val="clear" w:color="auto" w:fill="DCE2EF"/>
          </w:tcPr>
          <w:p>
            <w:pPr>
              <w:spacing w:after="0"/>
              <w:rPr>
                <w:sz w:val="23"/>
                <w:szCs w:val="23"/>
                <w:color w:val="auto"/>
              </w:rPr>
            </w:pPr>
          </w:p>
        </w:tc>
        <w:tc>
          <w:tcPr>
            <w:tcW w:w="220" w:type="dxa"/>
            <w:vAlign w:val="bottom"/>
            <w:tcBorders>
              <w:bottom w:val="single" w:sz="8" w:color="DCE2EF"/>
            </w:tcBorders>
            <w:shd w:val="clear" w:color="auto" w:fill="DCE2EF"/>
          </w:tcPr>
          <w:p>
            <w:pPr>
              <w:spacing w:after="0"/>
              <w:rPr>
                <w:sz w:val="23"/>
                <w:szCs w:val="23"/>
                <w:color w:val="auto"/>
              </w:rPr>
            </w:pPr>
          </w:p>
        </w:tc>
        <w:tc>
          <w:tcPr>
            <w:tcW w:w="860" w:type="dxa"/>
            <w:vAlign w:val="bottom"/>
            <w:tcBorders>
              <w:bottom w:val="single" w:sz="8" w:color="DCE2EF"/>
            </w:tcBorders>
            <w:shd w:val="clear" w:color="auto" w:fill="DCE2EF"/>
          </w:tcPr>
          <w:p>
            <w:pPr>
              <w:spacing w:after="0"/>
              <w:rPr>
                <w:sz w:val="23"/>
                <w:szCs w:val="23"/>
                <w:color w:val="auto"/>
              </w:rPr>
            </w:pPr>
          </w:p>
        </w:tc>
        <w:tc>
          <w:tcPr>
            <w:tcW w:w="660" w:type="dxa"/>
            <w:vAlign w:val="bottom"/>
            <w:tcBorders>
              <w:bottom w:val="single" w:sz="8" w:color="DCE2EF"/>
            </w:tcBorders>
            <w:shd w:val="clear" w:color="auto" w:fill="DCE2EF"/>
          </w:tcPr>
          <w:p>
            <w:pPr>
              <w:spacing w:after="0"/>
              <w:rPr>
                <w:sz w:val="23"/>
                <w:szCs w:val="23"/>
                <w:color w:val="auto"/>
              </w:rPr>
            </w:pPr>
          </w:p>
        </w:tc>
        <w:tc>
          <w:tcPr>
            <w:tcW w:w="1560" w:type="dxa"/>
            <w:vAlign w:val="bottom"/>
            <w:tcBorders>
              <w:bottom w:val="single" w:sz="8" w:color="DCE2EF"/>
            </w:tcBorders>
            <w:shd w:val="clear" w:color="auto" w:fill="DCE2EF"/>
          </w:tcPr>
          <w:p>
            <w:pPr>
              <w:spacing w:after="0"/>
              <w:rPr>
                <w:sz w:val="23"/>
                <w:szCs w:val="23"/>
                <w:color w:val="auto"/>
              </w:rPr>
            </w:pPr>
          </w:p>
        </w:tc>
        <w:tc>
          <w:tcPr>
            <w:tcW w:w="0" w:type="dxa"/>
            <w:vAlign w:val="bottom"/>
          </w:tcPr>
          <w:p>
            <w:pPr>
              <w:spacing w:after="0"/>
              <w:rPr>
                <w:sz w:val="1"/>
                <w:szCs w:val="1"/>
                <w:color w:val="auto"/>
              </w:rPr>
            </w:pPr>
          </w:p>
        </w:tc>
      </w:tr>
      <w:tr>
        <w:trPr>
          <w:trHeight w:val="336"/>
        </w:trPr>
        <w:tc>
          <w:tcPr>
            <w:tcW w:w="120" w:type="dxa"/>
            <w:vAlign w:val="bottom"/>
          </w:tcPr>
          <w:p>
            <w:pPr>
              <w:spacing w:after="0"/>
              <w:rPr>
                <w:sz w:val="24"/>
                <w:szCs w:val="24"/>
                <w:color w:val="auto"/>
              </w:rPr>
            </w:pPr>
          </w:p>
        </w:tc>
        <w:tc>
          <w:tcPr>
            <w:tcW w:w="6280" w:type="dxa"/>
            <w:vAlign w:val="bottom"/>
            <w:gridSpan w:val="2"/>
          </w:tcPr>
          <w:p>
            <w:pPr>
              <w:spacing w:after="0"/>
              <w:rPr>
                <w:sz w:val="20"/>
                <w:szCs w:val="20"/>
                <w:color w:val="auto"/>
              </w:rPr>
            </w:pPr>
            <w:r>
              <w:rPr>
                <w:rFonts w:ascii="Arial" w:cs="Arial" w:eastAsia="Arial" w:hAnsi="Arial"/>
                <w:sz w:val="16"/>
                <w:szCs w:val="16"/>
                <w:color w:val="auto"/>
              </w:rPr>
              <w:t>Basic</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1.40</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1.36</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4"/>
        </w:trPr>
        <w:tc>
          <w:tcPr>
            <w:tcW w:w="120" w:type="dxa"/>
            <w:vAlign w:val="bottom"/>
            <w:tcBorders>
              <w:bottom w:val="single" w:sz="8" w:color="DCE2EF"/>
            </w:tcBorders>
            <w:shd w:val="clear" w:color="auto" w:fill="DCE2EF"/>
          </w:tcPr>
          <w:p>
            <w:pPr>
              <w:spacing w:after="0"/>
              <w:rPr>
                <w:sz w:val="24"/>
                <w:szCs w:val="24"/>
                <w:color w:val="auto"/>
              </w:rPr>
            </w:pPr>
          </w:p>
        </w:tc>
        <w:tc>
          <w:tcPr>
            <w:tcW w:w="628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6"/>
                <w:szCs w:val="16"/>
                <w:color w:val="auto"/>
              </w:rPr>
              <w:t>Diluted</w:t>
            </w:r>
          </w:p>
        </w:tc>
        <w:tc>
          <w:tcPr>
            <w:tcW w:w="8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DCE2EF"/>
            </w:tcBorders>
            <w:shd w:val="clear" w:color="auto" w:fill="DCE2EF"/>
          </w:tcPr>
          <w:p>
            <w:pPr>
              <w:jc w:val="right"/>
              <w:ind w:right="39"/>
              <w:spacing w:after="0"/>
              <w:rPr>
                <w:sz w:val="20"/>
                <w:szCs w:val="20"/>
                <w:color w:val="auto"/>
              </w:rPr>
            </w:pPr>
            <w:r>
              <w:rPr>
                <w:rFonts w:ascii="Arial" w:cs="Arial" w:eastAsia="Arial" w:hAnsi="Arial"/>
                <w:sz w:val="16"/>
                <w:szCs w:val="16"/>
                <w:color w:val="auto"/>
              </w:rPr>
              <w:t>1.39</w:t>
            </w:r>
          </w:p>
        </w:tc>
        <w:tc>
          <w:tcPr>
            <w:tcW w:w="1080" w:type="dxa"/>
            <w:vAlign w:val="bottom"/>
            <w:tcBorders>
              <w:bottom w:val="single" w:sz="8" w:color="DCE2EF"/>
            </w:tcBorders>
            <w:gridSpan w:val="2"/>
            <w:shd w:val="clear" w:color="auto" w:fill="DCE2EF"/>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1.35</w:t>
            </w:r>
          </w:p>
        </w:tc>
        <w:tc>
          <w:tcPr>
            <w:tcW w:w="156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56"/>
        </w:trPr>
        <w:tc>
          <w:tcPr>
            <w:tcW w:w="120" w:type="dxa"/>
            <w:vAlign w:val="bottom"/>
          </w:tcPr>
          <w:p>
            <w:pPr>
              <w:spacing w:after="0"/>
              <w:rPr>
                <w:sz w:val="22"/>
                <w:szCs w:val="22"/>
                <w:color w:val="auto"/>
              </w:rPr>
            </w:pPr>
          </w:p>
        </w:tc>
        <w:tc>
          <w:tcPr>
            <w:tcW w:w="6280" w:type="dxa"/>
            <w:vAlign w:val="bottom"/>
            <w:gridSpan w:val="2"/>
          </w:tcPr>
          <w:p>
            <w:pPr>
              <w:spacing w:after="0"/>
              <w:rPr>
                <w:sz w:val="20"/>
                <w:szCs w:val="20"/>
                <w:color w:val="auto"/>
              </w:rPr>
            </w:pPr>
            <w:r>
              <w:rPr>
                <w:rFonts w:ascii="Arial" w:cs="Arial" w:eastAsia="Arial" w:hAnsi="Arial"/>
                <w:sz w:val="16"/>
                <w:szCs w:val="16"/>
                <w:b w:val="1"/>
                <w:bCs w:val="1"/>
                <w:color w:val="auto"/>
              </w:rPr>
              <w:t>Weighted-average common and common equivalent</w:t>
            </w:r>
          </w:p>
        </w:tc>
        <w:tc>
          <w:tcPr>
            <w:tcW w:w="8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6280" w:type="dxa"/>
            <w:vAlign w:val="bottom"/>
            <w:gridSpan w:val="2"/>
          </w:tcPr>
          <w:p>
            <w:pPr>
              <w:ind w:left="120"/>
              <w:spacing w:after="0"/>
              <w:rPr>
                <w:sz w:val="20"/>
                <w:szCs w:val="20"/>
                <w:color w:val="auto"/>
              </w:rPr>
            </w:pPr>
            <w:r>
              <w:rPr>
                <w:rFonts w:ascii="Arial" w:cs="Arial" w:eastAsia="Arial" w:hAnsi="Arial"/>
                <w:sz w:val="16"/>
                <w:szCs w:val="16"/>
                <w:b w:val="1"/>
                <w:bCs w:val="1"/>
                <w:color w:val="auto"/>
              </w:rPr>
              <w:t>shares outstanding</w:t>
            </w: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20" w:type="dxa"/>
            <w:vAlign w:val="bottom"/>
            <w:tcBorders>
              <w:bottom w:val="single" w:sz="8" w:color="DCE2EF"/>
            </w:tcBorders>
            <w:shd w:val="clear" w:color="auto" w:fill="DCE2EF"/>
          </w:tcPr>
          <w:p>
            <w:pPr>
              <w:spacing w:after="0"/>
              <w:rPr>
                <w:sz w:val="24"/>
                <w:szCs w:val="24"/>
                <w:color w:val="auto"/>
              </w:rPr>
            </w:pPr>
          </w:p>
        </w:tc>
        <w:tc>
          <w:tcPr>
            <w:tcW w:w="628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6"/>
                <w:szCs w:val="16"/>
                <w:color w:val="auto"/>
              </w:rPr>
              <w:t>Basic</w:t>
            </w:r>
          </w:p>
        </w:tc>
        <w:tc>
          <w:tcPr>
            <w:tcW w:w="860" w:type="dxa"/>
            <w:vAlign w:val="bottom"/>
            <w:tcBorders>
              <w:bottom w:val="single" w:sz="8" w:color="DCE2EF"/>
            </w:tcBorders>
            <w:shd w:val="clear" w:color="auto" w:fill="DCE2EF"/>
          </w:tcPr>
          <w:p>
            <w:pPr>
              <w:spacing w:after="0"/>
              <w:rPr>
                <w:sz w:val="24"/>
                <w:szCs w:val="24"/>
                <w:color w:val="auto"/>
              </w:rPr>
            </w:pPr>
          </w:p>
        </w:tc>
        <w:tc>
          <w:tcPr>
            <w:tcW w:w="680" w:type="dxa"/>
            <w:vAlign w:val="bottom"/>
            <w:tcBorders>
              <w:bottom w:val="single" w:sz="8" w:color="DCE2EF"/>
            </w:tcBorders>
            <w:shd w:val="clear" w:color="auto" w:fill="DCE2EF"/>
          </w:tcPr>
          <w:p>
            <w:pPr>
              <w:jc w:val="right"/>
              <w:ind w:right="39"/>
              <w:spacing w:after="0"/>
              <w:rPr>
                <w:sz w:val="20"/>
                <w:szCs w:val="20"/>
                <w:color w:val="auto"/>
              </w:rPr>
            </w:pPr>
            <w:r>
              <w:rPr>
                <w:rFonts w:ascii="Arial" w:cs="Arial" w:eastAsia="Arial" w:hAnsi="Arial"/>
                <w:sz w:val="16"/>
                <w:szCs w:val="16"/>
                <w:color w:val="auto"/>
              </w:rPr>
              <w:t>63.4</w:t>
            </w:r>
          </w:p>
        </w:tc>
        <w:tc>
          <w:tcPr>
            <w:tcW w:w="220" w:type="dxa"/>
            <w:vAlign w:val="bottom"/>
            <w:tcBorders>
              <w:bottom w:val="single" w:sz="8" w:color="DCE2EF"/>
            </w:tcBorders>
            <w:shd w:val="clear" w:color="auto" w:fill="DCE2EF"/>
          </w:tcPr>
          <w:p>
            <w:pPr>
              <w:spacing w:after="0"/>
              <w:rPr>
                <w:sz w:val="24"/>
                <w:szCs w:val="24"/>
                <w:color w:val="auto"/>
              </w:rPr>
            </w:pPr>
          </w:p>
        </w:tc>
        <w:tc>
          <w:tcPr>
            <w:tcW w:w="860" w:type="dxa"/>
            <w:vAlign w:val="bottom"/>
            <w:tcBorders>
              <w:bottom w:val="single" w:sz="8" w:color="DCE2EF"/>
            </w:tcBorders>
            <w:shd w:val="clear" w:color="auto" w:fill="DCE2EF"/>
          </w:tcPr>
          <w:p>
            <w:pPr>
              <w:spacing w:after="0"/>
              <w:rPr>
                <w:sz w:val="24"/>
                <w:szCs w:val="24"/>
                <w:color w:val="auto"/>
              </w:rPr>
            </w:pPr>
          </w:p>
        </w:tc>
        <w:tc>
          <w:tcPr>
            <w:tcW w:w="66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66.4</w:t>
            </w:r>
          </w:p>
        </w:tc>
        <w:tc>
          <w:tcPr>
            <w:tcW w:w="1560" w:type="dxa"/>
            <w:vAlign w:val="bottom"/>
            <w:tcBorders>
              <w:bottom w:val="single" w:sz="8" w:color="DCE2EF"/>
            </w:tcBorders>
            <w:shd w:val="clear" w:color="auto" w:fill="DCE2EF"/>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120" w:type="dxa"/>
            <w:vAlign w:val="bottom"/>
          </w:tcPr>
          <w:p>
            <w:pPr>
              <w:spacing w:after="0"/>
              <w:rPr>
                <w:sz w:val="24"/>
                <w:szCs w:val="24"/>
                <w:color w:val="auto"/>
              </w:rPr>
            </w:pPr>
          </w:p>
        </w:tc>
        <w:tc>
          <w:tcPr>
            <w:tcW w:w="6280" w:type="dxa"/>
            <w:vAlign w:val="bottom"/>
            <w:gridSpan w:val="2"/>
          </w:tcPr>
          <w:p>
            <w:pPr>
              <w:spacing w:after="0"/>
              <w:rPr>
                <w:sz w:val="20"/>
                <w:szCs w:val="20"/>
                <w:color w:val="auto"/>
              </w:rPr>
            </w:pPr>
            <w:r>
              <w:rPr>
                <w:rFonts w:ascii="Arial" w:cs="Arial" w:eastAsia="Arial" w:hAnsi="Arial"/>
                <w:sz w:val="16"/>
                <w:szCs w:val="16"/>
                <w:color w:val="auto"/>
              </w:rPr>
              <w:t>Diluted</w:t>
            </w:r>
          </w:p>
        </w:tc>
        <w:tc>
          <w:tcPr>
            <w:tcW w:w="860" w:type="dxa"/>
            <w:vAlign w:val="bottom"/>
          </w:tcPr>
          <w:p>
            <w:pPr>
              <w:spacing w:after="0"/>
              <w:rPr>
                <w:sz w:val="24"/>
                <w:szCs w:val="24"/>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63.7</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66.7</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120" w:type="dxa"/>
            <w:vAlign w:val="bottom"/>
            <w:shd w:val="clear" w:color="auto" w:fill="DCE2EF"/>
          </w:tcPr>
          <w:p>
            <w:pPr>
              <w:spacing w:after="0"/>
              <w:rPr>
                <w:sz w:val="24"/>
                <w:szCs w:val="24"/>
                <w:color w:val="auto"/>
              </w:rPr>
            </w:pPr>
          </w:p>
        </w:tc>
        <w:tc>
          <w:tcPr>
            <w:tcW w:w="6280" w:type="dxa"/>
            <w:vAlign w:val="bottom"/>
            <w:gridSpan w:val="2"/>
            <w:shd w:val="clear" w:color="auto" w:fill="DCE2EF"/>
          </w:tcPr>
          <w:p>
            <w:pPr>
              <w:spacing w:after="0"/>
              <w:rPr>
                <w:sz w:val="20"/>
                <w:szCs w:val="20"/>
                <w:color w:val="auto"/>
              </w:rPr>
            </w:pPr>
            <w:r>
              <w:rPr>
                <w:rFonts w:ascii="Arial" w:cs="Arial" w:eastAsia="Arial" w:hAnsi="Arial"/>
                <w:sz w:val="16"/>
                <w:szCs w:val="16"/>
                <w:b w:val="1"/>
                <w:bCs w:val="1"/>
                <w:color w:val="auto"/>
              </w:rPr>
              <w:t>Dividends declared per common share</w:t>
            </w:r>
          </w:p>
        </w:tc>
        <w:tc>
          <w:tcPr>
            <w:tcW w:w="860" w:type="dxa"/>
            <w:vAlign w:val="bottom"/>
            <w:shd w:val="clear" w:color="auto" w:fill="DCE2EF"/>
          </w:tcPr>
          <w:p>
            <w:pPr>
              <w:spacing w:after="0"/>
              <w:rPr>
                <w:sz w:val="24"/>
                <w:szCs w:val="24"/>
                <w:color w:val="auto"/>
              </w:rPr>
            </w:pPr>
          </w:p>
        </w:tc>
        <w:tc>
          <w:tcPr>
            <w:tcW w:w="68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$0.450</w:t>
            </w:r>
          </w:p>
        </w:tc>
        <w:tc>
          <w:tcPr>
            <w:tcW w:w="220" w:type="dxa"/>
            <w:vAlign w:val="bottom"/>
            <w:shd w:val="clear" w:color="auto" w:fill="DCE2EF"/>
          </w:tcPr>
          <w:p>
            <w:pPr>
              <w:spacing w:after="0"/>
              <w:rPr>
                <w:sz w:val="24"/>
                <w:szCs w:val="24"/>
                <w:color w:val="auto"/>
              </w:rPr>
            </w:pPr>
          </w:p>
        </w:tc>
        <w:tc>
          <w:tcPr>
            <w:tcW w:w="860" w:type="dxa"/>
            <w:vAlign w:val="bottom"/>
            <w:shd w:val="clear" w:color="auto" w:fill="DCE2EF"/>
          </w:tcPr>
          <w:p>
            <w:pPr>
              <w:spacing w:after="0"/>
              <w:rPr>
                <w:sz w:val="24"/>
                <w:szCs w:val="24"/>
                <w:color w:val="auto"/>
              </w:rPr>
            </w:pPr>
          </w:p>
        </w:tc>
        <w:tc>
          <w:tcPr>
            <w:tcW w:w="66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$0.440</w:t>
            </w:r>
          </w:p>
        </w:tc>
        <w:tc>
          <w:tcPr>
            <w:tcW w:w="1560" w:type="dxa"/>
            <w:vAlign w:val="bottom"/>
            <w:shd w:val="clear" w:color="auto" w:fill="DCE2EF"/>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20" w:type="dxa"/>
            <w:vAlign w:val="bottom"/>
            <w:shd w:val="clear" w:color="auto" w:fill="DCE2EF"/>
          </w:tcPr>
          <w:p>
            <w:pPr>
              <w:spacing w:after="0" w:line="20" w:lineRule="exact"/>
              <w:rPr>
                <w:sz w:val="1"/>
                <w:szCs w:val="1"/>
                <w:color w:val="auto"/>
              </w:rPr>
            </w:pPr>
          </w:p>
        </w:tc>
        <w:tc>
          <w:tcPr>
            <w:tcW w:w="2240" w:type="dxa"/>
            <w:vAlign w:val="bottom"/>
            <w:shd w:val="clear" w:color="auto" w:fill="DCE2EF"/>
          </w:tcPr>
          <w:p>
            <w:pPr>
              <w:spacing w:after="0" w:line="20" w:lineRule="exact"/>
              <w:rPr>
                <w:sz w:val="1"/>
                <w:szCs w:val="1"/>
                <w:color w:val="auto"/>
              </w:rPr>
            </w:pPr>
          </w:p>
        </w:tc>
        <w:tc>
          <w:tcPr>
            <w:tcW w:w="4040" w:type="dxa"/>
            <w:vAlign w:val="bottom"/>
            <w:shd w:val="clear" w:color="auto" w:fill="DCE2EF"/>
          </w:tcPr>
          <w:p>
            <w:pPr>
              <w:spacing w:after="0" w:line="20" w:lineRule="exact"/>
              <w:rPr>
                <w:sz w:val="1"/>
                <w:szCs w:val="1"/>
                <w:color w:val="auto"/>
              </w:rPr>
            </w:pPr>
          </w:p>
        </w:tc>
        <w:tc>
          <w:tcPr>
            <w:tcW w:w="860" w:type="dxa"/>
            <w:vAlign w:val="bottom"/>
            <w:shd w:val="clear" w:color="auto" w:fill="DCE2EF"/>
          </w:tcPr>
          <w:p>
            <w:pPr>
              <w:spacing w:after="0" w:line="20" w:lineRule="exact"/>
              <w:rPr>
                <w:sz w:val="1"/>
                <w:szCs w:val="1"/>
                <w:color w:val="auto"/>
              </w:rPr>
            </w:pPr>
          </w:p>
        </w:tc>
        <w:tc>
          <w:tcPr>
            <w:tcW w:w="680" w:type="dxa"/>
            <w:vAlign w:val="bottom"/>
            <w:shd w:val="clear" w:color="auto" w:fill="DCE2EF"/>
          </w:tcPr>
          <w:p>
            <w:pPr>
              <w:spacing w:after="0" w:line="20" w:lineRule="exact"/>
              <w:rPr>
                <w:sz w:val="1"/>
                <w:szCs w:val="1"/>
                <w:color w:val="auto"/>
              </w:rPr>
            </w:pPr>
          </w:p>
        </w:tc>
        <w:tc>
          <w:tcPr>
            <w:tcW w:w="220" w:type="dxa"/>
            <w:vAlign w:val="bottom"/>
            <w:shd w:val="clear" w:color="auto" w:fill="DCE2EF"/>
          </w:tcPr>
          <w:p>
            <w:pPr>
              <w:spacing w:after="0" w:line="20" w:lineRule="exact"/>
              <w:rPr>
                <w:sz w:val="1"/>
                <w:szCs w:val="1"/>
                <w:color w:val="auto"/>
              </w:rPr>
            </w:pPr>
          </w:p>
        </w:tc>
        <w:tc>
          <w:tcPr>
            <w:tcW w:w="860" w:type="dxa"/>
            <w:vAlign w:val="bottom"/>
            <w:shd w:val="clear" w:color="auto" w:fill="DCE2EF"/>
          </w:tcPr>
          <w:p>
            <w:pPr>
              <w:spacing w:after="0" w:line="20" w:lineRule="exact"/>
              <w:rPr>
                <w:sz w:val="1"/>
                <w:szCs w:val="1"/>
                <w:color w:val="auto"/>
              </w:rPr>
            </w:pPr>
          </w:p>
        </w:tc>
        <w:tc>
          <w:tcPr>
            <w:tcW w:w="660" w:type="dxa"/>
            <w:vAlign w:val="bottom"/>
            <w:shd w:val="clear" w:color="auto" w:fill="DCE2EF"/>
          </w:tcPr>
          <w:p>
            <w:pPr>
              <w:spacing w:after="0" w:line="20" w:lineRule="exact"/>
              <w:rPr>
                <w:sz w:val="1"/>
                <w:szCs w:val="1"/>
                <w:color w:val="auto"/>
              </w:rPr>
            </w:pPr>
          </w:p>
        </w:tc>
        <w:tc>
          <w:tcPr>
            <w:tcW w:w="1560" w:type="dxa"/>
            <w:vAlign w:val="bottom"/>
            <w:shd w:val="clear" w:color="auto" w:fill="DCE2E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-3954145</wp:posOffset>
            </wp:positionV>
            <wp:extent cx="146050" cy="11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-3954145</wp:posOffset>
            </wp:positionV>
            <wp:extent cx="137160" cy="11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-3025140</wp:posOffset>
            </wp:positionV>
            <wp:extent cx="146050" cy="11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-3025140</wp:posOffset>
            </wp:positionV>
            <wp:extent cx="137160" cy="11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-2333625</wp:posOffset>
            </wp:positionV>
            <wp:extent cx="146050"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-2333625</wp:posOffset>
            </wp:positionV>
            <wp:extent cx="137160" cy="11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5024120</wp:posOffset>
            </wp:positionH>
            <wp:positionV relativeFrom="paragraph">
              <wp:posOffset>-1880870</wp:posOffset>
            </wp:positionV>
            <wp:extent cx="171450" cy="265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1450" cy="265430"/>
                    </a:xfrm>
                    <a:prstGeom prst="rect">
                      <a:avLst/>
                    </a:prstGeom>
                    <a:noFill/>
                  </pic:spPr>
                </pic:pic>
              </a:graphicData>
            </a:graphic>
          </wp:anchor>
        </w:drawing>
        <w:drawing>
          <wp:anchor simplePos="0" relativeHeight="251657728" behindDoc="1" locked="0" layoutInCell="0" allowOverlap="1">
            <wp:simplePos x="0" y="0"/>
            <wp:positionH relativeFrom="column">
              <wp:posOffset>6138545</wp:posOffset>
            </wp:positionH>
            <wp:positionV relativeFrom="paragraph">
              <wp:posOffset>-1880870</wp:posOffset>
            </wp:positionV>
            <wp:extent cx="162560" cy="265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256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0046AD"/>
        </w:rPr>
        <w:t>ABM INDUSTRIES INCORPORATED AND SUBSIDIARIES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SELECTED CONSOLIDATED CASH FLOW INFORMATION (UNAUDITED)</w:t>
      </w:r>
    </w:p>
    <w:p>
      <w:pPr>
        <w:spacing w:after="0" w:line="77" w:lineRule="exact"/>
        <w:rPr>
          <w:sz w:val="20"/>
          <w:szCs w:val="20"/>
          <w:color w:val="auto"/>
        </w:rPr>
      </w:pPr>
    </w:p>
    <w:p>
      <w:pPr>
        <w:jc w:val="right"/>
        <w:ind w:right="500"/>
        <w:spacing w:after="0"/>
        <w:rPr>
          <w:sz w:val="20"/>
          <w:szCs w:val="20"/>
          <w:color w:val="auto"/>
        </w:rPr>
      </w:pPr>
      <w:r>
        <w:rPr>
          <w:rFonts w:ascii="Arial" w:cs="Arial" w:eastAsia="Arial" w:hAnsi="Arial"/>
          <w:sz w:val="16"/>
          <w:szCs w:val="16"/>
          <w:b w:val="1"/>
          <w:bCs w:val="1"/>
          <w:color w:val="auto"/>
        </w:rPr>
        <w:t>Three Months Ended April 30,</w:t>
      </w:r>
    </w:p>
    <w:p>
      <w:pPr>
        <w:sectPr>
          <w:pgSz w:w="11900" w:h="16838" w:orient="portrait"/>
          <w:cols w:equalWidth="0" w:num="1">
            <w:col w:w="11220"/>
          </w:cols>
          <w:pgMar w:left="320" w:top="885" w:right="359" w:bottom="1440" w:gutter="0" w:footer="0" w:header="0"/>
        </w:sectPr>
      </w:pP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i w:val="1"/>
          <w:i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2311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Net cash provided by operating activities</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6"/>
          <w:szCs w:val="16"/>
          <w:color w:val="auto"/>
        </w:rPr>
        <w:t>Additions to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205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6"/>
          <w:szCs w:val="16"/>
          <w:color w:val="auto"/>
        </w:rPr>
        <w:t>Other</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0"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Proceeds from issuance of share-based compensation awards, net</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Repurchases of common stock, including excise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974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Dividends paid</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6"/>
          <w:szCs w:val="16"/>
          <w:color w:val="auto"/>
        </w:rPr>
        <w:t>Borrowings from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968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Repayment of borrowings from debt</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6"/>
          <w:szCs w:val="16"/>
          <w:color w:val="auto"/>
        </w:rPr>
        <w:t>Changes in book cash overdrafts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968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6"/>
          <w:szCs w:val="16"/>
          <w:color w:val="auto"/>
        </w:rPr>
        <w:t>Financing of energy savings performance contracts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Repayment of finance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2228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Net cash used in financing activities</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Effect of exchange rate changes on cash and cash equivalents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ind w:right="21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w:t>
      </w:r>
    </w:p>
    <w:p>
      <w:pPr>
        <w:spacing w:after="0" w:line="127" w:lineRule="exact"/>
        <w:rPr>
          <w:sz w:val="20"/>
          <w:szCs w:val="20"/>
          <w:color w:val="auto"/>
        </w:rPr>
      </w:pPr>
    </w:p>
    <w:p>
      <w:pPr>
        <w:ind w:left="560" w:hanging="368"/>
        <w:spacing w:after="0"/>
        <w:tabs>
          <w:tab w:leader="none" w:pos="560" w:val="left"/>
        </w:tabs>
        <w:numPr>
          <w:ilvl w:val="0"/>
          <w:numId w:val="6"/>
        </w:numPr>
        <w:rPr>
          <w:rFonts w:ascii="Arial" w:cs="Arial" w:eastAsia="Arial" w:hAnsi="Arial"/>
          <w:sz w:val="15"/>
          <w:szCs w:val="15"/>
          <w:color w:val="auto"/>
        </w:rPr>
      </w:pPr>
      <w:r>
        <w:rPr>
          <w:rFonts w:ascii="Arial" w:cs="Arial" w:eastAsia="Arial" w:hAnsi="Arial"/>
          <w:sz w:val="15"/>
          <w:szCs w:val="15"/>
          <w:color w:val="auto"/>
        </w:rPr>
        <w:t>117.0</w:t>
      </w:r>
    </w:p>
    <w:p>
      <w:pPr>
        <w:spacing w:after="0" w:line="151" w:lineRule="exact"/>
        <w:rPr>
          <w:rFonts w:ascii="Arial" w:cs="Arial" w:eastAsia="Arial" w:hAnsi="Arial"/>
          <w:sz w:val="15"/>
          <w:szCs w:val="15"/>
          <w:color w:val="auto"/>
        </w:rPr>
      </w:pPr>
    </w:p>
    <w:p>
      <w:pPr>
        <w:ind w:left="520"/>
        <w:spacing w:after="0"/>
        <w:rPr>
          <w:rFonts w:ascii="Arial" w:cs="Arial" w:eastAsia="Arial" w:hAnsi="Arial"/>
          <w:sz w:val="15"/>
          <w:szCs w:val="15"/>
          <w:color w:val="auto"/>
        </w:rPr>
      </w:pPr>
      <w:r>
        <w:rPr>
          <w:rFonts w:ascii="Arial" w:cs="Arial" w:eastAsia="Arial" w:hAnsi="Arial"/>
          <w:sz w:val="16"/>
          <w:szCs w:val="16"/>
          <w:color w:val="auto"/>
        </w:rPr>
        <w:t>(15.6)</w:t>
      </w:r>
    </w:p>
    <w:p>
      <w:pPr>
        <w:spacing w:after="0" w:line="127"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0.1</w:t>
      </w:r>
    </w:p>
    <w:p>
      <w:pPr>
        <w:spacing w:after="0" w:line="113" w:lineRule="exact"/>
        <w:rPr>
          <w:sz w:val="20"/>
          <w:szCs w:val="20"/>
          <w:color w:val="auto"/>
        </w:rPr>
      </w:pPr>
    </w:p>
    <w:p>
      <w:pPr>
        <w:ind w:left="520" w:hanging="358"/>
        <w:spacing w:after="0"/>
        <w:tabs>
          <w:tab w:leader="none" w:pos="520" w:val="left"/>
        </w:tabs>
        <w:numPr>
          <w:ilvl w:val="0"/>
          <w:numId w:val="7"/>
        </w:numPr>
        <w:rPr>
          <w:rFonts w:ascii="Arial" w:cs="Arial" w:eastAsia="Arial" w:hAnsi="Arial"/>
          <w:sz w:val="16"/>
          <w:szCs w:val="16"/>
          <w:color w:val="auto"/>
        </w:rPr>
      </w:pPr>
      <w:r>
        <w:rPr>
          <w:rFonts w:ascii="Arial" w:cs="Arial" w:eastAsia="Arial" w:hAnsi="Arial"/>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46355</wp:posOffset>
            </wp:positionV>
            <wp:extent cx="9855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85520" cy="825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72390</wp:posOffset>
            </wp:positionV>
            <wp:extent cx="9855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134"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0.8</w:t>
      </w:r>
    </w:p>
    <w:p>
      <w:pPr>
        <w:spacing w:after="0" w:line="127"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(23.8)</w:t>
      </w:r>
    </w:p>
    <w:p>
      <w:pPr>
        <w:spacing w:after="0" w:line="127"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(14.1)</w:t>
      </w:r>
    </w:p>
    <w:p>
      <w:pPr>
        <w:spacing w:after="0" w:line="127"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255.0</w:t>
      </w:r>
    </w:p>
    <w:p>
      <w:pPr>
        <w:spacing w:after="0" w:line="127"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(313.1)</w:t>
      </w:r>
    </w:p>
    <w:p>
      <w:pPr>
        <w:spacing w:after="0" w:line="127"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(2.2)</w:t>
      </w:r>
    </w:p>
    <w:p>
      <w:pPr>
        <w:spacing w:after="0" w:line="127"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w:t>
      </w:r>
    </w:p>
    <w:p>
      <w:pPr>
        <w:spacing w:after="0" w:line="127"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38100</wp:posOffset>
            </wp:positionV>
            <wp:extent cx="9855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93" w:lineRule="exact"/>
        <w:rPr>
          <w:sz w:val="20"/>
          <w:szCs w:val="20"/>
          <w:color w:val="auto"/>
        </w:rPr>
      </w:pPr>
    </w:p>
    <w:p>
      <w:pPr>
        <w:ind w:left="520" w:hanging="358"/>
        <w:spacing w:after="0"/>
        <w:tabs>
          <w:tab w:leader="none" w:pos="520" w:val="left"/>
        </w:tabs>
        <w:numPr>
          <w:ilvl w:val="0"/>
          <w:numId w:val="8"/>
        </w:numPr>
        <w:rPr>
          <w:rFonts w:ascii="Arial" w:cs="Arial" w:eastAsia="Arial" w:hAnsi="Arial"/>
          <w:sz w:val="16"/>
          <w:szCs w:val="16"/>
          <w:color w:val="auto"/>
        </w:rPr>
      </w:pPr>
      <w:r>
        <w:rPr>
          <w:rFonts w:ascii="Arial" w:cs="Arial" w:eastAsia="Arial" w:hAnsi="Arial"/>
          <w:sz w:val="16"/>
          <w:szCs w:val="16"/>
          <w:color w:val="auto"/>
        </w:rPr>
        <w:t>(98.4)</w:t>
      </w:r>
    </w:p>
    <w:p>
      <w:pPr>
        <w:spacing w:after="0" w:line="153"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5"/>
          <w:szCs w:val="15"/>
          <w:color w:val="auto"/>
        </w:rPr>
        <w:t>(0.4)</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2023</w:t>
      </w:r>
    </w:p>
    <w:p>
      <w:pPr>
        <w:spacing w:after="0" w:line="127" w:lineRule="exact"/>
        <w:rPr>
          <w:sz w:val="20"/>
          <w:szCs w:val="20"/>
          <w:color w:val="auto"/>
        </w:rPr>
      </w:pPr>
    </w:p>
    <w:p>
      <w:pPr>
        <w:ind w:left="640" w:hanging="368"/>
        <w:spacing w:after="0"/>
        <w:tabs>
          <w:tab w:leader="none" w:pos="640" w:val="left"/>
        </w:tabs>
        <w:numPr>
          <w:ilvl w:val="0"/>
          <w:numId w:val="9"/>
        </w:numPr>
        <w:rPr>
          <w:rFonts w:ascii="Arial" w:cs="Arial" w:eastAsia="Arial" w:hAnsi="Arial"/>
          <w:sz w:val="15"/>
          <w:szCs w:val="15"/>
          <w:color w:val="auto"/>
        </w:rPr>
      </w:pPr>
      <w:r>
        <w:rPr>
          <w:rFonts w:ascii="Arial" w:cs="Arial" w:eastAsia="Arial" w:hAnsi="Arial"/>
          <w:sz w:val="15"/>
          <w:szCs w:val="15"/>
          <w:color w:val="auto"/>
        </w:rPr>
        <w:t>26.0</w:t>
      </w:r>
    </w:p>
    <w:p>
      <w:pPr>
        <w:spacing w:after="0" w:line="151" w:lineRule="exact"/>
        <w:rPr>
          <w:rFonts w:ascii="Arial" w:cs="Arial" w:eastAsia="Arial" w:hAnsi="Arial"/>
          <w:sz w:val="15"/>
          <w:szCs w:val="15"/>
          <w:color w:val="auto"/>
        </w:rPr>
      </w:pPr>
    </w:p>
    <w:p>
      <w:pPr>
        <w:ind w:left="620"/>
        <w:spacing w:after="0"/>
        <w:rPr>
          <w:rFonts w:ascii="Arial" w:cs="Arial" w:eastAsia="Arial" w:hAnsi="Arial"/>
          <w:sz w:val="15"/>
          <w:szCs w:val="15"/>
          <w:color w:val="auto"/>
        </w:rPr>
      </w:pPr>
      <w:r>
        <w:rPr>
          <w:rFonts w:ascii="Arial" w:cs="Arial" w:eastAsia="Arial" w:hAnsi="Arial"/>
          <w:sz w:val="15"/>
          <w:szCs w:val="15"/>
          <w:color w:val="auto"/>
        </w:rPr>
        <w:t>(9.9)</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0.3</w:t>
      </w:r>
    </w:p>
    <w:p>
      <w:pPr>
        <w:spacing w:after="0" w:line="113" w:lineRule="exact"/>
        <w:rPr>
          <w:sz w:val="20"/>
          <w:szCs w:val="20"/>
          <w:color w:val="auto"/>
        </w:rPr>
      </w:pPr>
    </w:p>
    <w:p>
      <w:pPr>
        <w:ind w:left="620" w:hanging="366"/>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(9.6)</w:t>
      </w:r>
    </w:p>
    <w:p>
      <w:pPr>
        <w:spacing w:after="0" w:line="165" w:lineRule="exact"/>
        <w:rPr>
          <w:rFonts w:ascii="Arial" w:cs="Arial" w:eastAsia="Arial" w:hAnsi="Arial"/>
          <w:sz w:val="15"/>
          <w:szCs w:val="15"/>
          <w:color w:val="auto"/>
        </w:rPr>
      </w:pPr>
    </w:p>
    <w:p>
      <w:pPr>
        <w:ind w:left="720"/>
        <w:spacing w:after="0"/>
        <w:rPr>
          <w:rFonts w:ascii="Arial" w:cs="Arial" w:eastAsia="Arial" w:hAnsi="Arial"/>
          <w:sz w:val="15"/>
          <w:szCs w:val="15"/>
          <w:color w:val="auto"/>
        </w:rPr>
      </w:pPr>
      <w:r>
        <w:rPr>
          <w:rFonts w:ascii="Arial" w:cs="Arial" w:eastAsia="Arial" w:hAnsi="Arial"/>
          <w:sz w:val="15"/>
          <w:szCs w:val="15"/>
          <w:color w:val="auto"/>
        </w:rPr>
        <w:t>0.7</w:t>
      </w:r>
    </w:p>
    <w:p>
      <w:pPr>
        <w:spacing w:after="0" w:line="138" w:lineRule="exact"/>
        <w:rPr>
          <w:rFonts w:ascii="Arial" w:cs="Arial" w:eastAsia="Arial" w:hAnsi="Arial"/>
          <w:sz w:val="15"/>
          <w:szCs w:val="15"/>
          <w:color w:val="auto"/>
        </w:rPr>
      </w:pPr>
    </w:p>
    <w:p>
      <w:pPr>
        <w:ind w:left="780"/>
        <w:spacing w:after="0"/>
        <w:rPr>
          <w:rFonts w:ascii="Arial" w:cs="Arial" w:eastAsia="Arial" w:hAnsi="Arial"/>
          <w:sz w:val="15"/>
          <w:szCs w:val="15"/>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-364490</wp:posOffset>
            </wp:positionV>
            <wp:extent cx="9861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86155" cy="8255"/>
                    </a:xfrm>
                    <a:prstGeom prst="rect">
                      <a:avLst/>
                    </a:prstGeom>
                    <a:noFill/>
                  </pic:spPr>
                </pic:pic>
              </a:graphicData>
            </a:graphic>
          </wp:anchor>
        </w:drawing>
        <w:drawing>
          <wp:anchor simplePos="0" relativeHeight="251657728" behindDoc="1" locked="0" layoutInCell="0" allowOverlap="1">
            <wp:simplePos x="0" y="0"/>
            <wp:positionH relativeFrom="column">
              <wp:posOffset>-375920</wp:posOffset>
            </wp:positionH>
            <wp:positionV relativeFrom="paragraph">
              <wp:posOffset>-338455</wp:posOffset>
            </wp:positionV>
            <wp:extent cx="9861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(14.5)</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311.0</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(312.1)</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(17.8)</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0.1</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38100</wp:posOffset>
            </wp:positionV>
            <wp:extent cx="9861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93" w:lineRule="exact"/>
        <w:rPr>
          <w:sz w:val="20"/>
          <w:szCs w:val="20"/>
          <w:color w:val="auto"/>
        </w:rPr>
      </w:pPr>
    </w:p>
    <w:p>
      <w:pPr>
        <w:ind w:left="520" w:hanging="356"/>
        <w:spacing w:after="0"/>
        <w:tabs>
          <w:tab w:leader="none" w:pos="5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(33.4)</w:t>
      </w:r>
    </w:p>
    <w:p>
      <w:pPr>
        <w:spacing w:after="0" w:line="153"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5"/>
          <w:szCs w:val="15"/>
          <w:color w:val="auto"/>
        </w:rPr>
        <w:t>0.4</w:t>
      </w:r>
    </w:p>
    <w:p>
      <w:pPr>
        <w:sectPr>
          <w:pgSz w:w="11900" w:h="16838" w:orient="portrait"/>
          <w:cols w:equalWidth="0" w:num="3">
            <w:col w:w="7780" w:space="720"/>
            <w:col w:w="1060" w:space="720"/>
            <w:col w:w="940"/>
          </w:cols>
          <w:pgMar w:left="320" w:top="885" w:right="35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20"/>
          <w:szCs w:val="20"/>
          <w:b w:val="1"/>
          <w:bCs w:val="1"/>
          <w:color w:val="0046AD"/>
        </w:rPr>
        <w:t>ABM INDUSTRIES INCORPORATED AND SUBSIDIARIES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SELECTED CONSOLIDATED CASH FLOW INFORMATION (UNAUDITED)</w:t>
      </w:r>
    </w:p>
    <w:p>
      <w:pPr>
        <w:spacing w:after="0" w:line="77" w:lineRule="exact"/>
        <w:rPr>
          <w:sz w:val="20"/>
          <w:szCs w:val="20"/>
          <w:color w:val="auto"/>
        </w:rPr>
      </w:pPr>
    </w:p>
    <w:p>
      <w:pPr>
        <w:jc w:val="right"/>
        <w:ind w:right="500"/>
        <w:spacing w:after="0"/>
        <w:rPr>
          <w:sz w:val="20"/>
          <w:szCs w:val="20"/>
          <w:color w:val="auto"/>
        </w:rPr>
      </w:pPr>
      <w:r>
        <w:rPr>
          <w:rFonts w:ascii="Arial" w:cs="Arial" w:eastAsia="Arial" w:hAnsi="Arial"/>
          <w:sz w:val="16"/>
          <w:szCs w:val="16"/>
          <w:b w:val="1"/>
          <w:bCs w:val="1"/>
          <w:color w:val="auto"/>
        </w:rPr>
        <w:t>Six Months Ended April 30,</w:t>
      </w:r>
    </w:p>
    <w:p>
      <w:pPr>
        <w:sectPr>
          <w:pgSz w:w="11900" w:h="16838" w:orient="portrait"/>
          <w:cols w:equalWidth="0" w:num="1">
            <w:col w:w="11140"/>
          </w:cols>
          <w:pgMar w:left="320" w:top="885" w:right="439" w:bottom="1440" w:gutter="0" w:footer="0" w:header="0"/>
        </w:sectPr>
      </w:pPr>
    </w:p>
    <w:p>
      <w:pPr>
        <w:spacing w:after="0" w:line="2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265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Net cash provided by (used in) operating activities</w:t>
      </w:r>
      <w:r>
        <w:rPr>
          <w:rFonts w:ascii="Arial" w:cs="Arial" w:eastAsia="Arial" w:hAnsi="Arial"/>
          <w:sz w:val="21"/>
          <w:szCs w:val="21"/>
          <w:b w:val="1"/>
          <w:bCs w:val="1"/>
          <w:color w:val="auto"/>
          <w:vertAlign w:val="superscript"/>
        </w:rPr>
        <w:t>(a)</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Additions to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2400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Other</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974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Taxes withheld from issuance of share-based compensation awards, net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Repurchases of common stock, including excise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2317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Dividends paid</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Borrowings from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2311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Repayment of borrowings from debt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Changes in book cash overdrafts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2311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Financing of energy savings performance contracts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Repayment of finance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2571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Net cash (used in) provided by financing activities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Effect of exchange rate changes on cash and cash equivalents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167"/>
        <w:spacing w:after="0"/>
        <w:rPr>
          <w:sz w:val="20"/>
          <w:szCs w:val="20"/>
          <w:color w:val="auto"/>
        </w:rPr>
      </w:pPr>
      <w:r>
        <w:rPr>
          <w:rFonts w:ascii="Arial" w:cs="Arial" w:eastAsia="Arial" w:hAnsi="Arial"/>
          <w:sz w:val="16"/>
          <w:szCs w:val="16"/>
          <w:b w:val="1"/>
          <w:bCs w:val="1"/>
          <w:color w:val="auto"/>
        </w:rPr>
        <w:t>2024</w:t>
      </w:r>
    </w:p>
    <w:p>
      <w:pPr>
        <w:spacing w:after="0" w:line="181" w:lineRule="exact"/>
        <w:rPr>
          <w:sz w:val="20"/>
          <w:szCs w:val="20"/>
          <w:color w:val="auto"/>
        </w:rPr>
      </w:pPr>
    </w:p>
    <w:p>
      <w:pPr>
        <w:ind w:left="607" w:hanging="577"/>
        <w:spacing w:after="0"/>
        <w:tabs>
          <w:tab w:leader="none" w:pos="607" w:val="left"/>
        </w:tabs>
        <w:numPr>
          <w:ilvl w:val="0"/>
          <w:numId w:val="12"/>
        </w:numPr>
        <w:rPr>
          <w:rFonts w:ascii="Arial" w:cs="Arial" w:eastAsia="Arial" w:hAnsi="Arial"/>
          <w:sz w:val="15"/>
          <w:szCs w:val="15"/>
          <w:color w:val="auto"/>
        </w:rPr>
      </w:pPr>
      <w:r>
        <w:rPr>
          <w:rFonts w:ascii="Arial" w:cs="Arial" w:eastAsia="Arial" w:hAnsi="Arial"/>
          <w:sz w:val="15"/>
          <w:szCs w:val="15"/>
          <w:color w:val="auto"/>
        </w:rPr>
        <w:t>116.9</w:t>
      </w:r>
    </w:p>
    <w:p>
      <w:pPr>
        <w:spacing w:after="0" w:line="192" w:lineRule="exact"/>
        <w:rPr>
          <w:rFonts w:ascii="Arial" w:cs="Arial" w:eastAsia="Arial" w:hAnsi="Arial"/>
          <w:sz w:val="15"/>
          <w:szCs w:val="15"/>
          <w:color w:val="auto"/>
        </w:rPr>
      </w:pPr>
    </w:p>
    <w:p>
      <w:pPr>
        <w:ind w:left="587"/>
        <w:spacing w:after="0"/>
        <w:rPr>
          <w:rFonts w:ascii="Arial" w:cs="Arial" w:eastAsia="Arial" w:hAnsi="Arial"/>
          <w:sz w:val="15"/>
          <w:szCs w:val="15"/>
          <w:color w:val="auto"/>
        </w:rPr>
      </w:pPr>
      <w:r>
        <w:rPr>
          <w:rFonts w:ascii="Arial" w:cs="Arial" w:eastAsia="Arial" w:hAnsi="Arial"/>
          <w:sz w:val="16"/>
          <w:szCs w:val="16"/>
          <w:color w:val="auto"/>
        </w:rPr>
        <w:t>(29.1)</w:t>
      </w:r>
    </w:p>
    <w:p>
      <w:pPr>
        <w:spacing w:after="0" w:line="181" w:lineRule="exact"/>
        <w:rPr>
          <w:sz w:val="20"/>
          <w:szCs w:val="20"/>
          <w:color w:val="auto"/>
        </w:rPr>
      </w:pPr>
    </w:p>
    <w:p>
      <w:pPr>
        <w:ind w:left="787"/>
        <w:spacing w:after="0"/>
        <w:rPr>
          <w:sz w:val="20"/>
          <w:szCs w:val="20"/>
          <w:color w:val="auto"/>
        </w:rPr>
      </w:pPr>
      <w:r>
        <w:rPr>
          <w:rFonts w:ascii="Arial" w:cs="Arial" w:eastAsia="Arial" w:hAnsi="Arial"/>
          <w:sz w:val="15"/>
          <w:szCs w:val="15"/>
          <w:color w:val="auto"/>
        </w:rPr>
        <w:t>0.6</w:t>
      </w:r>
    </w:p>
    <w:p>
      <w:pPr>
        <w:spacing w:after="0" w:line="179" w:lineRule="exact"/>
        <w:rPr>
          <w:sz w:val="20"/>
          <w:szCs w:val="20"/>
          <w:color w:val="auto"/>
        </w:rPr>
      </w:pPr>
    </w:p>
    <w:p>
      <w:pPr>
        <w:ind w:left="587" w:hanging="587"/>
        <w:spacing w:after="0"/>
        <w:tabs>
          <w:tab w:leader="none" w:pos="587" w:val="left"/>
        </w:tabs>
        <w:numPr>
          <w:ilvl w:val="0"/>
          <w:numId w:val="13"/>
        </w:numPr>
        <w:rPr>
          <w:rFonts w:ascii="Arial" w:cs="Arial" w:eastAsia="Arial" w:hAnsi="Arial"/>
          <w:sz w:val="16"/>
          <w:szCs w:val="16"/>
          <w:color w:val="auto"/>
        </w:rPr>
      </w:pPr>
      <w:r>
        <w:rPr>
          <w:rFonts w:ascii="Arial" w:cs="Arial" w:eastAsia="Arial" w:hAnsi="Arial"/>
          <w:sz w:val="16"/>
          <w:szCs w:val="16"/>
          <w:color w:val="auto"/>
        </w:rPr>
        <w:t>(28.6)</w:t>
      </w:r>
    </w:p>
    <w:p>
      <w:pPr>
        <w:spacing w:after="0" w:line="194" w:lineRule="exact"/>
        <w:rPr>
          <w:rFonts w:ascii="Arial" w:cs="Arial" w:eastAsia="Arial" w:hAnsi="Arial"/>
          <w:sz w:val="16"/>
          <w:szCs w:val="16"/>
          <w:color w:val="auto"/>
        </w:rPr>
      </w:pPr>
    </w:p>
    <w:p>
      <w:pPr>
        <w:ind w:left="667"/>
        <w:spacing w:after="0"/>
        <w:rPr>
          <w:rFonts w:ascii="Arial" w:cs="Arial" w:eastAsia="Arial" w:hAnsi="Arial"/>
          <w:sz w:val="16"/>
          <w:szCs w:val="16"/>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-193040</wp:posOffset>
            </wp:positionV>
            <wp:extent cx="9772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77265" cy="825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-167005</wp:posOffset>
            </wp:positionV>
            <wp:extent cx="9772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161"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(23.8)</w:t>
      </w:r>
    </w:p>
    <w:p>
      <w:pPr>
        <w:spacing w:after="0" w:line="181"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(28.3)</w:t>
      </w:r>
    </w:p>
    <w:p>
      <w:pPr>
        <w:spacing w:after="0" w:line="181"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556.0</w:t>
      </w:r>
    </w:p>
    <w:p>
      <w:pPr>
        <w:spacing w:after="0" w:line="181"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(597.3)</w:t>
      </w:r>
    </w:p>
    <w:p>
      <w:pPr>
        <w:spacing w:after="0" w:line="181"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6.0</w:t>
      </w:r>
    </w:p>
    <w:p>
      <w:pPr>
        <w:spacing w:after="0" w:line="181"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w:t>
      </w:r>
    </w:p>
    <w:p>
      <w:pPr>
        <w:spacing w:after="0" w:line="181"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38100</wp:posOffset>
            </wp:positionV>
            <wp:extent cx="9772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spacing w:after="0" w:line="147" w:lineRule="exact"/>
        <w:rPr>
          <w:sz w:val="20"/>
          <w:szCs w:val="20"/>
          <w:color w:val="auto"/>
        </w:rPr>
      </w:pPr>
    </w:p>
    <w:p>
      <w:pPr>
        <w:ind w:left="587" w:hanging="587"/>
        <w:spacing w:after="0"/>
        <w:tabs>
          <w:tab w:leader="none" w:pos="587" w:val="left"/>
        </w:tabs>
        <w:numPr>
          <w:ilvl w:val="0"/>
          <w:numId w:val="14"/>
        </w:numPr>
        <w:rPr>
          <w:rFonts w:ascii="Arial" w:cs="Arial" w:eastAsia="Arial" w:hAnsi="Arial"/>
          <w:sz w:val="16"/>
          <w:szCs w:val="16"/>
          <w:color w:val="auto"/>
        </w:rPr>
      </w:pPr>
      <w:r>
        <w:rPr>
          <w:rFonts w:ascii="Arial" w:cs="Arial" w:eastAsia="Arial" w:hAnsi="Arial"/>
          <w:sz w:val="16"/>
          <w:szCs w:val="16"/>
          <w:color w:val="auto"/>
        </w:rPr>
        <w:t>(98.0)</w:t>
      </w:r>
    </w:p>
    <w:p>
      <w:pPr>
        <w:spacing w:after="0" w:line="194" w:lineRule="exact"/>
        <w:rPr>
          <w:rFonts w:ascii="Arial" w:cs="Arial" w:eastAsia="Arial" w:hAnsi="Arial"/>
          <w:sz w:val="16"/>
          <w:szCs w:val="16"/>
          <w:color w:val="auto"/>
        </w:rPr>
      </w:pPr>
    </w:p>
    <w:p>
      <w:pPr>
        <w:ind w:left="787"/>
        <w:spacing w:after="0"/>
        <w:rPr>
          <w:rFonts w:ascii="Arial" w:cs="Arial" w:eastAsia="Arial" w:hAnsi="Arial"/>
          <w:sz w:val="16"/>
          <w:szCs w:val="16"/>
          <w:color w:val="auto"/>
        </w:rPr>
      </w:pPr>
      <w:r>
        <w:rPr>
          <w:rFonts w:ascii="Arial" w:cs="Arial" w:eastAsia="Arial" w:hAnsi="Arial"/>
          <w:sz w:val="15"/>
          <w:szCs w:val="15"/>
          <w:color w:val="auto"/>
        </w:rPr>
        <w:t>0.8</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2023</w:t>
      </w:r>
    </w:p>
    <w:p>
      <w:pPr>
        <w:spacing w:after="0" w:line="181" w:lineRule="exact"/>
        <w:rPr>
          <w:sz w:val="20"/>
          <w:szCs w:val="20"/>
          <w:color w:val="auto"/>
        </w:rPr>
      </w:pPr>
    </w:p>
    <w:p>
      <w:pPr>
        <w:ind w:left="600" w:hanging="592"/>
        <w:spacing w:after="0"/>
        <w:tabs>
          <w:tab w:leader="none" w:pos="6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(45.0)</w:t>
      </w:r>
    </w:p>
    <w:p>
      <w:pPr>
        <w:spacing w:after="0" w:line="180"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6"/>
          <w:szCs w:val="16"/>
          <w:color w:val="auto"/>
        </w:rPr>
        <w:t>(23.8)</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15"/>
          <w:szCs w:val="15"/>
          <w:color w:val="auto"/>
        </w:rPr>
        <w:t>1.6</w:t>
      </w:r>
    </w:p>
    <w:p>
      <w:pPr>
        <w:spacing w:after="0" w:line="179" w:lineRule="exact"/>
        <w:rPr>
          <w:sz w:val="20"/>
          <w:szCs w:val="20"/>
          <w:color w:val="auto"/>
        </w:rPr>
      </w:pPr>
    </w:p>
    <w:p>
      <w:pPr>
        <w:ind w:left="600" w:hanging="592"/>
        <w:spacing w:after="0"/>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(22.2)</w:t>
      </w:r>
    </w:p>
    <w:p>
      <w:pPr>
        <w:spacing w:after="0" w:line="194"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6"/>
          <w:szCs w:val="16"/>
          <w:color w:val="auto"/>
        </w:rPr>
        <w:t>(12.0)</w:t>
      </w:r>
    </w:p>
    <w:p>
      <w:pPr>
        <w:spacing w:after="0" w:line="180"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w:t>
      </w:r>
    </w:p>
    <w:p>
      <w:pPr>
        <w:spacing w:after="0" w:line="180"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6"/>
          <w:szCs w:val="16"/>
          <w:color w:val="auto"/>
        </w:rPr>
        <w:t>(29.0)</w:t>
      </w:r>
    </w:p>
    <w:p>
      <w:pPr>
        <w:spacing w:after="0" w:line="180"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5"/>
          <w:szCs w:val="15"/>
          <w:color w:val="auto"/>
        </w:rPr>
        <w:t>575.5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-880110</wp:posOffset>
            </wp:positionV>
            <wp:extent cx="9683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-257175</wp:posOffset>
            </wp:positionH>
            <wp:positionV relativeFrom="paragraph">
              <wp:posOffset>-854075</wp:posOffset>
            </wp:positionV>
            <wp:extent cx="9683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(459.8)</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(11.0)</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0.5</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38100</wp:posOffset>
            </wp:positionV>
            <wp:extent cx="9683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147" w:lineRule="exact"/>
        <w:rPr>
          <w:sz w:val="20"/>
          <w:szCs w:val="20"/>
          <w:color w:val="auto"/>
        </w:rPr>
      </w:pPr>
    </w:p>
    <w:p>
      <w:pPr>
        <w:ind w:left="700" w:hanging="359"/>
        <w:spacing w:after="0"/>
        <w:tabs>
          <w:tab w:leader="none" w:pos="7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62.8</w:t>
      </w:r>
    </w:p>
    <w:p>
      <w:pPr>
        <w:spacing w:after="0" w:line="194" w:lineRule="exact"/>
        <w:rPr>
          <w:rFonts w:ascii="Arial" w:cs="Arial" w:eastAsia="Arial" w:hAnsi="Arial"/>
          <w:sz w:val="16"/>
          <w:szCs w:val="16"/>
          <w:color w:val="auto"/>
        </w:rPr>
      </w:pPr>
    </w:p>
    <w:p>
      <w:pPr>
        <w:ind w:left="800"/>
        <w:spacing w:after="0"/>
        <w:rPr>
          <w:rFonts w:ascii="Arial" w:cs="Arial" w:eastAsia="Arial" w:hAnsi="Arial"/>
          <w:sz w:val="16"/>
          <w:szCs w:val="16"/>
          <w:color w:val="auto"/>
        </w:rPr>
      </w:pPr>
      <w:r>
        <w:rPr>
          <w:rFonts w:ascii="Arial" w:cs="Arial" w:eastAsia="Arial" w:hAnsi="Arial"/>
          <w:sz w:val="15"/>
          <w:szCs w:val="15"/>
          <w:color w:val="auto"/>
        </w:rPr>
        <w:t>2.6</w:t>
      </w:r>
    </w:p>
    <w:p>
      <w:pPr>
        <w:spacing w:after="0" w:line="195" w:lineRule="exact"/>
        <w:rPr>
          <w:sz w:val="20"/>
          <w:szCs w:val="20"/>
          <w:color w:val="auto"/>
        </w:rPr>
      </w:pPr>
    </w:p>
    <w:p>
      <w:pPr>
        <w:sectPr>
          <w:pgSz w:w="11900" w:h="16838" w:orient="portrait"/>
          <w:cols w:equalWidth="0" w:num="3">
            <w:col w:w="7653" w:space="720"/>
            <w:col w:w="1027" w:space="720"/>
            <w:col w:w="1020"/>
          </w:cols>
          <w:pgMar w:left="320" w:top="885" w:right="439" w:bottom="1440" w:gutter="0" w:footer="0" w:header="0"/>
          <w:type w:val="continuous"/>
        </w:sectPr>
      </w:pPr>
    </w:p>
    <w:p>
      <w:pPr>
        <w:ind w:left="200" w:hanging="192"/>
        <w:spacing w:after="0"/>
        <w:tabs>
          <w:tab w:leader="none" w:pos="20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The six months ended April 30, 2023, include a $66 million payment for deferred payroll taxes under the Coronavirus Aid Relief and Economic Security Act (“CARES Act”)</w:t>
      </w:r>
    </w:p>
    <w:p>
      <w:pPr>
        <w:spacing w:after="0" w:line="2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85" w:right="4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20"/>
          <w:szCs w:val="20"/>
          <w:b w:val="1"/>
          <w:bCs w:val="1"/>
          <w:color w:val="0046AD"/>
        </w:rPr>
        <w:t>ABM INDUSTRIES INCORPORATED AND SUBSIDIARIES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CONDENSED CONSOLIDATED BALANCE SHEET INFORMATION (UNAUDITED)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gridSpan w:val="3"/>
          </w:tcPr>
          <w:p>
            <w:pPr>
              <w:ind w:left="60"/>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1680" w:type="dxa"/>
            <w:vAlign w:val="bottom"/>
            <w:gridSpan w:val="3"/>
          </w:tcPr>
          <w:p>
            <w:pPr>
              <w:jc w:val="right"/>
              <w:ind w:right="239"/>
              <w:spacing w:after="0"/>
              <w:rPr>
                <w:sz w:val="20"/>
                <w:szCs w:val="20"/>
                <w:color w:val="auto"/>
              </w:rPr>
            </w:pPr>
            <w:r>
              <w:rPr>
                <w:rFonts w:ascii="Arial" w:cs="Arial" w:eastAsia="Arial" w:hAnsi="Arial"/>
                <w:sz w:val="16"/>
                <w:szCs w:val="16"/>
                <w:b w:val="1"/>
                <w:bCs w:val="1"/>
                <w:color w:val="auto"/>
              </w:rPr>
              <w:t>April 30, 2024</w:t>
            </w:r>
          </w:p>
        </w:tc>
        <w:tc>
          <w:tcPr>
            <w:tcW w:w="220" w:type="dxa"/>
            <w:vAlign w:val="bottom"/>
          </w:tcPr>
          <w:p>
            <w:pPr>
              <w:spacing w:after="0"/>
              <w:rPr>
                <w:sz w:val="17"/>
                <w:szCs w:val="17"/>
                <w:color w:val="auto"/>
              </w:rPr>
            </w:pPr>
          </w:p>
        </w:tc>
        <w:tc>
          <w:tcPr>
            <w:tcW w:w="168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October 31, 2023</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76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ASSETS</w:t>
            </w:r>
          </w:p>
        </w:tc>
        <w:tc>
          <w:tcPr>
            <w:tcW w:w="920" w:type="dxa"/>
            <w:vAlign w:val="bottom"/>
            <w:tcBorders>
              <w:bottom w:val="single" w:sz="8" w:color="DCE2EF"/>
            </w:tcBorders>
            <w:shd w:val="clear" w:color="auto" w:fill="DCE2EF"/>
          </w:tcPr>
          <w:p>
            <w:pPr>
              <w:spacing w:after="0"/>
              <w:rPr>
                <w:sz w:val="23"/>
                <w:szCs w:val="23"/>
                <w:color w:val="auto"/>
              </w:rPr>
            </w:pPr>
          </w:p>
        </w:tc>
        <w:tc>
          <w:tcPr>
            <w:tcW w:w="180" w:type="dxa"/>
            <w:vAlign w:val="bottom"/>
            <w:tcBorders>
              <w:bottom w:val="single" w:sz="8" w:color="DCE2EF"/>
            </w:tcBorders>
            <w:shd w:val="clear" w:color="auto" w:fill="DCE2EF"/>
          </w:tcPr>
          <w:p>
            <w:pPr>
              <w:spacing w:after="0"/>
              <w:rPr>
                <w:sz w:val="23"/>
                <w:szCs w:val="23"/>
                <w:color w:val="auto"/>
              </w:rPr>
            </w:pPr>
          </w:p>
        </w:tc>
        <w:tc>
          <w:tcPr>
            <w:tcW w:w="580" w:type="dxa"/>
            <w:vAlign w:val="bottom"/>
            <w:tcBorders>
              <w:bottom w:val="single" w:sz="8" w:color="DCE2EF"/>
            </w:tcBorders>
            <w:shd w:val="clear" w:color="auto" w:fill="DCE2EF"/>
          </w:tcPr>
          <w:p>
            <w:pPr>
              <w:spacing w:after="0"/>
              <w:rPr>
                <w:sz w:val="23"/>
                <w:szCs w:val="23"/>
                <w:color w:val="auto"/>
              </w:rPr>
            </w:pPr>
          </w:p>
        </w:tc>
        <w:tc>
          <w:tcPr>
            <w:tcW w:w="220" w:type="dxa"/>
            <w:vAlign w:val="bottom"/>
            <w:tcBorders>
              <w:bottom w:val="single" w:sz="8" w:color="DCE2EF"/>
            </w:tcBorders>
            <w:shd w:val="clear" w:color="auto" w:fill="DCE2EF"/>
          </w:tcPr>
          <w:p>
            <w:pPr>
              <w:spacing w:after="0"/>
              <w:rPr>
                <w:sz w:val="23"/>
                <w:szCs w:val="23"/>
                <w:color w:val="auto"/>
              </w:rPr>
            </w:pPr>
          </w:p>
        </w:tc>
        <w:tc>
          <w:tcPr>
            <w:tcW w:w="1100" w:type="dxa"/>
            <w:vAlign w:val="bottom"/>
            <w:tcBorders>
              <w:bottom w:val="single" w:sz="8" w:color="DCE2EF"/>
            </w:tcBorders>
            <w:shd w:val="clear" w:color="auto" w:fill="DCE2EF"/>
          </w:tcPr>
          <w:p>
            <w:pPr>
              <w:spacing w:after="0"/>
              <w:rPr>
                <w:sz w:val="23"/>
                <w:szCs w:val="23"/>
                <w:color w:val="auto"/>
              </w:rPr>
            </w:pPr>
          </w:p>
        </w:tc>
        <w:tc>
          <w:tcPr>
            <w:tcW w:w="580" w:type="dxa"/>
            <w:vAlign w:val="bottom"/>
            <w:tcBorders>
              <w:bottom w:val="single" w:sz="8" w:color="DCE2EF"/>
            </w:tcBorders>
            <w:shd w:val="clear" w:color="auto" w:fill="DCE2EF"/>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7660" w:type="dxa"/>
            <w:vAlign w:val="bottom"/>
            <w:gridSpan w:val="3"/>
          </w:tcPr>
          <w:p>
            <w:pPr>
              <w:ind w:left="60"/>
              <w:spacing w:after="0"/>
              <w:rPr>
                <w:sz w:val="20"/>
                <w:szCs w:val="20"/>
                <w:color w:val="auto"/>
              </w:rPr>
            </w:pPr>
            <w:r>
              <w:rPr>
                <w:rFonts w:ascii="Arial" w:cs="Arial" w:eastAsia="Arial" w:hAnsi="Arial"/>
                <w:sz w:val="16"/>
                <w:szCs w:val="16"/>
                <w:color w:val="auto"/>
              </w:rPr>
              <w:t>Current assets</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60" w:type="dxa"/>
            <w:vAlign w:val="bottom"/>
            <w:tcBorders>
              <w:bottom w:val="single" w:sz="8" w:color="DCE2EF"/>
            </w:tcBorders>
            <w:shd w:val="clear" w:color="auto" w:fill="DCE2EF"/>
          </w:tcPr>
          <w:p>
            <w:pPr>
              <w:spacing w:after="0"/>
              <w:rPr>
                <w:sz w:val="24"/>
                <w:szCs w:val="24"/>
                <w:color w:val="auto"/>
              </w:rPr>
            </w:pPr>
          </w:p>
        </w:tc>
        <w:tc>
          <w:tcPr>
            <w:tcW w:w="7600" w:type="dxa"/>
            <w:vAlign w:val="bottom"/>
            <w:tcBorders>
              <w:bottom w:val="single" w:sz="8" w:color="DCE2EF"/>
            </w:tcBorders>
            <w:gridSpan w:val="2"/>
            <w:shd w:val="clear" w:color="auto" w:fill="DCE2EF"/>
          </w:tcPr>
          <w:p>
            <w:pPr>
              <w:ind w:left="320"/>
              <w:spacing w:after="0"/>
              <w:rPr>
                <w:sz w:val="20"/>
                <w:szCs w:val="20"/>
                <w:color w:val="auto"/>
              </w:rPr>
            </w:pPr>
            <w:r>
              <w:rPr>
                <w:rFonts w:ascii="Arial" w:cs="Arial" w:eastAsia="Arial" w:hAnsi="Arial"/>
                <w:sz w:val="16"/>
                <w:szCs w:val="16"/>
                <w:color w:val="auto"/>
              </w:rPr>
              <w:t>Cash and cash equivalents</w:t>
            </w:r>
          </w:p>
        </w:tc>
        <w:tc>
          <w:tcPr>
            <w:tcW w:w="920" w:type="dxa"/>
            <w:vAlign w:val="bottom"/>
            <w:tcBorders>
              <w:bottom w:val="single" w:sz="8" w:color="DCE2EF"/>
            </w:tcBorders>
            <w:shd w:val="clear" w:color="auto" w:fill="DCE2EF"/>
          </w:tcPr>
          <w:p>
            <w:pPr>
              <w:spacing w:after="0"/>
              <w:rPr>
                <w:sz w:val="24"/>
                <w:szCs w:val="24"/>
                <w:color w:val="auto"/>
              </w:rPr>
            </w:pPr>
          </w:p>
        </w:tc>
        <w:tc>
          <w:tcPr>
            <w:tcW w:w="1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60.7</w:t>
            </w:r>
          </w:p>
        </w:tc>
        <w:tc>
          <w:tcPr>
            <w:tcW w:w="1320" w:type="dxa"/>
            <w:vAlign w:val="bottom"/>
            <w:tcBorders>
              <w:bottom w:val="single" w:sz="8" w:color="DCE2EF"/>
            </w:tcBorders>
            <w:gridSpan w:val="2"/>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69.5</w:t>
            </w:r>
          </w:p>
        </w:tc>
        <w:tc>
          <w:tcPr>
            <w:tcW w:w="0" w:type="dxa"/>
            <w:vAlign w:val="bottom"/>
          </w:tcPr>
          <w:p>
            <w:pPr>
              <w:spacing w:after="0"/>
              <w:rPr>
                <w:sz w:val="1"/>
                <w:szCs w:val="1"/>
                <w:color w:val="auto"/>
              </w:rPr>
            </w:pPr>
          </w:p>
        </w:tc>
      </w:tr>
      <w:tr>
        <w:trPr>
          <w:trHeight w:val="281"/>
        </w:trPr>
        <w:tc>
          <w:tcPr>
            <w:tcW w:w="60" w:type="dxa"/>
            <w:vAlign w:val="bottom"/>
          </w:tcPr>
          <w:p>
            <w:pPr>
              <w:spacing w:after="0"/>
              <w:rPr>
                <w:sz w:val="24"/>
                <w:szCs w:val="24"/>
                <w:color w:val="auto"/>
              </w:rPr>
            </w:pPr>
          </w:p>
        </w:tc>
        <w:tc>
          <w:tcPr>
            <w:tcW w:w="7600" w:type="dxa"/>
            <w:vAlign w:val="bottom"/>
            <w:gridSpan w:val="2"/>
          </w:tcPr>
          <w:p>
            <w:pPr>
              <w:ind w:left="320"/>
              <w:spacing w:after="0"/>
              <w:rPr>
                <w:sz w:val="20"/>
                <w:szCs w:val="20"/>
                <w:color w:val="auto"/>
              </w:rPr>
            </w:pPr>
            <w:r>
              <w:rPr>
                <w:rFonts w:ascii="Arial" w:cs="Arial" w:eastAsia="Arial" w:hAnsi="Arial"/>
                <w:sz w:val="16"/>
                <w:szCs w:val="16"/>
                <w:color w:val="auto"/>
              </w:rPr>
              <w:t>Trade accounts receivable</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1,313.4</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1,365.0</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60" w:type="dxa"/>
            <w:vAlign w:val="bottom"/>
            <w:tcBorders>
              <w:bottom w:val="single" w:sz="8" w:color="DCE2EF"/>
            </w:tcBorders>
            <w:shd w:val="clear" w:color="auto" w:fill="DCE2EF"/>
          </w:tcPr>
          <w:p>
            <w:pPr>
              <w:spacing w:after="0"/>
              <w:rPr>
                <w:sz w:val="24"/>
                <w:szCs w:val="24"/>
                <w:color w:val="auto"/>
              </w:rPr>
            </w:pPr>
          </w:p>
        </w:tc>
        <w:tc>
          <w:tcPr>
            <w:tcW w:w="7600" w:type="dxa"/>
            <w:vAlign w:val="bottom"/>
            <w:tcBorders>
              <w:bottom w:val="single" w:sz="8" w:color="DCE2EF"/>
            </w:tcBorders>
            <w:gridSpan w:val="2"/>
            <w:shd w:val="clear" w:color="auto" w:fill="DCE2EF"/>
          </w:tcPr>
          <w:p>
            <w:pPr>
              <w:ind w:left="320"/>
              <w:spacing w:after="0"/>
              <w:rPr>
                <w:sz w:val="20"/>
                <w:szCs w:val="20"/>
                <w:color w:val="auto"/>
              </w:rPr>
            </w:pPr>
            <w:r>
              <w:rPr>
                <w:rFonts w:ascii="Arial" w:cs="Arial" w:eastAsia="Arial" w:hAnsi="Arial"/>
                <w:sz w:val="16"/>
                <w:szCs w:val="16"/>
                <w:color w:val="auto"/>
              </w:rPr>
              <w:t>Costs incurred in excess of amounts billed</w:t>
            </w:r>
          </w:p>
        </w:tc>
        <w:tc>
          <w:tcPr>
            <w:tcW w:w="920" w:type="dxa"/>
            <w:vAlign w:val="bottom"/>
            <w:tcBorders>
              <w:bottom w:val="single" w:sz="8" w:color="DCE2EF"/>
            </w:tcBorders>
            <w:shd w:val="clear" w:color="auto" w:fill="DCE2EF"/>
          </w:tcPr>
          <w:p>
            <w:pPr>
              <w:spacing w:after="0"/>
              <w:rPr>
                <w:sz w:val="24"/>
                <w:szCs w:val="24"/>
                <w:color w:val="auto"/>
              </w:rPr>
            </w:pPr>
          </w:p>
        </w:tc>
        <w:tc>
          <w:tcPr>
            <w:tcW w:w="18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152.2</w:t>
            </w:r>
          </w:p>
        </w:tc>
        <w:tc>
          <w:tcPr>
            <w:tcW w:w="220" w:type="dxa"/>
            <w:vAlign w:val="bottom"/>
            <w:tcBorders>
              <w:bottom w:val="single" w:sz="8" w:color="DCE2EF"/>
            </w:tcBorders>
            <w:shd w:val="clear" w:color="auto" w:fill="DCE2EF"/>
          </w:tcPr>
          <w:p>
            <w:pPr>
              <w:spacing w:after="0"/>
              <w:rPr>
                <w:sz w:val="24"/>
                <w:szCs w:val="24"/>
                <w:color w:val="auto"/>
              </w:rPr>
            </w:pPr>
          </w:p>
        </w:tc>
        <w:tc>
          <w:tcPr>
            <w:tcW w:w="110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139.2</w:t>
            </w:r>
          </w:p>
        </w:tc>
        <w:tc>
          <w:tcPr>
            <w:tcW w:w="0" w:type="dxa"/>
            <w:vAlign w:val="bottom"/>
          </w:tcPr>
          <w:p>
            <w:pPr>
              <w:spacing w:after="0"/>
              <w:rPr>
                <w:sz w:val="1"/>
                <w:szCs w:val="1"/>
                <w:color w:val="auto"/>
              </w:rPr>
            </w:pPr>
          </w:p>
        </w:tc>
      </w:tr>
      <w:tr>
        <w:trPr>
          <w:trHeight w:val="281"/>
        </w:trPr>
        <w:tc>
          <w:tcPr>
            <w:tcW w:w="60" w:type="dxa"/>
            <w:vAlign w:val="bottom"/>
          </w:tcPr>
          <w:p>
            <w:pPr>
              <w:spacing w:after="0"/>
              <w:rPr>
                <w:sz w:val="24"/>
                <w:szCs w:val="24"/>
                <w:color w:val="auto"/>
              </w:rPr>
            </w:pPr>
          </w:p>
        </w:tc>
        <w:tc>
          <w:tcPr>
            <w:tcW w:w="7600" w:type="dxa"/>
            <w:vAlign w:val="bottom"/>
            <w:gridSpan w:val="2"/>
          </w:tcPr>
          <w:p>
            <w:pPr>
              <w:ind w:left="320"/>
              <w:spacing w:after="0"/>
              <w:rPr>
                <w:sz w:val="20"/>
                <w:szCs w:val="20"/>
                <w:color w:val="auto"/>
              </w:rPr>
            </w:pPr>
            <w:r>
              <w:rPr>
                <w:rFonts w:ascii="Arial" w:cs="Arial" w:eastAsia="Arial" w:hAnsi="Arial"/>
                <w:sz w:val="16"/>
                <w:szCs w:val="16"/>
                <w:color w:val="auto"/>
              </w:rPr>
              <w:t>Prepaid expenses</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90.7</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78.5</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Borders>
              <w:bottom w:val="single" w:sz="8" w:color="DCE2EF"/>
            </w:tcBorders>
            <w:shd w:val="clear" w:color="auto" w:fill="DCE2EF"/>
          </w:tcPr>
          <w:p>
            <w:pPr>
              <w:spacing w:after="0"/>
              <w:rPr>
                <w:sz w:val="24"/>
                <w:szCs w:val="24"/>
                <w:color w:val="auto"/>
              </w:rPr>
            </w:pPr>
          </w:p>
        </w:tc>
        <w:tc>
          <w:tcPr>
            <w:tcW w:w="7600" w:type="dxa"/>
            <w:vAlign w:val="bottom"/>
            <w:tcBorders>
              <w:bottom w:val="single" w:sz="8" w:color="DCE2EF"/>
            </w:tcBorders>
            <w:gridSpan w:val="2"/>
            <w:shd w:val="clear" w:color="auto" w:fill="DCE2EF"/>
          </w:tcPr>
          <w:p>
            <w:pPr>
              <w:ind w:left="320"/>
              <w:spacing w:after="0"/>
              <w:rPr>
                <w:sz w:val="20"/>
                <w:szCs w:val="20"/>
                <w:color w:val="auto"/>
              </w:rPr>
            </w:pPr>
            <w:r>
              <w:rPr>
                <w:rFonts w:ascii="Arial" w:cs="Arial" w:eastAsia="Arial" w:hAnsi="Arial"/>
                <w:sz w:val="16"/>
                <w:szCs w:val="16"/>
                <w:color w:val="auto"/>
              </w:rPr>
              <w:t>Other current assets</w:t>
            </w:r>
          </w:p>
        </w:tc>
        <w:tc>
          <w:tcPr>
            <w:tcW w:w="920" w:type="dxa"/>
            <w:vAlign w:val="bottom"/>
            <w:tcBorders>
              <w:bottom w:val="single" w:sz="8" w:color="auto"/>
            </w:tcBorders>
            <w:shd w:val="clear" w:color="auto" w:fill="DCE2EF"/>
          </w:tcPr>
          <w:p>
            <w:pPr>
              <w:spacing w:after="0"/>
              <w:rPr>
                <w:sz w:val="24"/>
                <w:szCs w:val="24"/>
                <w:color w:val="auto"/>
              </w:rPr>
            </w:pPr>
          </w:p>
        </w:tc>
        <w:tc>
          <w:tcPr>
            <w:tcW w:w="18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80.9</w:t>
            </w:r>
          </w:p>
        </w:tc>
        <w:tc>
          <w:tcPr>
            <w:tcW w:w="220" w:type="dxa"/>
            <w:vAlign w:val="bottom"/>
            <w:tcBorders>
              <w:bottom w:val="single" w:sz="8" w:color="DCE2EF"/>
            </w:tcBorders>
            <w:shd w:val="clear" w:color="auto" w:fill="DCE2EF"/>
          </w:tcPr>
          <w:p>
            <w:pPr>
              <w:spacing w:after="0"/>
              <w:rPr>
                <w:sz w:val="24"/>
                <w:szCs w:val="24"/>
                <w:color w:val="auto"/>
              </w:rPr>
            </w:pPr>
          </w:p>
        </w:tc>
        <w:tc>
          <w:tcPr>
            <w:tcW w:w="110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268"/>
        </w:trPr>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98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1,697.9</w:t>
            </w: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1,710.7</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76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Other investments</w:t>
            </w:r>
          </w:p>
        </w:tc>
        <w:tc>
          <w:tcPr>
            <w:tcW w:w="920" w:type="dxa"/>
            <w:vAlign w:val="bottom"/>
            <w:tcBorders>
              <w:bottom w:val="single" w:sz="8" w:color="DCE2EF"/>
            </w:tcBorders>
            <w:shd w:val="clear" w:color="auto" w:fill="DCE2EF"/>
          </w:tcPr>
          <w:p>
            <w:pPr>
              <w:spacing w:after="0"/>
              <w:rPr>
                <w:sz w:val="23"/>
                <w:szCs w:val="23"/>
                <w:color w:val="auto"/>
              </w:rPr>
            </w:pPr>
          </w:p>
        </w:tc>
        <w:tc>
          <w:tcPr>
            <w:tcW w:w="180" w:type="dxa"/>
            <w:vAlign w:val="bottom"/>
            <w:tcBorders>
              <w:bottom w:val="single" w:sz="8" w:color="DCE2EF"/>
            </w:tcBorders>
            <w:shd w:val="clear" w:color="auto" w:fill="DCE2EF"/>
          </w:tcPr>
          <w:p>
            <w:pPr>
              <w:spacing w:after="0"/>
              <w:rPr>
                <w:sz w:val="23"/>
                <w:szCs w:val="23"/>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30.0</w:t>
            </w:r>
          </w:p>
        </w:tc>
        <w:tc>
          <w:tcPr>
            <w:tcW w:w="220" w:type="dxa"/>
            <w:vAlign w:val="bottom"/>
            <w:tcBorders>
              <w:bottom w:val="single" w:sz="8" w:color="DCE2EF"/>
            </w:tcBorders>
            <w:shd w:val="clear" w:color="auto" w:fill="DCE2EF"/>
          </w:tcPr>
          <w:p>
            <w:pPr>
              <w:spacing w:after="0"/>
              <w:rPr>
                <w:sz w:val="23"/>
                <w:szCs w:val="23"/>
                <w:color w:val="auto"/>
              </w:rPr>
            </w:pPr>
          </w:p>
        </w:tc>
        <w:tc>
          <w:tcPr>
            <w:tcW w:w="1100" w:type="dxa"/>
            <w:vAlign w:val="bottom"/>
            <w:tcBorders>
              <w:bottom w:val="single" w:sz="8" w:color="DCE2EF"/>
            </w:tcBorders>
            <w:shd w:val="clear" w:color="auto" w:fill="DCE2EF"/>
          </w:tcPr>
          <w:p>
            <w:pPr>
              <w:spacing w:after="0"/>
              <w:rPr>
                <w:sz w:val="23"/>
                <w:szCs w:val="23"/>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81"/>
        </w:trPr>
        <w:tc>
          <w:tcPr>
            <w:tcW w:w="7660" w:type="dxa"/>
            <w:vAlign w:val="bottom"/>
            <w:gridSpan w:val="3"/>
          </w:tcPr>
          <w:p>
            <w:pPr>
              <w:ind w:left="60"/>
              <w:spacing w:after="0"/>
              <w:rPr>
                <w:sz w:val="20"/>
                <w:szCs w:val="20"/>
                <w:color w:val="auto"/>
              </w:rPr>
            </w:pPr>
            <w:r>
              <w:rPr>
                <w:rFonts w:ascii="Arial" w:cs="Arial" w:eastAsia="Arial" w:hAnsi="Arial"/>
                <w:sz w:val="16"/>
                <w:szCs w:val="16"/>
                <w:color w:val="auto"/>
              </w:rPr>
              <w:t>Property, plant and equipment</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145.1</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131.5</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76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Right-of-use assets</w:t>
            </w:r>
          </w:p>
        </w:tc>
        <w:tc>
          <w:tcPr>
            <w:tcW w:w="920" w:type="dxa"/>
            <w:vAlign w:val="bottom"/>
            <w:tcBorders>
              <w:bottom w:val="single" w:sz="8" w:color="DCE2EF"/>
            </w:tcBorders>
            <w:shd w:val="clear" w:color="auto" w:fill="DCE2EF"/>
          </w:tcPr>
          <w:p>
            <w:pPr>
              <w:spacing w:after="0"/>
              <w:rPr>
                <w:sz w:val="24"/>
                <w:szCs w:val="24"/>
                <w:color w:val="auto"/>
              </w:rPr>
            </w:pPr>
          </w:p>
        </w:tc>
        <w:tc>
          <w:tcPr>
            <w:tcW w:w="18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108.4</w:t>
            </w:r>
          </w:p>
        </w:tc>
        <w:tc>
          <w:tcPr>
            <w:tcW w:w="220" w:type="dxa"/>
            <w:vAlign w:val="bottom"/>
            <w:tcBorders>
              <w:bottom w:val="single" w:sz="8" w:color="DCE2EF"/>
            </w:tcBorders>
            <w:shd w:val="clear" w:color="auto" w:fill="DCE2EF"/>
          </w:tcPr>
          <w:p>
            <w:pPr>
              <w:spacing w:after="0"/>
              <w:rPr>
                <w:sz w:val="24"/>
                <w:szCs w:val="24"/>
                <w:color w:val="auto"/>
              </w:rPr>
            </w:pPr>
          </w:p>
        </w:tc>
        <w:tc>
          <w:tcPr>
            <w:tcW w:w="110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113.4</w:t>
            </w:r>
          </w:p>
        </w:tc>
        <w:tc>
          <w:tcPr>
            <w:tcW w:w="0" w:type="dxa"/>
            <w:vAlign w:val="bottom"/>
          </w:tcPr>
          <w:p>
            <w:pPr>
              <w:spacing w:after="0"/>
              <w:rPr>
                <w:sz w:val="1"/>
                <w:szCs w:val="1"/>
                <w:color w:val="auto"/>
              </w:rPr>
            </w:pPr>
          </w:p>
        </w:tc>
      </w:tr>
      <w:tr>
        <w:trPr>
          <w:trHeight w:val="281"/>
        </w:trPr>
        <w:tc>
          <w:tcPr>
            <w:tcW w:w="7660" w:type="dxa"/>
            <w:vAlign w:val="bottom"/>
            <w:gridSpan w:val="3"/>
          </w:tcPr>
          <w:p>
            <w:pPr>
              <w:ind w:left="60"/>
              <w:spacing w:after="0"/>
              <w:rPr>
                <w:sz w:val="20"/>
                <w:szCs w:val="20"/>
                <w:color w:val="auto"/>
              </w:rPr>
            </w:pPr>
            <w:r>
              <w:rPr>
                <w:rFonts w:ascii="Arial" w:cs="Arial" w:eastAsia="Arial" w:hAnsi="Arial"/>
                <w:sz w:val="16"/>
                <w:szCs w:val="16"/>
                <w:color w:val="auto"/>
              </w:rPr>
              <w:t>Other intangible assets, net of accumulated amortization</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274.8</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302.9</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76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Goodwill</w:t>
            </w:r>
          </w:p>
        </w:tc>
        <w:tc>
          <w:tcPr>
            <w:tcW w:w="920" w:type="dxa"/>
            <w:vAlign w:val="bottom"/>
            <w:tcBorders>
              <w:bottom w:val="single" w:sz="8" w:color="DCE2EF"/>
            </w:tcBorders>
            <w:shd w:val="clear" w:color="auto" w:fill="DCE2EF"/>
          </w:tcPr>
          <w:p>
            <w:pPr>
              <w:spacing w:after="0"/>
              <w:rPr>
                <w:sz w:val="24"/>
                <w:szCs w:val="24"/>
                <w:color w:val="auto"/>
              </w:rPr>
            </w:pPr>
          </w:p>
        </w:tc>
        <w:tc>
          <w:tcPr>
            <w:tcW w:w="18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2,493.3</w:t>
            </w:r>
          </w:p>
        </w:tc>
        <w:tc>
          <w:tcPr>
            <w:tcW w:w="220" w:type="dxa"/>
            <w:vAlign w:val="bottom"/>
            <w:tcBorders>
              <w:bottom w:val="single" w:sz="8" w:color="DCE2EF"/>
            </w:tcBorders>
            <w:shd w:val="clear" w:color="auto" w:fill="DCE2EF"/>
          </w:tcPr>
          <w:p>
            <w:pPr>
              <w:spacing w:after="0"/>
              <w:rPr>
                <w:sz w:val="24"/>
                <w:szCs w:val="24"/>
                <w:color w:val="auto"/>
              </w:rPr>
            </w:pPr>
          </w:p>
        </w:tc>
        <w:tc>
          <w:tcPr>
            <w:tcW w:w="110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2,491.3</w:t>
            </w:r>
          </w:p>
        </w:tc>
        <w:tc>
          <w:tcPr>
            <w:tcW w:w="0" w:type="dxa"/>
            <w:vAlign w:val="bottom"/>
          </w:tcPr>
          <w:p>
            <w:pPr>
              <w:spacing w:after="0"/>
              <w:rPr>
                <w:sz w:val="1"/>
                <w:szCs w:val="1"/>
                <w:color w:val="auto"/>
              </w:rPr>
            </w:pPr>
          </w:p>
        </w:tc>
      </w:tr>
      <w:tr>
        <w:trPr>
          <w:trHeight w:val="304"/>
        </w:trPr>
        <w:tc>
          <w:tcPr>
            <w:tcW w:w="7660" w:type="dxa"/>
            <w:vAlign w:val="bottom"/>
            <w:gridSpan w:val="3"/>
          </w:tcPr>
          <w:p>
            <w:pPr>
              <w:ind w:left="60"/>
              <w:spacing w:after="0"/>
              <w:rPr>
                <w:sz w:val="20"/>
                <w:szCs w:val="20"/>
                <w:color w:val="auto"/>
              </w:rPr>
            </w:pPr>
            <w:r>
              <w:rPr>
                <w:rFonts w:ascii="Arial" w:cs="Arial" w:eastAsia="Arial" w:hAnsi="Arial"/>
                <w:sz w:val="16"/>
                <w:szCs w:val="16"/>
                <w:color w:val="auto"/>
              </w:rPr>
              <w:t>Other noncurrent assets</w:t>
            </w: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180.1</w:t>
            </w:r>
          </w:p>
        </w:tc>
        <w:tc>
          <w:tcPr>
            <w:tcW w:w="2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155.0</w:t>
            </w:r>
          </w:p>
        </w:tc>
        <w:tc>
          <w:tcPr>
            <w:tcW w:w="0" w:type="dxa"/>
            <w:vAlign w:val="bottom"/>
          </w:tcPr>
          <w:p>
            <w:pPr>
              <w:spacing w:after="0"/>
              <w:rPr>
                <w:sz w:val="1"/>
                <w:szCs w:val="1"/>
                <w:color w:val="auto"/>
              </w:rPr>
            </w:pPr>
          </w:p>
        </w:tc>
      </w:tr>
      <w:tr>
        <w:trPr>
          <w:trHeight w:val="343"/>
        </w:trPr>
        <w:tc>
          <w:tcPr>
            <w:tcW w:w="76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Total assets</w:t>
            </w:r>
          </w:p>
        </w:tc>
        <w:tc>
          <w:tcPr>
            <w:tcW w:w="92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4,929.5</w:t>
            </w:r>
          </w:p>
        </w:tc>
        <w:tc>
          <w:tcPr>
            <w:tcW w:w="1320" w:type="dxa"/>
            <w:vAlign w:val="bottom"/>
            <w:tcBorders>
              <w:bottom w:val="single" w:sz="8" w:color="DCE2EF"/>
            </w:tcBorders>
            <w:gridSpan w:val="2"/>
            <w:shd w:val="clear" w:color="auto" w:fill="DCE2EF"/>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4,933.7</w:t>
            </w:r>
          </w:p>
        </w:tc>
        <w:tc>
          <w:tcPr>
            <w:tcW w:w="0" w:type="dxa"/>
            <w:vAlign w:val="bottom"/>
          </w:tcPr>
          <w:p>
            <w:pPr>
              <w:spacing w:after="0"/>
              <w:rPr>
                <w:sz w:val="1"/>
                <w:szCs w:val="1"/>
                <w:color w:val="auto"/>
              </w:rPr>
            </w:pPr>
          </w:p>
        </w:tc>
      </w:tr>
      <w:tr>
        <w:trPr>
          <w:trHeight w:val="243"/>
        </w:trPr>
        <w:tc>
          <w:tcPr>
            <w:tcW w:w="7660" w:type="dxa"/>
            <w:vAlign w:val="bottom"/>
            <w:tcBorders>
              <w:top w:val="single" w:sz="8" w:color="DCE2EF"/>
            </w:tcBorders>
            <w:gridSpan w:val="3"/>
          </w:tcPr>
          <w:p>
            <w:pPr>
              <w:ind w:left="60"/>
              <w:spacing w:after="0"/>
              <w:rPr>
                <w:sz w:val="20"/>
                <w:szCs w:val="20"/>
                <w:color w:val="auto"/>
              </w:rPr>
            </w:pPr>
            <w:r>
              <w:rPr>
                <w:rFonts w:ascii="Arial" w:cs="Arial" w:eastAsia="Arial" w:hAnsi="Arial"/>
                <w:sz w:val="16"/>
                <w:szCs w:val="16"/>
                <w:b w:val="1"/>
                <w:bCs w:val="1"/>
                <w:color w:val="auto"/>
              </w:rPr>
              <w:t>LIABILITIES AND STOCKHOLDERS’ EQUITY</w:t>
            </w:r>
          </w:p>
        </w:tc>
        <w:tc>
          <w:tcPr>
            <w:tcW w:w="9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220" w:type="dxa"/>
            <w:vAlign w:val="bottom"/>
            <w:tcBorders>
              <w:top w:val="single" w:sz="8" w:color="DCE2EF"/>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6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Current liabilities</w:t>
            </w:r>
          </w:p>
        </w:tc>
        <w:tc>
          <w:tcPr>
            <w:tcW w:w="920" w:type="dxa"/>
            <w:vAlign w:val="bottom"/>
            <w:tcBorders>
              <w:bottom w:val="single" w:sz="8" w:color="DCE2EF"/>
            </w:tcBorders>
            <w:shd w:val="clear" w:color="auto" w:fill="DCE2EF"/>
          </w:tcPr>
          <w:p>
            <w:pPr>
              <w:spacing w:after="0"/>
              <w:rPr>
                <w:sz w:val="24"/>
                <w:szCs w:val="24"/>
                <w:color w:val="auto"/>
              </w:rPr>
            </w:pPr>
          </w:p>
        </w:tc>
        <w:tc>
          <w:tcPr>
            <w:tcW w:w="18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spacing w:after="0"/>
              <w:rPr>
                <w:sz w:val="24"/>
                <w:szCs w:val="24"/>
                <w:color w:val="auto"/>
              </w:rPr>
            </w:pPr>
          </w:p>
        </w:tc>
        <w:tc>
          <w:tcPr>
            <w:tcW w:w="220" w:type="dxa"/>
            <w:vAlign w:val="bottom"/>
            <w:tcBorders>
              <w:bottom w:val="single" w:sz="8" w:color="DCE2EF"/>
            </w:tcBorders>
            <w:shd w:val="clear" w:color="auto" w:fill="DCE2EF"/>
          </w:tcPr>
          <w:p>
            <w:pPr>
              <w:spacing w:after="0"/>
              <w:rPr>
                <w:sz w:val="24"/>
                <w:szCs w:val="24"/>
                <w:color w:val="auto"/>
              </w:rPr>
            </w:pPr>
          </w:p>
        </w:tc>
        <w:tc>
          <w:tcPr>
            <w:tcW w:w="110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60" w:type="dxa"/>
            <w:vAlign w:val="bottom"/>
          </w:tcPr>
          <w:p>
            <w:pPr>
              <w:spacing w:after="0"/>
              <w:rPr>
                <w:sz w:val="24"/>
                <w:szCs w:val="24"/>
                <w:color w:val="auto"/>
              </w:rPr>
            </w:pPr>
          </w:p>
        </w:tc>
        <w:tc>
          <w:tcPr>
            <w:tcW w:w="7600" w:type="dxa"/>
            <w:vAlign w:val="bottom"/>
            <w:gridSpan w:val="2"/>
          </w:tcPr>
          <w:p>
            <w:pPr>
              <w:ind w:left="320"/>
              <w:spacing w:after="0"/>
              <w:rPr>
                <w:sz w:val="20"/>
                <w:szCs w:val="20"/>
                <w:color w:val="auto"/>
              </w:rPr>
            </w:pPr>
            <w:r>
              <w:rPr>
                <w:rFonts w:ascii="Arial" w:cs="Arial" w:eastAsia="Arial" w:hAnsi="Arial"/>
                <w:sz w:val="16"/>
                <w:szCs w:val="16"/>
                <w:color w:val="auto"/>
              </w:rPr>
              <w:t>Current portion of long-term debt, net</w:t>
            </w:r>
          </w:p>
        </w:tc>
        <w:tc>
          <w:tcPr>
            <w:tcW w:w="9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31.6</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60" w:type="dxa"/>
            <w:vAlign w:val="bottom"/>
            <w:tcBorders>
              <w:bottom w:val="single" w:sz="8" w:color="DCE2EF"/>
            </w:tcBorders>
            <w:shd w:val="clear" w:color="auto" w:fill="DCE2EF"/>
          </w:tcPr>
          <w:p>
            <w:pPr>
              <w:spacing w:after="0"/>
              <w:rPr>
                <w:sz w:val="24"/>
                <w:szCs w:val="24"/>
                <w:color w:val="auto"/>
              </w:rPr>
            </w:pPr>
          </w:p>
        </w:tc>
        <w:tc>
          <w:tcPr>
            <w:tcW w:w="7600" w:type="dxa"/>
            <w:vAlign w:val="bottom"/>
            <w:tcBorders>
              <w:bottom w:val="single" w:sz="8" w:color="DCE2EF"/>
            </w:tcBorders>
            <w:gridSpan w:val="2"/>
            <w:shd w:val="clear" w:color="auto" w:fill="DCE2EF"/>
          </w:tcPr>
          <w:p>
            <w:pPr>
              <w:ind w:left="320"/>
              <w:spacing w:after="0"/>
              <w:rPr>
                <w:sz w:val="20"/>
                <w:szCs w:val="20"/>
                <w:color w:val="auto"/>
              </w:rPr>
            </w:pPr>
            <w:r>
              <w:rPr>
                <w:rFonts w:ascii="Arial" w:cs="Arial" w:eastAsia="Arial" w:hAnsi="Arial"/>
                <w:sz w:val="16"/>
                <w:szCs w:val="16"/>
                <w:color w:val="auto"/>
              </w:rPr>
              <w:t>Trade accounts payable</w:t>
            </w:r>
          </w:p>
        </w:tc>
        <w:tc>
          <w:tcPr>
            <w:tcW w:w="920" w:type="dxa"/>
            <w:vAlign w:val="bottom"/>
            <w:tcBorders>
              <w:bottom w:val="single" w:sz="8" w:color="DCE2EF"/>
            </w:tcBorders>
            <w:shd w:val="clear" w:color="auto" w:fill="DCE2EF"/>
          </w:tcPr>
          <w:p>
            <w:pPr>
              <w:spacing w:after="0"/>
              <w:rPr>
                <w:sz w:val="24"/>
                <w:szCs w:val="24"/>
                <w:color w:val="auto"/>
              </w:rPr>
            </w:pPr>
          </w:p>
        </w:tc>
        <w:tc>
          <w:tcPr>
            <w:tcW w:w="18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253.6</w:t>
            </w:r>
          </w:p>
        </w:tc>
        <w:tc>
          <w:tcPr>
            <w:tcW w:w="220" w:type="dxa"/>
            <w:vAlign w:val="bottom"/>
            <w:tcBorders>
              <w:bottom w:val="single" w:sz="8" w:color="DCE2EF"/>
            </w:tcBorders>
            <w:shd w:val="clear" w:color="auto" w:fill="DCE2EF"/>
          </w:tcPr>
          <w:p>
            <w:pPr>
              <w:spacing w:after="0"/>
              <w:rPr>
                <w:sz w:val="24"/>
                <w:szCs w:val="24"/>
                <w:color w:val="auto"/>
              </w:rPr>
            </w:pPr>
          </w:p>
        </w:tc>
        <w:tc>
          <w:tcPr>
            <w:tcW w:w="110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299.1</w:t>
            </w:r>
          </w:p>
        </w:tc>
        <w:tc>
          <w:tcPr>
            <w:tcW w:w="0" w:type="dxa"/>
            <w:vAlign w:val="bottom"/>
          </w:tcPr>
          <w:p>
            <w:pPr>
              <w:spacing w:after="0"/>
              <w:rPr>
                <w:sz w:val="1"/>
                <w:szCs w:val="1"/>
                <w:color w:val="auto"/>
              </w:rPr>
            </w:pPr>
          </w:p>
        </w:tc>
      </w:tr>
      <w:tr>
        <w:trPr>
          <w:trHeight w:val="281"/>
        </w:trPr>
        <w:tc>
          <w:tcPr>
            <w:tcW w:w="60" w:type="dxa"/>
            <w:vAlign w:val="bottom"/>
          </w:tcPr>
          <w:p>
            <w:pPr>
              <w:spacing w:after="0"/>
              <w:rPr>
                <w:sz w:val="24"/>
                <w:szCs w:val="24"/>
                <w:color w:val="auto"/>
              </w:rPr>
            </w:pPr>
          </w:p>
        </w:tc>
        <w:tc>
          <w:tcPr>
            <w:tcW w:w="7600" w:type="dxa"/>
            <w:vAlign w:val="bottom"/>
            <w:gridSpan w:val="2"/>
          </w:tcPr>
          <w:p>
            <w:pPr>
              <w:ind w:left="320"/>
              <w:spacing w:after="0"/>
              <w:rPr>
                <w:sz w:val="20"/>
                <w:szCs w:val="20"/>
                <w:color w:val="auto"/>
              </w:rPr>
            </w:pPr>
            <w:r>
              <w:rPr>
                <w:rFonts w:ascii="Arial" w:cs="Arial" w:eastAsia="Arial" w:hAnsi="Arial"/>
                <w:sz w:val="16"/>
                <w:szCs w:val="16"/>
                <w:color w:val="auto"/>
              </w:rPr>
              <w:t>Accrued compensation</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223.6</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249.7</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60" w:type="dxa"/>
            <w:vAlign w:val="bottom"/>
            <w:tcBorders>
              <w:bottom w:val="single" w:sz="8" w:color="DCE2EF"/>
            </w:tcBorders>
            <w:shd w:val="clear" w:color="auto" w:fill="DCE2EF"/>
          </w:tcPr>
          <w:p>
            <w:pPr>
              <w:spacing w:after="0"/>
              <w:rPr>
                <w:sz w:val="24"/>
                <w:szCs w:val="24"/>
                <w:color w:val="auto"/>
              </w:rPr>
            </w:pPr>
          </w:p>
        </w:tc>
        <w:tc>
          <w:tcPr>
            <w:tcW w:w="7600" w:type="dxa"/>
            <w:vAlign w:val="bottom"/>
            <w:tcBorders>
              <w:bottom w:val="single" w:sz="8" w:color="DCE2EF"/>
            </w:tcBorders>
            <w:gridSpan w:val="2"/>
            <w:shd w:val="clear" w:color="auto" w:fill="DCE2EF"/>
          </w:tcPr>
          <w:p>
            <w:pPr>
              <w:ind w:left="320"/>
              <w:spacing w:after="0"/>
              <w:rPr>
                <w:sz w:val="20"/>
                <w:szCs w:val="20"/>
                <w:color w:val="auto"/>
              </w:rPr>
            </w:pPr>
            <w:r>
              <w:rPr>
                <w:rFonts w:ascii="Arial" w:cs="Arial" w:eastAsia="Arial" w:hAnsi="Arial"/>
                <w:sz w:val="16"/>
                <w:szCs w:val="16"/>
                <w:color w:val="auto"/>
              </w:rPr>
              <w:t>Accrued taxes—other than income</w:t>
            </w:r>
          </w:p>
        </w:tc>
        <w:tc>
          <w:tcPr>
            <w:tcW w:w="920" w:type="dxa"/>
            <w:vAlign w:val="bottom"/>
            <w:tcBorders>
              <w:bottom w:val="single" w:sz="8" w:color="DCE2EF"/>
            </w:tcBorders>
            <w:shd w:val="clear" w:color="auto" w:fill="DCE2EF"/>
          </w:tcPr>
          <w:p>
            <w:pPr>
              <w:spacing w:after="0"/>
              <w:rPr>
                <w:sz w:val="24"/>
                <w:szCs w:val="24"/>
                <w:color w:val="auto"/>
              </w:rPr>
            </w:pPr>
          </w:p>
        </w:tc>
        <w:tc>
          <w:tcPr>
            <w:tcW w:w="18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64.9</w:t>
            </w:r>
          </w:p>
        </w:tc>
        <w:tc>
          <w:tcPr>
            <w:tcW w:w="220" w:type="dxa"/>
            <w:vAlign w:val="bottom"/>
            <w:tcBorders>
              <w:bottom w:val="single" w:sz="8" w:color="DCE2EF"/>
            </w:tcBorders>
            <w:shd w:val="clear" w:color="auto" w:fill="DCE2EF"/>
          </w:tcPr>
          <w:p>
            <w:pPr>
              <w:spacing w:after="0"/>
              <w:rPr>
                <w:sz w:val="24"/>
                <w:szCs w:val="24"/>
                <w:color w:val="auto"/>
              </w:rPr>
            </w:pPr>
          </w:p>
        </w:tc>
        <w:tc>
          <w:tcPr>
            <w:tcW w:w="110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282"/>
        </w:trPr>
        <w:tc>
          <w:tcPr>
            <w:tcW w:w="60" w:type="dxa"/>
            <w:vAlign w:val="bottom"/>
          </w:tcPr>
          <w:p>
            <w:pPr>
              <w:spacing w:after="0"/>
              <w:rPr>
                <w:sz w:val="24"/>
                <w:szCs w:val="24"/>
                <w:color w:val="auto"/>
              </w:rPr>
            </w:pPr>
          </w:p>
        </w:tc>
        <w:tc>
          <w:tcPr>
            <w:tcW w:w="7600" w:type="dxa"/>
            <w:vAlign w:val="bottom"/>
            <w:gridSpan w:val="2"/>
          </w:tcPr>
          <w:p>
            <w:pPr>
              <w:ind w:left="320"/>
              <w:spacing w:after="0"/>
              <w:rPr>
                <w:sz w:val="20"/>
                <w:szCs w:val="20"/>
                <w:color w:val="auto"/>
              </w:rPr>
            </w:pPr>
            <w:r>
              <w:rPr>
                <w:rFonts w:ascii="Arial" w:cs="Arial" w:eastAsia="Arial" w:hAnsi="Arial"/>
                <w:sz w:val="16"/>
                <w:szCs w:val="16"/>
                <w:color w:val="auto"/>
              </w:rPr>
              <w:t>Deferred Revenue</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101.2</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90.1</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60" w:type="dxa"/>
            <w:vAlign w:val="bottom"/>
            <w:tcBorders>
              <w:bottom w:val="single" w:sz="8" w:color="DCE2EF"/>
            </w:tcBorders>
            <w:shd w:val="clear" w:color="auto" w:fill="DCE2EF"/>
          </w:tcPr>
          <w:p>
            <w:pPr>
              <w:spacing w:after="0"/>
              <w:rPr>
                <w:sz w:val="24"/>
                <w:szCs w:val="24"/>
                <w:color w:val="auto"/>
              </w:rPr>
            </w:pPr>
          </w:p>
        </w:tc>
        <w:tc>
          <w:tcPr>
            <w:tcW w:w="7600" w:type="dxa"/>
            <w:vAlign w:val="bottom"/>
            <w:tcBorders>
              <w:bottom w:val="single" w:sz="8" w:color="DCE2EF"/>
            </w:tcBorders>
            <w:gridSpan w:val="2"/>
            <w:shd w:val="clear" w:color="auto" w:fill="DCE2EF"/>
          </w:tcPr>
          <w:p>
            <w:pPr>
              <w:ind w:left="320"/>
              <w:spacing w:after="0"/>
              <w:rPr>
                <w:sz w:val="20"/>
                <w:szCs w:val="20"/>
                <w:color w:val="auto"/>
              </w:rPr>
            </w:pPr>
            <w:r>
              <w:rPr>
                <w:rFonts w:ascii="Arial" w:cs="Arial" w:eastAsia="Arial" w:hAnsi="Arial"/>
                <w:sz w:val="16"/>
                <w:szCs w:val="16"/>
                <w:color w:val="auto"/>
              </w:rPr>
              <w:t>Insurance claims</w:t>
            </w:r>
          </w:p>
        </w:tc>
        <w:tc>
          <w:tcPr>
            <w:tcW w:w="920" w:type="dxa"/>
            <w:vAlign w:val="bottom"/>
            <w:tcBorders>
              <w:bottom w:val="single" w:sz="8" w:color="DCE2EF"/>
            </w:tcBorders>
            <w:shd w:val="clear" w:color="auto" w:fill="DCE2EF"/>
          </w:tcPr>
          <w:p>
            <w:pPr>
              <w:spacing w:after="0"/>
              <w:rPr>
                <w:sz w:val="24"/>
                <w:szCs w:val="24"/>
                <w:color w:val="auto"/>
              </w:rPr>
            </w:pPr>
          </w:p>
        </w:tc>
        <w:tc>
          <w:tcPr>
            <w:tcW w:w="18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196.3</w:t>
            </w:r>
          </w:p>
        </w:tc>
        <w:tc>
          <w:tcPr>
            <w:tcW w:w="220" w:type="dxa"/>
            <w:vAlign w:val="bottom"/>
            <w:tcBorders>
              <w:bottom w:val="single" w:sz="8" w:color="DCE2EF"/>
            </w:tcBorders>
            <w:shd w:val="clear" w:color="auto" w:fill="DCE2EF"/>
          </w:tcPr>
          <w:p>
            <w:pPr>
              <w:spacing w:after="0"/>
              <w:rPr>
                <w:sz w:val="24"/>
                <w:szCs w:val="24"/>
                <w:color w:val="auto"/>
              </w:rPr>
            </w:pPr>
          </w:p>
        </w:tc>
        <w:tc>
          <w:tcPr>
            <w:tcW w:w="110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177.0</w:t>
            </w:r>
          </w:p>
        </w:tc>
        <w:tc>
          <w:tcPr>
            <w:tcW w:w="0" w:type="dxa"/>
            <w:vAlign w:val="bottom"/>
          </w:tcPr>
          <w:p>
            <w:pPr>
              <w:spacing w:after="0"/>
              <w:rPr>
                <w:sz w:val="1"/>
                <w:szCs w:val="1"/>
                <w:color w:val="auto"/>
              </w:rPr>
            </w:pPr>
          </w:p>
        </w:tc>
      </w:tr>
      <w:tr>
        <w:trPr>
          <w:trHeight w:val="282"/>
        </w:trPr>
        <w:tc>
          <w:tcPr>
            <w:tcW w:w="60" w:type="dxa"/>
            <w:vAlign w:val="bottom"/>
          </w:tcPr>
          <w:p>
            <w:pPr>
              <w:spacing w:after="0"/>
              <w:rPr>
                <w:sz w:val="24"/>
                <w:szCs w:val="24"/>
                <w:color w:val="auto"/>
              </w:rPr>
            </w:pPr>
          </w:p>
        </w:tc>
        <w:tc>
          <w:tcPr>
            <w:tcW w:w="7600" w:type="dxa"/>
            <w:vAlign w:val="bottom"/>
            <w:gridSpan w:val="2"/>
          </w:tcPr>
          <w:p>
            <w:pPr>
              <w:ind w:left="320"/>
              <w:spacing w:after="0"/>
              <w:rPr>
                <w:sz w:val="20"/>
                <w:szCs w:val="20"/>
                <w:color w:val="auto"/>
              </w:rPr>
            </w:pPr>
            <w:r>
              <w:rPr>
                <w:rFonts w:ascii="Arial" w:cs="Arial" w:eastAsia="Arial" w:hAnsi="Arial"/>
                <w:sz w:val="16"/>
                <w:szCs w:val="16"/>
                <w:color w:val="auto"/>
              </w:rPr>
              <w:t>Income taxes payable</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12.3</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60" w:type="dxa"/>
            <w:vAlign w:val="bottom"/>
            <w:tcBorders>
              <w:bottom w:val="single" w:sz="8" w:color="DCE2EF"/>
            </w:tcBorders>
            <w:shd w:val="clear" w:color="auto" w:fill="DCE2EF"/>
          </w:tcPr>
          <w:p>
            <w:pPr>
              <w:spacing w:after="0"/>
              <w:rPr>
                <w:sz w:val="24"/>
                <w:szCs w:val="24"/>
                <w:color w:val="auto"/>
              </w:rPr>
            </w:pPr>
          </w:p>
        </w:tc>
        <w:tc>
          <w:tcPr>
            <w:tcW w:w="7600" w:type="dxa"/>
            <w:vAlign w:val="bottom"/>
            <w:tcBorders>
              <w:bottom w:val="single" w:sz="8" w:color="DCE2EF"/>
            </w:tcBorders>
            <w:gridSpan w:val="2"/>
            <w:shd w:val="clear" w:color="auto" w:fill="DCE2EF"/>
          </w:tcPr>
          <w:p>
            <w:pPr>
              <w:ind w:left="320"/>
              <w:spacing w:after="0"/>
              <w:rPr>
                <w:sz w:val="20"/>
                <w:szCs w:val="20"/>
                <w:color w:val="auto"/>
              </w:rPr>
            </w:pPr>
            <w:r>
              <w:rPr>
                <w:rFonts w:ascii="Arial" w:cs="Arial" w:eastAsia="Arial" w:hAnsi="Arial"/>
                <w:sz w:val="16"/>
                <w:szCs w:val="16"/>
                <w:color w:val="auto"/>
              </w:rPr>
              <w:t>Current portion of lease liabilities</w:t>
            </w:r>
          </w:p>
        </w:tc>
        <w:tc>
          <w:tcPr>
            <w:tcW w:w="920" w:type="dxa"/>
            <w:vAlign w:val="bottom"/>
            <w:tcBorders>
              <w:bottom w:val="single" w:sz="8" w:color="DCE2EF"/>
            </w:tcBorders>
            <w:shd w:val="clear" w:color="auto" w:fill="DCE2EF"/>
          </w:tcPr>
          <w:p>
            <w:pPr>
              <w:spacing w:after="0"/>
              <w:rPr>
                <w:sz w:val="24"/>
                <w:szCs w:val="24"/>
                <w:color w:val="auto"/>
              </w:rPr>
            </w:pPr>
          </w:p>
        </w:tc>
        <w:tc>
          <w:tcPr>
            <w:tcW w:w="18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28.2</w:t>
            </w:r>
          </w:p>
        </w:tc>
        <w:tc>
          <w:tcPr>
            <w:tcW w:w="220" w:type="dxa"/>
            <w:vAlign w:val="bottom"/>
            <w:tcBorders>
              <w:bottom w:val="single" w:sz="8" w:color="DCE2EF"/>
            </w:tcBorders>
            <w:shd w:val="clear" w:color="auto" w:fill="DCE2EF"/>
          </w:tcPr>
          <w:p>
            <w:pPr>
              <w:spacing w:after="0"/>
              <w:rPr>
                <w:sz w:val="24"/>
                <w:szCs w:val="24"/>
                <w:color w:val="auto"/>
              </w:rPr>
            </w:pPr>
          </w:p>
        </w:tc>
        <w:tc>
          <w:tcPr>
            <w:tcW w:w="110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7600" w:type="dxa"/>
            <w:vAlign w:val="bottom"/>
            <w:gridSpan w:val="2"/>
          </w:tcPr>
          <w:p>
            <w:pPr>
              <w:ind w:left="320"/>
              <w:spacing w:after="0"/>
              <w:rPr>
                <w:sz w:val="20"/>
                <w:szCs w:val="20"/>
                <w:color w:val="auto"/>
              </w:rPr>
            </w:pPr>
            <w:r>
              <w:rPr>
                <w:rFonts w:ascii="Arial" w:cs="Arial" w:eastAsia="Arial" w:hAnsi="Arial"/>
                <w:sz w:val="16"/>
                <w:szCs w:val="16"/>
                <w:color w:val="auto"/>
              </w:rPr>
              <w:t>Other accrued liabilities</w:t>
            </w: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267.3</w:t>
            </w:r>
          </w:p>
        </w:tc>
        <w:tc>
          <w:tcPr>
            <w:tcW w:w="2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261.2</w:t>
            </w:r>
          </w:p>
        </w:tc>
        <w:tc>
          <w:tcPr>
            <w:tcW w:w="0" w:type="dxa"/>
            <w:vAlign w:val="bottom"/>
          </w:tcPr>
          <w:p>
            <w:pPr>
              <w:spacing w:after="0"/>
              <w:rPr>
                <w:sz w:val="1"/>
                <w:szCs w:val="1"/>
                <w:color w:val="auto"/>
              </w:rPr>
            </w:pPr>
          </w:p>
        </w:tc>
      </w:tr>
      <w:tr>
        <w:trPr>
          <w:trHeight w:val="302"/>
        </w:trPr>
        <w:tc>
          <w:tcPr>
            <w:tcW w:w="60" w:type="dxa"/>
            <w:vAlign w:val="bottom"/>
            <w:tcBorders>
              <w:bottom w:val="single" w:sz="8" w:color="DCE2EF"/>
            </w:tcBorders>
            <w:shd w:val="clear" w:color="auto" w:fill="DCE2EF"/>
          </w:tcPr>
          <w:p>
            <w:pPr>
              <w:spacing w:after="0"/>
              <w:rPr>
                <w:sz w:val="24"/>
                <w:szCs w:val="24"/>
                <w:color w:val="auto"/>
              </w:rPr>
            </w:pPr>
          </w:p>
        </w:tc>
        <w:tc>
          <w:tcPr>
            <w:tcW w:w="7600" w:type="dxa"/>
            <w:vAlign w:val="bottom"/>
            <w:tcBorders>
              <w:bottom w:val="single" w:sz="8" w:color="DCE2EF"/>
            </w:tcBorders>
            <w:gridSpan w:val="2"/>
            <w:shd w:val="clear" w:color="auto" w:fill="DCE2EF"/>
          </w:tcPr>
          <w:p>
            <w:pPr>
              <w:ind w:left="320"/>
              <w:spacing w:after="0"/>
              <w:rPr>
                <w:sz w:val="20"/>
                <w:szCs w:val="20"/>
                <w:color w:val="auto"/>
              </w:rPr>
            </w:pPr>
            <w:r>
              <w:rPr>
                <w:rFonts w:ascii="Arial" w:cs="Arial" w:eastAsia="Arial" w:hAnsi="Arial"/>
                <w:sz w:val="16"/>
                <w:szCs w:val="16"/>
                <w:color w:val="auto"/>
              </w:rPr>
              <w:t>Total current liabilities</w:t>
            </w:r>
          </w:p>
        </w:tc>
        <w:tc>
          <w:tcPr>
            <w:tcW w:w="920" w:type="dxa"/>
            <w:vAlign w:val="bottom"/>
            <w:tcBorders>
              <w:bottom w:val="single" w:sz="8" w:color="DCE2EF"/>
            </w:tcBorders>
            <w:shd w:val="clear" w:color="auto" w:fill="DCE2EF"/>
          </w:tcPr>
          <w:p>
            <w:pPr>
              <w:spacing w:after="0"/>
              <w:rPr>
                <w:sz w:val="24"/>
                <w:szCs w:val="24"/>
                <w:color w:val="auto"/>
              </w:rPr>
            </w:pPr>
          </w:p>
        </w:tc>
        <w:tc>
          <w:tcPr>
            <w:tcW w:w="18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1,179.1</w:t>
            </w:r>
          </w:p>
        </w:tc>
        <w:tc>
          <w:tcPr>
            <w:tcW w:w="220" w:type="dxa"/>
            <w:vAlign w:val="bottom"/>
            <w:tcBorders>
              <w:bottom w:val="single" w:sz="8" w:color="DCE2EF"/>
            </w:tcBorders>
            <w:shd w:val="clear" w:color="auto" w:fill="DCE2EF"/>
          </w:tcPr>
          <w:p>
            <w:pPr>
              <w:spacing w:after="0"/>
              <w:rPr>
                <w:sz w:val="24"/>
                <w:szCs w:val="24"/>
                <w:color w:val="auto"/>
              </w:rPr>
            </w:pPr>
          </w:p>
        </w:tc>
        <w:tc>
          <w:tcPr>
            <w:tcW w:w="110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1,217.9</w:t>
            </w:r>
          </w:p>
        </w:tc>
        <w:tc>
          <w:tcPr>
            <w:tcW w:w="0" w:type="dxa"/>
            <w:vAlign w:val="bottom"/>
          </w:tcPr>
          <w:p>
            <w:pPr>
              <w:spacing w:after="0"/>
              <w:rPr>
                <w:sz w:val="1"/>
                <w:szCs w:val="1"/>
                <w:color w:val="auto"/>
              </w:rPr>
            </w:pPr>
          </w:p>
        </w:tc>
      </w:tr>
      <w:tr>
        <w:trPr>
          <w:trHeight w:val="248"/>
        </w:trPr>
        <w:tc>
          <w:tcPr>
            <w:tcW w:w="7660" w:type="dxa"/>
            <w:vAlign w:val="bottom"/>
            <w:tcBorders>
              <w:top w:val="single" w:sz="8" w:color="DCE2EF"/>
            </w:tcBorders>
            <w:gridSpan w:val="3"/>
          </w:tcPr>
          <w:p>
            <w:pPr>
              <w:ind w:left="60"/>
              <w:spacing w:after="0"/>
              <w:rPr>
                <w:sz w:val="20"/>
                <w:szCs w:val="20"/>
                <w:color w:val="auto"/>
              </w:rPr>
            </w:pPr>
            <w:r>
              <w:rPr>
                <w:rFonts w:ascii="Arial" w:cs="Arial" w:eastAsia="Arial" w:hAnsi="Arial"/>
                <w:sz w:val="16"/>
                <w:szCs w:val="16"/>
                <w:color w:val="auto"/>
              </w:rPr>
              <w:t>Long-term debt, net</w:t>
            </w:r>
          </w:p>
        </w:tc>
        <w:tc>
          <w:tcPr>
            <w:tcW w:w="9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1,239.0</w:t>
            </w:r>
          </w:p>
        </w:tc>
        <w:tc>
          <w:tcPr>
            <w:tcW w:w="220" w:type="dxa"/>
            <w:vAlign w:val="bottom"/>
            <w:tcBorders>
              <w:top w:val="single" w:sz="8" w:color="DCE2EF"/>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1,279.8</w:t>
            </w:r>
          </w:p>
        </w:tc>
        <w:tc>
          <w:tcPr>
            <w:tcW w:w="0" w:type="dxa"/>
            <w:vAlign w:val="bottom"/>
          </w:tcPr>
          <w:p>
            <w:pPr>
              <w:spacing w:after="0"/>
              <w:rPr>
                <w:sz w:val="1"/>
                <w:szCs w:val="1"/>
                <w:color w:val="auto"/>
              </w:rPr>
            </w:pPr>
          </w:p>
        </w:tc>
      </w:tr>
      <w:tr>
        <w:trPr>
          <w:trHeight w:val="43"/>
        </w:trPr>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9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76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Long-term lease liabilities</w:t>
            </w:r>
          </w:p>
        </w:tc>
        <w:tc>
          <w:tcPr>
            <w:tcW w:w="920" w:type="dxa"/>
            <w:vAlign w:val="bottom"/>
            <w:tcBorders>
              <w:bottom w:val="single" w:sz="8" w:color="DCE2EF"/>
            </w:tcBorders>
            <w:shd w:val="clear" w:color="auto" w:fill="DCE2EF"/>
          </w:tcPr>
          <w:p>
            <w:pPr>
              <w:spacing w:after="0"/>
              <w:rPr>
                <w:sz w:val="24"/>
                <w:szCs w:val="24"/>
                <w:color w:val="auto"/>
              </w:rPr>
            </w:pPr>
          </w:p>
        </w:tc>
        <w:tc>
          <w:tcPr>
            <w:tcW w:w="18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97.0</w:t>
            </w:r>
          </w:p>
        </w:tc>
        <w:tc>
          <w:tcPr>
            <w:tcW w:w="220" w:type="dxa"/>
            <w:vAlign w:val="bottom"/>
            <w:tcBorders>
              <w:bottom w:val="single" w:sz="8" w:color="DCE2EF"/>
            </w:tcBorders>
            <w:shd w:val="clear" w:color="auto" w:fill="DCE2EF"/>
          </w:tcPr>
          <w:p>
            <w:pPr>
              <w:spacing w:after="0"/>
              <w:rPr>
                <w:sz w:val="24"/>
                <w:szCs w:val="24"/>
                <w:color w:val="auto"/>
              </w:rPr>
            </w:pPr>
          </w:p>
        </w:tc>
        <w:tc>
          <w:tcPr>
            <w:tcW w:w="110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98.8</w:t>
            </w:r>
          </w:p>
        </w:tc>
        <w:tc>
          <w:tcPr>
            <w:tcW w:w="0" w:type="dxa"/>
            <w:vAlign w:val="bottom"/>
          </w:tcPr>
          <w:p>
            <w:pPr>
              <w:spacing w:after="0"/>
              <w:rPr>
                <w:sz w:val="1"/>
                <w:szCs w:val="1"/>
                <w:color w:val="auto"/>
              </w:rPr>
            </w:pPr>
          </w:p>
        </w:tc>
      </w:tr>
      <w:tr>
        <w:trPr>
          <w:trHeight w:val="282"/>
        </w:trPr>
        <w:tc>
          <w:tcPr>
            <w:tcW w:w="7660" w:type="dxa"/>
            <w:vAlign w:val="bottom"/>
            <w:gridSpan w:val="3"/>
          </w:tcPr>
          <w:p>
            <w:pPr>
              <w:ind w:left="60"/>
              <w:spacing w:after="0"/>
              <w:rPr>
                <w:sz w:val="20"/>
                <w:szCs w:val="20"/>
                <w:color w:val="auto"/>
              </w:rPr>
            </w:pPr>
            <w:r>
              <w:rPr>
                <w:rFonts w:ascii="Arial" w:cs="Arial" w:eastAsia="Arial" w:hAnsi="Arial"/>
                <w:sz w:val="16"/>
                <w:szCs w:val="16"/>
                <w:color w:val="auto"/>
              </w:rPr>
              <w:t>Deferred income tax liability, net</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80.9</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76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Noncurrent insurance claims</w:t>
            </w:r>
          </w:p>
        </w:tc>
        <w:tc>
          <w:tcPr>
            <w:tcW w:w="920" w:type="dxa"/>
            <w:vAlign w:val="bottom"/>
            <w:tcBorders>
              <w:bottom w:val="single" w:sz="8" w:color="DCE2EF"/>
            </w:tcBorders>
            <w:shd w:val="clear" w:color="auto" w:fill="DCE2EF"/>
          </w:tcPr>
          <w:p>
            <w:pPr>
              <w:spacing w:after="0"/>
              <w:rPr>
                <w:sz w:val="24"/>
                <w:szCs w:val="24"/>
                <w:color w:val="auto"/>
              </w:rPr>
            </w:pPr>
          </w:p>
        </w:tc>
        <w:tc>
          <w:tcPr>
            <w:tcW w:w="18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418.0</w:t>
            </w:r>
          </w:p>
        </w:tc>
        <w:tc>
          <w:tcPr>
            <w:tcW w:w="220" w:type="dxa"/>
            <w:vAlign w:val="bottom"/>
            <w:tcBorders>
              <w:bottom w:val="single" w:sz="8" w:color="DCE2EF"/>
            </w:tcBorders>
            <w:shd w:val="clear" w:color="auto" w:fill="DCE2EF"/>
          </w:tcPr>
          <w:p>
            <w:pPr>
              <w:spacing w:after="0"/>
              <w:rPr>
                <w:sz w:val="24"/>
                <w:szCs w:val="24"/>
                <w:color w:val="auto"/>
              </w:rPr>
            </w:pPr>
          </w:p>
        </w:tc>
        <w:tc>
          <w:tcPr>
            <w:tcW w:w="110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387.5</w:t>
            </w:r>
          </w:p>
        </w:tc>
        <w:tc>
          <w:tcPr>
            <w:tcW w:w="0" w:type="dxa"/>
            <w:vAlign w:val="bottom"/>
          </w:tcPr>
          <w:p>
            <w:pPr>
              <w:spacing w:after="0"/>
              <w:rPr>
                <w:sz w:val="1"/>
                <w:szCs w:val="1"/>
                <w:color w:val="auto"/>
              </w:rPr>
            </w:pPr>
          </w:p>
        </w:tc>
      </w:tr>
      <w:tr>
        <w:trPr>
          <w:trHeight w:val="282"/>
        </w:trPr>
        <w:tc>
          <w:tcPr>
            <w:tcW w:w="7660" w:type="dxa"/>
            <w:vAlign w:val="bottom"/>
            <w:gridSpan w:val="3"/>
          </w:tcPr>
          <w:p>
            <w:pPr>
              <w:ind w:left="60"/>
              <w:spacing w:after="0"/>
              <w:rPr>
                <w:sz w:val="20"/>
                <w:szCs w:val="20"/>
                <w:color w:val="auto"/>
              </w:rPr>
            </w:pPr>
            <w:r>
              <w:rPr>
                <w:rFonts w:ascii="Arial" w:cs="Arial" w:eastAsia="Arial" w:hAnsi="Arial"/>
                <w:sz w:val="16"/>
                <w:szCs w:val="16"/>
                <w:color w:val="auto"/>
              </w:rPr>
              <w:t>Other noncurrent liabilities</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68.1</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61.1</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76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Noncurrent income taxes payable</w:t>
            </w:r>
          </w:p>
        </w:tc>
        <w:tc>
          <w:tcPr>
            <w:tcW w:w="920" w:type="dxa"/>
            <w:vAlign w:val="bottom"/>
            <w:tcBorders>
              <w:bottom w:val="single" w:sz="8" w:color="auto"/>
            </w:tcBorders>
            <w:shd w:val="clear" w:color="auto" w:fill="DCE2EF"/>
          </w:tcPr>
          <w:p>
            <w:pPr>
              <w:spacing w:after="0"/>
              <w:rPr>
                <w:sz w:val="24"/>
                <w:szCs w:val="24"/>
                <w:color w:val="auto"/>
              </w:rPr>
            </w:pPr>
          </w:p>
        </w:tc>
        <w:tc>
          <w:tcPr>
            <w:tcW w:w="18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3.8</w:t>
            </w:r>
          </w:p>
        </w:tc>
        <w:tc>
          <w:tcPr>
            <w:tcW w:w="220" w:type="dxa"/>
            <w:vAlign w:val="bottom"/>
            <w:tcBorders>
              <w:bottom w:val="single" w:sz="8" w:color="DCE2EF"/>
            </w:tcBorders>
            <w:shd w:val="clear" w:color="auto" w:fill="DCE2EF"/>
          </w:tcPr>
          <w:p>
            <w:pPr>
              <w:spacing w:after="0"/>
              <w:rPr>
                <w:sz w:val="24"/>
                <w:szCs w:val="24"/>
                <w:color w:val="auto"/>
              </w:rPr>
            </w:pPr>
          </w:p>
        </w:tc>
        <w:tc>
          <w:tcPr>
            <w:tcW w:w="110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55"/>
        </w:trPr>
        <w:tc>
          <w:tcPr>
            <w:tcW w:w="60" w:type="dxa"/>
            <w:vAlign w:val="bottom"/>
          </w:tcPr>
          <w:p>
            <w:pPr>
              <w:spacing w:after="0"/>
              <w:rPr>
                <w:sz w:val="22"/>
                <w:szCs w:val="22"/>
                <w:color w:val="auto"/>
              </w:rPr>
            </w:pPr>
          </w:p>
        </w:tc>
        <w:tc>
          <w:tcPr>
            <w:tcW w:w="7600" w:type="dxa"/>
            <w:vAlign w:val="bottom"/>
            <w:gridSpan w:val="2"/>
          </w:tcPr>
          <w:p>
            <w:pPr>
              <w:ind w:left="320"/>
              <w:spacing w:after="0"/>
              <w:rPr>
                <w:sz w:val="20"/>
                <w:szCs w:val="20"/>
                <w:color w:val="auto"/>
              </w:rPr>
            </w:pPr>
            <w:r>
              <w:rPr>
                <w:rFonts w:ascii="Arial" w:cs="Arial" w:eastAsia="Arial" w:hAnsi="Arial"/>
                <w:sz w:val="16"/>
                <w:szCs w:val="16"/>
                <w:color w:val="auto"/>
              </w:rPr>
              <w:t>Total liabilities</w:t>
            </w: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3,085.9</w:t>
            </w: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3,133.8</w:t>
            </w:r>
          </w:p>
        </w:tc>
        <w:tc>
          <w:tcPr>
            <w:tcW w:w="0" w:type="dxa"/>
            <w:vAlign w:val="bottom"/>
          </w:tcPr>
          <w:p>
            <w:pPr>
              <w:spacing w:after="0"/>
              <w:rPr>
                <w:sz w:val="1"/>
                <w:szCs w:val="1"/>
                <w:color w:val="auto"/>
              </w:rPr>
            </w:pPr>
          </w:p>
        </w:tc>
      </w:tr>
      <w:tr>
        <w:trPr>
          <w:trHeight w:val="43"/>
        </w:trPr>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9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60" w:type="dxa"/>
            <w:vAlign w:val="bottom"/>
            <w:tcBorders>
              <w:bottom w:val="single" w:sz="8" w:color="DCE2EF"/>
            </w:tcBorders>
            <w:shd w:val="clear" w:color="auto" w:fill="DCE2EF"/>
          </w:tcPr>
          <w:p>
            <w:pPr>
              <w:spacing w:after="0"/>
              <w:rPr>
                <w:sz w:val="24"/>
                <w:szCs w:val="24"/>
                <w:color w:val="auto"/>
              </w:rPr>
            </w:pPr>
          </w:p>
        </w:tc>
        <w:tc>
          <w:tcPr>
            <w:tcW w:w="7600" w:type="dxa"/>
            <w:vAlign w:val="bottom"/>
            <w:tcBorders>
              <w:bottom w:val="single" w:sz="8" w:color="DCE2EF"/>
            </w:tcBorders>
            <w:gridSpan w:val="2"/>
            <w:shd w:val="clear" w:color="auto" w:fill="DCE2EF"/>
          </w:tcPr>
          <w:p>
            <w:pPr>
              <w:ind w:left="320"/>
              <w:spacing w:after="0"/>
              <w:rPr>
                <w:sz w:val="20"/>
                <w:szCs w:val="20"/>
                <w:color w:val="auto"/>
              </w:rPr>
            </w:pPr>
            <w:r>
              <w:rPr>
                <w:rFonts w:ascii="Arial" w:cs="Arial" w:eastAsia="Arial" w:hAnsi="Arial"/>
                <w:sz w:val="16"/>
                <w:szCs w:val="16"/>
                <w:color w:val="auto"/>
              </w:rPr>
              <w:t>Total stockholders’ equity</w:t>
            </w:r>
          </w:p>
        </w:tc>
        <w:tc>
          <w:tcPr>
            <w:tcW w:w="920" w:type="dxa"/>
            <w:vAlign w:val="bottom"/>
            <w:tcBorders>
              <w:bottom w:val="single" w:sz="8" w:color="auto"/>
            </w:tcBorders>
            <w:shd w:val="clear" w:color="auto" w:fill="DCE2EF"/>
          </w:tcPr>
          <w:p>
            <w:pPr>
              <w:spacing w:after="0"/>
              <w:rPr>
                <w:sz w:val="24"/>
                <w:szCs w:val="24"/>
                <w:color w:val="auto"/>
              </w:rPr>
            </w:pPr>
          </w:p>
        </w:tc>
        <w:tc>
          <w:tcPr>
            <w:tcW w:w="18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1,843.6</w:t>
            </w:r>
          </w:p>
        </w:tc>
        <w:tc>
          <w:tcPr>
            <w:tcW w:w="220" w:type="dxa"/>
            <w:vAlign w:val="bottom"/>
            <w:tcBorders>
              <w:bottom w:val="single" w:sz="8" w:color="DCE2EF"/>
            </w:tcBorders>
            <w:shd w:val="clear" w:color="auto" w:fill="DCE2EF"/>
          </w:tcPr>
          <w:p>
            <w:pPr>
              <w:spacing w:after="0"/>
              <w:rPr>
                <w:sz w:val="24"/>
                <w:szCs w:val="24"/>
                <w:color w:val="auto"/>
              </w:rPr>
            </w:pPr>
          </w:p>
        </w:tc>
        <w:tc>
          <w:tcPr>
            <w:tcW w:w="110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1,799.9</w:t>
            </w:r>
          </w:p>
        </w:tc>
        <w:tc>
          <w:tcPr>
            <w:tcW w:w="0" w:type="dxa"/>
            <w:vAlign w:val="bottom"/>
          </w:tcPr>
          <w:p>
            <w:pPr>
              <w:spacing w:after="0"/>
              <w:rPr>
                <w:sz w:val="1"/>
                <w:szCs w:val="1"/>
                <w:color w:val="auto"/>
              </w:rPr>
            </w:pPr>
          </w:p>
        </w:tc>
      </w:tr>
      <w:tr>
        <w:trPr>
          <w:trHeight w:val="255"/>
        </w:trPr>
        <w:tc>
          <w:tcPr>
            <w:tcW w:w="7660" w:type="dxa"/>
            <w:vAlign w:val="bottom"/>
            <w:gridSpan w:val="3"/>
            <w:vMerge w:val="restart"/>
          </w:tcPr>
          <w:p>
            <w:pPr>
              <w:ind w:left="60"/>
              <w:spacing w:after="0"/>
              <w:rPr>
                <w:sz w:val="20"/>
                <w:szCs w:val="20"/>
                <w:color w:val="auto"/>
              </w:rPr>
            </w:pPr>
            <w:r>
              <w:rPr>
                <w:rFonts w:ascii="Arial" w:cs="Arial" w:eastAsia="Arial" w:hAnsi="Arial"/>
                <w:sz w:val="16"/>
                <w:szCs w:val="16"/>
                <w:color w:val="auto"/>
              </w:rPr>
              <w:t>Total liabilities and stockholders’ equity</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4,929.5</w:t>
            </w:r>
          </w:p>
        </w:tc>
        <w:tc>
          <w:tcPr>
            <w:tcW w:w="132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4,933.7</w:t>
            </w:r>
          </w:p>
        </w:tc>
        <w:tc>
          <w:tcPr>
            <w:tcW w:w="0" w:type="dxa"/>
            <w:vAlign w:val="bottom"/>
          </w:tcPr>
          <w:p>
            <w:pPr>
              <w:spacing w:after="0"/>
              <w:rPr>
                <w:sz w:val="1"/>
                <w:szCs w:val="1"/>
                <w:color w:val="auto"/>
              </w:rPr>
            </w:pPr>
          </w:p>
        </w:tc>
      </w:tr>
      <w:tr>
        <w:trPr>
          <w:trHeight w:val="42"/>
        </w:trPr>
        <w:tc>
          <w:tcPr>
            <w:tcW w:w="7660" w:type="dxa"/>
            <w:vAlign w:val="bottom"/>
            <w:gridSpan w:val="3"/>
            <w:vMerge w:val="continue"/>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-5762625</wp:posOffset>
            </wp:positionV>
            <wp:extent cx="146050" cy="11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-4182745</wp:posOffset>
            </wp:positionV>
            <wp:extent cx="1460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-4156710</wp:posOffset>
            </wp:positionV>
            <wp:extent cx="14605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-2007870</wp:posOffset>
            </wp:positionV>
            <wp:extent cx="146050" cy="11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-1811020</wp:posOffset>
            </wp:positionV>
            <wp:extent cx="146050" cy="114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-628015</wp:posOffset>
            </wp:positionV>
            <wp:extent cx="146050" cy="11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-233680</wp:posOffset>
            </wp:positionV>
            <wp:extent cx="146050" cy="11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6050" cy="1143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12" w:name="page13"/>
    <w:bookmarkEnd w:id="12"/>
    <w:p>
      <w:pPr>
        <w:ind w:right="4940"/>
        <w:spacing w:after="0" w:line="516" w:lineRule="auto"/>
        <w:rPr>
          <w:sz w:val="20"/>
          <w:szCs w:val="20"/>
          <w:color w:val="auto"/>
        </w:rPr>
      </w:pPr>
      <w:r>
        <w:rPr>
          <w:rFonts w:ascii="Arial" w:cs="Arial" w:eastAsia="Arial" w:hAnsi="Arial"/>
          <w:sz w:val="19"/>
          <w:szCs w:val="19"/>
          <w:b w:val="1"/>
          <w:bCs w:val="1"/>
          <w:color w:val="0046AD"/>
        </w:rPr>
        <w:t>ABM INDUSTRIES INCORPORATED AND SUBSIDIARIES REVENUES AND OPERATING PROFIT BY SEGMENT (UNAUDITED)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3280" w:type="dxa"/>
            <w:vAlign w:val="bottom"/>
            <w:gridSpan w:val="5"/>
          </w:tcPr>
          <w:p>
            <w:pPr>
              <w:jc w:val="right"/>
              <w:ind w:right="419"/>
              <w:spacing w:after="0"/>
              <w:rPr>
                <w:sz w:val="20"/>
                <w:szCs w:val="20"/>
                <w:color w:val="auto"/>
              </w:rPr>
            </w:pPr>
            <w:r>
              <w:rPr>
                <w:rFonts w:ascii="Arial" w:cs="Arial" w:eastAsia="Arial" w:hAnsi="Arial"/>
                <w:sz w:val="16"/>
                <w:szCs w:val="16"/>
                <w:b w:val="1"/>
                <w:bCs w:val="1"/>
                <w:color w:val="auto"/>
              </w:rPr>
              <w:t>Three Months Ended April 30,</w:t>
            </w:r>
          </w:p>
        </w:tc>
        <w:tc>
          <w:tcPr>
            <w:tcW w:w="200" w:type="dxa"/>
            <w:vAlign w:val="bottom"/>
          </w:tcPr>
          <w:p>
            <w:pPr>
              <w:spacing w:after="0"/>
              <w:rPr>
                <w:sz w:val="19"/>
                <w:szCs w:val="19"/>
                <w:color w:val="auto"/>
              </w:rPr>
            </w:pPr>
          </w:p>
        </w:tc>
        <w:tc>
          <w:tcPr>
            <w:tcW w:w="152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101"/>
        </w:trPr>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80" w:type="dxa"/>
            <w:vAlign w:val="bottom"/>
          </w:tcPr>
          <w:p>
            <w:pPr>
              <w:spacing w:after="0"/>
              <w:rPr>
                <w:sz w:val="8"/>
                <w:szCs w:val="8"/>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2024</w:t>
            </w:r>
          </w:p>
        </w:tc>
        <w:tc>
          <w:tcPr>
            <w:tcW w:w="580" w:type="dxa"/>
            <w:vAlign w:val="bottom"/>
          </w:tcPr>
          <w:p>
            <w:pPr>
              <w:spacing w:after="0"/>
              <w:rPr>
                <w:sz w:val="8"/>
                <w:szCs w:val="8"/>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2023</w:t>
            </w: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6240" w:type="dxa"/>
            <w:vAlign w:val="bottom"/>
            <w:gridSpan w:val="3"/>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6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ind w:right="259"/>
              <w:spacing w:after="0"/>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28"/>
        </w:trPr>
        <w:tc>
          <w:tcPr>
            <w:tcW w:w="60" w:type="dxa"/>
            <w:vAlign w:val="bottom"/>
            <w:tcBorders>
              <w:bottom w:val="single" w:sz="8" w:color="DCE2EF"/>
            </w:tcBorders>
          </w:tcPr>
          <w:p>
            <w:pPr>
              <w:spacing w:after="0"/>
              <w:rPr>
                <w:sz w:val="2"/>
                <w:szCs w:val="2"/>
                <w:color w:val="auto"/>
              </w:rPr>
            </w:pPr>
          </w:p>
        </w:tc>
        <w:tc>
          <w:tcPr>
            <w:tcW w:w="700" w:type="dxa"/>
            <w:vAlign w:val="bottom"/>
            <w:tcBorders>
              <w:top w:val="single" w:sz="8" w:color="auto"/>
              <w:bottom w:val="single" w:sz="8" w:color="DCE2EF"/>
            </w:tcBorders>
          </w:tcPr>
          <w:p>
            <w:pPr>
              <w:spacing w:after="0"/>
              <w:rPr>
                <w:sz w:val="2"/>
                <w:szCs w:val="2"/>
                <w:color w:val="auto"/>
              </w:rPr>
            </w:pPr>
          </w:p>
        </w:tc>
        <w:tc>
          <w:tcPr>
            <w:tcW w:w="5480" w:type="dxa"/>
            <w:vAlign w:val="bottom"/>
            <w:tcBorders>
              <w:bottom w:val="single" w:sz="8" w:color="DCE2E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DCE2E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DCE2E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24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Revenues</w:t>
            </w:r>
          </w:p>
        </w:tc>
        <w:tc>
          <w:tcPr>
            <w:tcW w:w="960" w:type="dxa"/>
            <w:vAlign w:val="bottom"/>
            <w:tcBorders>
              <w:bottom w:val="single" w:sz="8" w:color="DCE2EF"/>
            </w:tcBorders>
            <w:shd w:val="clear" w:color="auto" w:fill="DCE2EF"/>
          </w:tcPr>
          <w:p>
            <w:pPr>
              <w:spacing w:after="0"/>
              <w:rPr>
                <w:sz w:val="22"/>
                <w:szCs w:val="22"/>
                <w:color w:val="auto"/>
              </w:rPr>
            </w:pPr>
          </w:p>
        </w:tc>
        <w:tc>
          <w:tcPr>
            <w:tcW w:w="580" w:type="dxa"/>
            <w:vAlign w:val="bottom"/>
            <w:tcBorders>
              <w:bottom w:val="single" w:sz="8" w:color="DCE2EF"/>
            </w:tcBorders>
            <w:shd w:val="clear" w:color="auto" w:fill="DCE2EF"/>
          </w:tcPr>
          <w:p>
            <w:pPr>
              <w:spacing w:after="0"/>
              <w:rPr>
                <w:sz w:val="22"/>
                <w:szCs w:val="22"/>
                <w:color w:val="auto"/>
              </w:rPr>
            </w:pPr>
          </w:p>
        </w:tc>
        <w:tc>
          <w:tcPr>
            <w:tcW w:w="220" w:type="dxa"/>
            <w:vAlign w:val="bottom"/>
            <w:tcBorders>
              <w:bottom w:val="single" w:sz="8" w:color="DCE2EF"/>
            </w:tcBorders>
            <w:shd w:val="clear" w:color="auto" w:fill="DCE2EF"/>
          </w:tcPr>
          <w:p>
            <w:pPr>
              <w:spacing w:after="0"/>
              <w:rPr>
                <w:sz w:val="22"/>
                <w:szCs w:val="22"/>
                <w:color w:val="auto"/>
              </w:rPr>
            </w:pPr>
          </w:p>
        </w:tc>
        <w:tc>
          <w:tcPr>
            <w:tcW w:w="940" w:type="dxa"/>
            <w:vAlign w:val="bottom"/>
            <w:tcBorders>
              <w:bottom w:val="single" w:sz="8" w:color="DCE2EF"/>
            </w:tcBorders>
            <w:shd w:val="clear" w:color="auto" w:fill="DCE2EF"/>
          </w:tcPr>
          <w:p>
            <w:pPr>
              <w:spacing w:after="0"/>
              <w:rPr>
                <w:sz w:val="22"/>
                <w:szCs w:val="22"/>
                <w:color w:val="auto"/>
              </w:rPr>
            </w:pPr>
          </w:p>
        </w:tc>
        <w:tc>
          <w:tcPr>
            <w:tcW w:w="580" w:type="dxa"/>
            <w:vAlign w:val="bottom"/>
            <w:tcBorders>
              <w:bottom w:val="single" w:sz="8" w:color="DCE2EF"/>
            </w:tcBorders>
            <w:shd w:val="clear" w:color="auto" w:fill="DCE2EF"/>
          </w:tcPr>
          <w:p>
            <w:pPr>
              <w:spacing w:after="0"/>
              <w:rPr>
                <w:sz w:val="22"/>
                <w:szCs w:val="22"/>
                <w:color w:val="auto"/>
              </w:rPr>
            </w:pPr>
          </w:p>
        </w:tc>
        <w:tc>
          <w:tcPr>
            <w:tcW w:w="200" w:type="dxa"/>
            <w:vAlign w:val="bottom"/>
            <w:tcBorders>
              <w:bottom w:val="single" w:sz="8" w:color="DCE2EF"/>
            </w:tcBorders>
            <w:shd w:val="clear" w:color="auto" w:fill="DCE2EF"/>
          </w:tcPr>
          <w:p>
            <w:pPr>
              <w:spacing w:after="0"/>
              <w:rPr>
                <w:sz w:val="22"/>
                <w:szCs w:val="22"/>
                <w:color w:val="auto"/>
              </w:rPr>
            </w:pPr>
          </w:p>
        </w:tc>
        <w:tc>
          <w:tcPr>
            <w:tcW w:w="1520" w:type="dxa"/>
            <w:vAlign w:val="bottom"/>
            <w:tcBorders>
              <w:bottom w:val="single" w:sz="8" w:color="DCE2EF"/>
            </w:tcBorders>
            <w:shd w:val="clear" w:color="auto" w:fill="DCE2EF"/>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6240" w:type="dxa"/>
            <w:vAlign w:val="bottom"/>
            <w:gridSpan w:val="3"/>
          </w:tcPr>
          <w:p>
            <w:pPr>
              <w:ind w:left="60"/>
              <w:spacing w:after="0"/>
              <w:rPr>
                <w:sz w:val="20"/>
                <w:szCs w:val="20"/>
                <w:color w:val="auto"/>
              </w:rPr>
            </w:pPr>
            <w:r>
              <w:rPr>
                <w:rFonts w:ascii="Arial" w:cs="Arial" w:eastAsia="Arial" w:hAnsi="Arial"/>
                <w:sz w:val="16"/>
                <w:szCs w:val="16"/>
                <w:color w:val="auto"/>
              </w:rPr>
              <w:t>Business &amp; Industry</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989.6</w:t>
            </w:r>
          </w:p>
        </w:tc>
        <w:tc>
          <w:tcPr>
            <w:tcW w:w="11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998.5</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624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Manufacturing &amp; Distribution</w:t>
            </w:r>
          </w:p>
        </w:tc>
        <w:tc>
          <w:tcPr>
            <w:tcW w:w="96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388.6</w:t>
            </w:r>
          </w:p>
        </w:tc>
        <w:tc>
          <w:tcPr>
            <w:tcW w:w="220" w:type="dxa"/>
            <w:vAlign w:val="bottom"/>
            <w:tcBorders>
              <w:bottom w:val="single" w:sz="8" w:color="DCE2EF"/>
            </w:tcBorders>
            <w:shd w:val="clear" w:color="auto" w:fill="DCE2EF"/>
          </w:tcPr>
          <w:p>
            <w:pPr>
              <w:spacing w:after="0"/>
              <w:rPr>
                <w:sz w:val="24"/>
                <w:szCs w:val="24"/>
                <w:color w:val="auto"/>
              </w:rPr>
            </w:pPr>
          </w:p>
        </w:tc>
        <w:tc>
          <w:tcPr>
            <w:tcW w:w="94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373.2</w:t>
            </w:r>
          </w:p>
        </w:tc>
        <w:tc>
          <w:tcPr>
            <w:tcW w:w="1720" w:type="dxa"/>
            <w:vAlign w:val="bottom"/>
            <w:tcBorders>
              <w:bottom w:val="single" w:sz="8" w:color="DCE2EF"/>
            </w:tcBorders>
            <w:gridSpan w:val="2"/>
            <w:shd w:val="clear" w:color="auto" w:fill="DCE2E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82"/>
        </w:trPr>
        <w:tc>
          <w:tcPr>
            <w:tcW w:w="6240" w:type="dxa"/>
            <w:vAlign w:val="bottom"/>
            <w:gridSpan w:val="3"/>
          </w:tcPr>
          <w:p>
            <w:pPr>
              <w:ind w:left="60"/>
              <w:spacing w:after="0"/>
              <w:rPr>
                <w:sz w:val="20"/>
                <w:szCs w:val="20"/>
                <w:color w:val="auto"/>
              </w:rPr>
            </w:pPr>
            <w:r>
              <w:rPr>
                <w:rFonts w:ascii="Arial" w:cs="Arial" w:eastAsia="Arial" w:hAnsi="Arial"/>
                <w:sz w:val="16"/>
                <w:szCs w:val="16"/>
                <w:color w:val="auto"/>
              </w:rPr>
              <w:t>Education</w:t>
            </w:r>
          </w:p>
        </w:tc>
        <w:tc>
          <w:tcPr>
            <w:tcW w:w="9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225.6</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216.7</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624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Aviation</w:t>
            </w:r>
          </w:p>
        </w:tc>
        <w:tc>
          <w:tcPr>
            <w:tcW w:w="96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238.2</w:t>
            </w:r>
          </w:p>
        </w:tc>
        <w:tc>
          <w:tcPr>
            <w:tcW w:w="220" w:type="dxa"/>
            <w:vAlign w:val="bottom"/>
            <w:tcBorders>
              <w:bottom w:val="single" w:sz="8" w:color="DCE2EF"/>
            </w:tcBorders>
            <w:shd w:val="clear" w:color="auto" w:fill="DCE2EF"/>
          </w:tcPr>
          <w:p>
            <w:pPr>
              <w:spacing w:after="0"/>
              <w:rPr>
                <w:sz w:val="24"/>
                <w:szCs w:val="24"/>
                <w:color w:val="auto"/>
              </w:rPr>
            </w:pPr>
          </w:p>
        </w:tc>
        <w:tc>
          <w:tcPr>
            <w:tcW w:w="94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227.2</w:t>
            </w:r>
          </w:p>
        </w:tc>
        <w:tc>
          <w:tcPr>
            <w:tcW w:w="1720" w:type="dxa"/>
            <w:vAlign w:val="bottom"/>
            <w:tcBorders>
              <w:bottom w:val="single" w:sz="8" w:color="DCE2EF"/>
            </w:tcBorders>
            <w:gridSpan w:val="2"/>
            <w:shd w:val="clear" w:color="auto" w:fill="DCE2E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82"/>
        </w:trPr>
        <w:tc>
          <w:tcPr>
            <w:tcW w:w="6240" w:type="dxa"/>
            <w:vAlign w:val="bottom"/>
            <w:gridSpan w:val="3"/>
          </w:tcPr>
          <w:p>
            <w:pPr>
              <w:ind w:left="60"/>
              <w:spacing w:after="0"/>
              <w:rPr>
                <w:sz w:val="20"/>
                <w:szCs w:val="20"/>
                <w:color w:val="auto"/>
              </w:rPr>
            </w:pPr>
            <w:r>
              <w:rPr>
                <w:rFonts w:ascii="Arial" w:cs="Arial" w:eastAsia="Arial" w:hAnsi="Arial"/>
                <w:sz w:val="16"/>
                <w:szCs w:val="16"/>
                <w:color w:val="auto"/>
              </w:rPr>
              <w:t>Technical Solutions</w:t>
            </w:r>
          </w:p>
        </w:tc>
        <w:tc>
          <w:tcPr>
            <w:tcW w:w="9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176.2</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168.4</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9"/>
        </w:trPr>
        <w:tc>
          <w:tcPr>
            <w:tcW w:w="60" w:type="dxa"/>
            <w:vAlign w:val="bottom"/>
            <w:tcBorders>
              <w:bottom w:val="single" w:sz="8" w:color="DCE2EF"/>
            </w:tcBorders>
          </w:tcPr>
          <w:p>
            <w:pPr>
              <w:spacing w:after="0"/>
              <w:rPr>
                <w:sz w:val="2"/>
                <w:szCs w:val="2"/>
                <w:color w:val="auto"/>
              </w:rPr>
            </w:pPr>
          </w:p>
        </w:tc>
        <w:tc>
          <w:tcPr>
            <w:tcW w:w="700" w:type="dxa"/>
            <w:vAlign w:val="bottom"/>
            <w:tcBorders>
              <w:bottom w:val="single" w:sz="8" w:color="DCE2EF"/>
            </w:tcBorders>
          </w:tcPr>
          <w:p>
            <w:pPr>
              <w:spacing w:after="0"/>
              <w:rPr>
                <w:sz w:val="2"/>
                <w:szCs w:val="2"/>
                <w:color w:val="auto"/>
              </w:rPr>
            </w:pPr>
          </w:p>
        </w:tc>
        <w:tc>
          <w:tcPr>
            <w:tcW w:w="5480" w:type="dxa"/>
            <w:vAlign w:val="bottom"/>
            <w:tcBorders>
              <w:bottom w:val="single" w:sz="8" w:color="DCE2E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DCE2E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DCE2EF"/>
            </w:tcBorders>
          </w:tcPr>
          <w:p>
            <w:pPr>
              <w:spacing w:after="0"/>
              <w:rPr>
                <w:sz w:val="2"/>
                <w:szCs w:val="2"/>
                <w:color w:val="auto"/>
              </w:rPr>
            </w:pPr>
          </w:p>
        </w:tc>
        <w:tc>
          <w:tcPr>
            <w:tcW w:w="1520" w:type="dxa"/>
            <w:vAlign w:val="bottom"/>
            <w:tcBorders>
              <w:bottom w:val="single" w:sz="8" w:color="DCE2EF"/>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6240" w:type="dxa"/>
            <w:vAlign w:val="bottom"/>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Total Revenues</w:t>
            </w:r>
          </w:p>
        </w:tc>
        <w:tc>
          <w:tcPr>
            <w:tcW w:w="960" w:type="dxa"/>
            <w:vAlign w:val="bottom"/>
            <w:shd w:val="clear" w:color="auto" w:fill="DCE2EF"/>
          </w:tcPr>
          <w:p>
            <w:pPr>
              <w:jc w:val="right"/>
              <w:ind w:right="179"/>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2,018.2</w:t>
            </w:r>
          </w:p>
        </w:tc>
        <w:tc>
          <w:tcPr>
            <w:tcW w:w="1160" w:type="dxa"/>
            <w:vAlign w:val="bottom"/>
            <w:gridSpan w:val="2"/>
            <w:shd w:val="clear" w:color="auto" w:fill="DCE2EF"/>
          </w:tcPr>
          <w:p>
            <w:pPr>
              <w:jc w:val="right"/>
              <w:ind w:right="179"/>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1,984.0</w:t>
            </w:r>
          </w:p>
        </w:tc>
        <w:tc>
          <w:tcPr>
            <w:tcW w:w="17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43"/>
        </w:trPr>
        <w:tc>
          <w:tcPr>
            <w:tcW w:w="6240" w:type="dxa"/>
            <w:vAlign w:val="bottom"/>
            <w:tcBorders>
              <w:top w:val="single" w:sz="8" w:color="DCE2EF"/>
            </w:tcBorders>
            <w:gridSpan w:val="3"/>
          </w:tcPr>
          <w:p>
            <w:pPr>
              <w:ind w:left="60"/>
              <w:spacing w:after="0"/>
              <w:rPr>
                <w:sz w:val="20"/>
                <w:szCs w:val="20"/>
                <w:color w:val="auto"/>
              </w:rPr>
            </w:pPr>
            <w:r>
              <w:rPr>
                <w:rFonts w:ascii="Arial" w:cs="Arial" w:eastAsia="Arial" w:hAnsi="Arial"/>
                <w:sz w:val="16"/>
                <w:szCs w:val="16"/>
                <w:b w:val="1"/>
                <w:bCs w:val="1"/>
                <w:color w:val="auto"/>
              </w:rPr>
              <w:t>Operating profit</w:t>
            </w:r>
          </w:p>
        </w:tc>
        <w:tc>
          <w:tcPr>
            <w:tcW w:w="96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220" w:type="dxa"/>
            <w:vAlign w:val="bottom"/>
            <w:tcBorders>
              <w:top w:val="single" w:sz="8" w:color="DCE2EF"/>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200" w:type="dxa"/>
            <w:vAlign w:val="bottom"/>
            <w:tcBorders>
              <w:top w:val="single" w:sz="8" w:color="DCE2EF"/>
            </w:tcBorders>
          </w:tcPr>
          <w:p>
            <w:pPr>
              <w:spacing w:after="0"/>
              <w:rPr>
                <w:sz w:val="21"/>
                <w:szCs w:val="21"/>
                <w:color w:val="auto"/>
              </w:rPr>
            </w:pPr>
          </w:p>
        </w:tc>
        <w:tc>
          <w:tcPr>
            <w:tcW w:w="1520" w:type="dxa"/>
            <w:vAlign w:val="bottom"/>
            <w:tcBorders>
              <w:top w:val="single" w:sz="8" w:color="DCE2EF"/>
            </w:tcBorders>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24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Business &amp; Industry</w:t>
            </w:r>
          </w:p>
        </w:tc>
        <w:tc>
          <w:tcPr>
            <w:tcW w:w="9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77.6</w:t>
            </w:r>
          </w:p>
        </w:tc>
        <w:tc>
          <w:tcPr>
            <w:tcW w:w="1160" w:type="dxa"/>
            <w:vAlign w:val="bottom"/>
            <w:tcBorders>
              <w:bottom w:val="single" w:sz="8" w:color="DCE2EF"/>
            </w:tcBorders>
            <w:gridSpan w:val="2"/>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76.2</w:t>
            </w:r>
          </w:p>
        </w:tc>
        <w:tc>
          <w:tcPr>
            <w:tcW w:w="1720" w:type="dxa"/>
            <w:vAlign w:val="bottom"/>
            <w:tcBorders>
              <w:bottom w:val="single" w:sz="8" w:color="DCE2EF"/>
            </w:tcBorders>
            <w:gridSpan w:val="2"/>
            <w:shd w:val="clear" w:color="auto" w:fill="DCE2E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81"/>
        </w:trPr>
        <w:tc>
          <w:tcPr>
            <w:tcW w:w="6240" w:type="dxa"/>
            <w:vAlign w:val="bottom"/>
            <w:gridSpan w:val="3"/>
          </w:tcPr>
          <w:p>
            <w:pPr>
              <w:ind w:left="60"/>
              <w:spacing w:after="0"/>
              <w:rPr>
                <w:sz w:val="20"/>
                <w:szCs w:val="20"/>
                <w:color w:val="auto"/>
              </w:rPr>
            </w:pPr>
            <w:r>
              <w:rPr>
                <w:rFonts w:ascii="Arial" w:cs="Arial" w:eastAsia="Arial" w:hAnsi="Arial"/>
                <w:sz w:val="16"/>
                <w:szCs w:val="16"/>
                <w:color w:val="auto"/>
              </w:rPr>
              <w:t>Manufacturing &amp; Distribution</w:t>
            </w:r>
          </w:p>
        </w:tc>
        <w:tc>
          <w:tcPr>
            <w:tcW w:w="9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43.6</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40.8</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624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Education</w:t>
            </w:r>
          </w:p>
        </w:tc>
        <w:tc>
          <w:tcPr>
            <w:tcW w:w="96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11.5</w:t>
            </w:r>
          </w:p>
        </w:tc>
        <w:tc>
          <w:tcPr>
            <w:tcW w:w="220" w:type="dxa"/>
            <w:vAlign w:val="bottom"/>
            <w:tcBorders>
              <w:bottom w:val="single" w:sz="8" w:color="DCE2EF"/>
            </w:tcBorders>
            <w:shd w:val="clear" w:color="auto" w:fill="DCE2EF"/>
          </w:tcPr>
          <w:p>
            <w:pPr>
              <w:spacing w:after="0"/>
              <w:rPr>
                <w:sz w:val="24"/>
                <w:szCs w:val="24"/>
                <w:color w:val="auto"/>
              </w:rPr>
            </w:pPr>
          </w:p>
        </w:tc>
        <w:tc>
          <w:tcPr>
            <w:tcW w:w="94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11.8</w:t>
            </w:r>
          </w:p>
        </w:tc>
        <w:tc>
          <w:tcPr>
            <w:tcW w:w="1720" w:type="dxa"/>
            <w:vAlign w:val="bottom"/>
            <w:tcBorders>
              <w:bottom w:val="single" w:sz="8" w:color="DCE2EF"/>
            </w:tcBorders>
            <w:gridSpan w:val="2"/>
            <w:shd w:val="clear" w:color="auto" w:fill="DCE2E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81"/>
        </w:trPr>
        <w:tc>
          <w:tcPr>
            <w:tcW w:w="6240" w:type="dxa"/>
            <w:vAlign w:val="bottom"/>
            <w:gridSpan w:val="3"/>
          </w:tcPr>
          <w:p>
            <w:pPr>
              <w:ind w:left="60"/>
              <w:spacing w:after="0"/>
              <w:rPr>
                <w:sz w:val="20"/>
                <w:szCs w:val="20"/>
                <w:color w:val="auto"/>
              </w:rPr>
            </w:pPr>
            <w:r>
              <w:rPr>
                <w:rFonts w:ascii="Arial" w:cs="Arial" w:eastAsia="Arial" w:hAnsi="Arial"/>
                <w:sz w:val="16"/>
                <w:szCs w:val="16"/>
                <w:color w:val="auto"/>
              </w:rPr>
              <w:t>Aviation</w:t>
            </w:r>
          </w:p>
        </w:tc>
        <w:tc>
          <w:tcPr>
            <w:tcW w:w="9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13.1</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23.6</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624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Technical Solutions</w:t>
            </w:r>
          </w:p>
        </w:tc>
        <w:tc>
          <w:tcPr>
            <w:tcW w:w="96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17.0</w:t>
            </w:r>
          </w:p>
        </w:tc>
        <w:tc>
          <w:tcPr>
            <w:tcW w:w="220" w:type="dxa"/>
            <w:vAlign w:val="bottom"/>
            <w:tcBorders>
              <w:bottom w:val="single" w:sz="8" w:color="DCE2EF"/>
            </w:tcBorders>
            <w:shd w:val="clear" w:color="auto" w:fill="DCE2EF"/>
          </w:tcPr>
          <w:p>
            <w:pPr>
              <w:spacing w:after="0"/>
              <w:rPr>
                <w:sz w:val="24"/>
                <w:szCs w:val="24"/>
                <w:color w:val="auto"/>
              </w:rPr>
            </w:pPr>
          </w:p>
        </w:tc>
        <w:tc>
          <w:tcPr>
            <w:tcW w:w="94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10.2</w:t>
            </w:r>
          </w:p>
        </w:tc>
        <w:tc>
          <w:tcPr>
            <w:tcW w:w="1720" w:type="dxa"/>
            <w:vAlign w:val="bottom"/>
            <w:tcBorders>
              <w:bottom w:val="single" w:sz="8" w:color="DCE2EF"/>
            </w:tcBorders>
            <w:gridSpan w:val="2"/>
            <w:shd w:val="clear" w:color="auto" w:fill="DCE2EF"/>
          </w:tcPr>
          <w:p>
            <w:pPr>
              <w:jc w:val="right"/>
              <w:spacing w:after="0"/>
              <w:rPr>
                <w:sz w:val="20"/>
                <w:szCs w:val="20"/>
                <w:color w:val="auto"/>
              </w:rPr>
            </w:pPr>
            <w:r>
              <w:rPr>
                <w:rFonts w:ascii="Arial" w:cs="Arial" w:eastAsia="Arial" w:hAnsi="Arial"/>
                <w:sz w:val="16"/>
                <w:szCs w:val="16"/>
                <w:color w:val="auto"/>
              </w:rPr>
              <w:t>66.6%</w:t>
            </w:r>
          </w:p>
        </w:tc>
        <w:tc>
          <w:tcPr>
            <w:tcW w:w="0" w:type="dxa"/>
            <w:vAlign w:val="bottom"/>
          </w:tcPr>
          <w:p>
            <w:pPr>
              <w:spacing w:after="0"/>
              <w:rPr>
                <w:sz w:val="1"/>
                <w:szCs w:val="1"/>
                <w:color w:val="auto"/>
              </w:rPr>
            </w:pPr>
          </w:p>
        </w:tc>
      </w:tr>
      <w:tr>
        <w:trPr>
          <w:trHeight w:val="282"/>
        </w:trPr>
        <w:tc>
          <w:tcPr>
            <w:tcW w:w="6240" w:type="dxa"/>
            <w:vAlign w:val="bottom"/>
            <w:gridSpan w:val="3"/>
          </w:tcPr>
          <w:p>
            <w:pPr>
              <w:ind w:left="60"/>
              <w:spacing w:after="0"/>
              <w:rPr>
                <w:sz w:val="20"/>
                <w:szCs w:val="20"/>
                <w:color w:val="auto"/>
              </w:rPr>
            </w:pPr>
            <w:r>
              <w:rPr>
                <w:rFonts w:ascii="Arial" w:cs="Arial" w:eastAsia="Arial" w:hAnsi="Arial"/>
                <w:sz w:val="16"/>
                <w:szCs w:val="16"/>
                <w:color w:val="auto"/>
              </w:rPr>
              <w:t>Corporate</w:t>
            </w:r>
          </w:p>
        </w:tc>
        <w:tc>
          <w:tcPr>
            <w:tcW w:w="9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(79.7)</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(69.2)</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24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Adjustment for income from unconsolidated affiliates, included in Aviation and</w:t>
            </w:r>
          </w:p>
        </w:tc>
        <w:tc>
          <w:tcPr>
            <w:tcW w:w="960" w:type="dxa"/>
            <w:vAlign w:val="bottom"/>
            <w:shd w:val="clear" w:color="auto" w:fill="DCE2EF"/>
          </w:tcPr>
          <w:p>
            <w:pPr>
              <w:spacing w:after="0"/>
              <w:rPr>
                <w:sz w:val="22"/>
                <w:szCs w:val="22"/>
                <w:color w:val="auto"/>
              </w:rPr>
            </w:pPr>
          </w:p>
        </w:tc>
        <w:tc>
          <w:tcPr>
            <w:tcW w:w="580" w:type="dxa"/>
            <w:vAlign w:val="bottom"/>
            <w:shd w:val="clear" w:color="auto" w:fill="DCE2EF"/>
          </w:tcPr>
          <w:p>
            <w:pPr>
              <w:spacing w:after="0"/>
              <w:rPr>
                <w:sz w:val="22"/>
                <w:szCs w:val="22"/>
                <w:color w:val="auto"/>
              </w:rPr>
            </w:pPr>
          </w:p>
        </w:tc>
        <w:tc>
          <w:tcPr>
            <w:tcW w:w="220" w:type="dxa"/>
            <w:vAlign w:val="bottom"/>
            <w:shd w:val="clear" w:color="auto" w:fill="DCE2EF"/>
          </w:tcPr>
          <w:p>
            <w:pPr>
              <w:spacing w:after="0"/>
              <w:rPr>
                <w:sz w:val="22"/>
                <w:szCs w:val="22"/>
                <w:color w:val="auto"/>
              </w:rPr>
            </w:pPr>
          </w:p>
        </w:tc>
        <w:tc>
          <w:tcPr>
            <w:tcW w:w="940" w:type="dxa"/>
            <w:vAlign w:val="bottom"/>
            <w:shd w:val="clear" w:color="auto" w:fill="DCE2EF"/>
          </w:tcPr>
          <w:p>
            <w:pPr>
              <w:spacing w:after="0"/>
              <w:rPr>
                <w:sz w:val="22"/>
                <w:szCs w:val="22"/>
                <w:color w:val="auto"/>
              </w:rPr>
            </w:pPr>
          </w:p>
        </w:tc>
        <w:tc>
          <w:tcPr>
            <w:tcW w:w="580" w:type="dxa"/>
            <w:vAlign w:val="bottom"/>
            <w:shd w:val="clear" w:color="auto" w:fill="DCE2EF"/>
          </w:tcPr>
          <w:p>
            <w:pPr>
              <w:spacing w:after="0"/>
              <w:rPr>
                <w:sz w:val="22"/>
                <w:szCs w:val="22"/>
                <w:color w:val="auto"/>
              </w:rPr>
            </w:pPr>
          </w:p>
        </w:tc>
        <w:tc>
          <w:tcPr>
            <w:tcW w:w="200" w:type="dxa"/>
            <w:vAlign w:val="bottom"/>
            <w:shd w:val="clear" w:color="auto" w:fill="DCE2EF"/>
          </w:tcPr>
          <w:p>
            <w:pPr>
              <w:spacing w:after="0"/>
              <w:rPr>
                <w:sz w:val="22"/>
                <w:szCs w:val="22"/>
                <w:color w:val="auto"/>
              </w:rPr>
            </w:pPr>
          </w:p>
        </w:tc>
        <w:tc>
          <w:tcPr>
            <w:tcW w:w="1520" w:type="dxa"/>
            <w:vAlign w:val="bottom"/>
            <w:shd w:val="clear" w:color="auto" w:fill="DCE2E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624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Technical Solutions</w:t>
            </w:r>
          </w:p>
        </w:tc>
        <w:tc>
          <w:tcPr>
            <w:tcW w:w="960" w:type="dxa"/>
            <w:vAlign w:val="bottom"/>
            <w:tcBorders>
              <w:bottom w:val="single" w:sz="8" w:color="DCE2EF"/>
            </w:tcBorders>
            <w:shd w:val="clear" w:color="auto" w:fill="DCE2EF"/>
          </w:tcPr>
          <w:p>
            <w:pPr>
              <w:spacing w:after="0"/>
              <w:rPr>
                <w:sz w:val="21"/>
                <w:szCs w:val="21"/>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(1.7)</w:t>
            </w:r>
          </w:p>
        </w:tc>
        <w:tc>
          <w:tcPr>
            <w:tcW w:w="220" w:type="dxa"/>
            <w:vAlign w:val="bottom"/>
            <w:tcBorders>
              <w:bottom w:val="single" w:sz="8" w:color="DCE2EF"/>
            </w:tcBorders>
            <w:shd w:val="clear" w:color="auto" w:fill="DCE2EF"/>
          </w:tcPr>
          <w:p>
            <w:pPr>
              <w:spacing w:after="0"/>
              <w:rPr>
                <w:sz w:val="21"/>
                <w:szCs w:val="21"/>
                <w:color w:val="auto"/>
              </w:rPr>
            </w:pPr>
          </w:p>
        </w:tc>
        <w:tc>
          <w:tcPr>
            <w:tcW w:w="940" w:type="dxa"/>
            <w:vAlign w:val="bottom"/>
            <w:tcBorders>
              <w:bottom w:val="single" w:sz="8" w:color="DCE2EF"/>
            </w:tcBorders>
            <w:shd w:val="clear" w:color="auto" w:fill="DCE2EF"/>
          </w:tcPr>
          <w:p>
            <w:pPr>
              <w:spacing w:after="0"/>
              <w:rPr>
                <w:sz w:val="21"/>
                <w:szCs w:val="21"/>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(0.6)</w:t>
            </w:r>
          </w:p>
        </w:tc>
        <w:tc>
          <w:tcPr>
            <w:tcW w:w="200" w:type="dxa"/>
            <w:vAlign w:val="bottom"/>
            <w:tcBorders>
              <w:bottom w:val="single" w:sz="8" w:color="DCE2EF"/>
            </w:tcBorders>
            <w:shd w:val="clear" w:color="auto" w:fill="DCE2EF"/>
          </w:tcPr>
          <w:p>
            <w:pPr>
              <w:spacing w:after="0"/>
              <w:rPr>
                <w:sz w:val="21"/>
                <w:szCs w:val="21"/>
                <w:color w:val="auto"/>
              </w:rPr>
            </w:pPr>
          </w:p>
        </w:tc>
        <w:tc>
          <w:tcPr>
            <w:tcW w:w="152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62"/>
        </w:trPr>
        <w:tc>
          <w:tcPr>
            <w:tcW w:w="6240" w:type="dxa"/>
            <w:vAlign w:val="bottom"/>
            <w:gridSpan w:val="3"/>
          </w:tcPr>
          <w:p>
            <w:pPr>
              <w:ind w:left="60"/>
              <w:spacing w:after="0"/>
              <w:rPr>
                <w:sz w:val="20"/>
                <w:szCs w:val="20"/>
                <w:color w:val="auto"/>
              </w:rPr>
            </w:pPr>
            <w:r>
              <w:rPr>
                <w:rFonts w:ascii="Arial" w:cs="Arial" w:eastAsia="Arial" w:hAnsi="Arial"/>
                <w:sz w:val="16"/>
                <w:szCs w:val="16"/>
                <w:b w:val="1"/>
                <w:bCs w:val="1"/>
                <w:color w:val="auto"/>
              </w:rPr>
              <w:t>Total operating profit</w:t>
            </w:r>
          </w:p>
        </w:tc>
        <w:tc>
          <w:tcPr>
            <w:tcW w:w="96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81.3</w:t>
            </w:r>
          </w:p>
        </w:tc>
        <w:tc>
          <w:tcPr>
            <w:tcW w:w="220" w:type="dxa"/>
            <w:vAlign w:val="bottom"/>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92.7</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624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Income from unconsolidated affiliates</w:t>
            </w:r>
          </w:p>
        </w:tc>
        <w:tc>
          <w:tcPr>
            <w:tcW w:w="96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1.7</w:t>
            </w:r>
          </w:p>
        </w:tc>
        <w:tc>
          <w:tcPr>
            <w:tcW w:w="220" w:type="dxa"/>
            <w:vAlign w:val="bottom"/>
            <w:tcBorders>
              <w:bottom w:val="single" w:sz="8" w:color="DCE2EF"/>
            </w:tcBorders>
            <w:shd w:val="clear" w:color="auto" w:fill="DCE2EF"/>
          </w:tcPr>
          <w:p>
            <w:pPr>
              <w:spacing w:after="0"/>
              <w:rPr>
                <w:sz w:val="24"/>
                <w:szCs w:val="24"/>
                <w:color w:val="auto"/>
              </w:rPr>
            </w:pPr>
          </w:p>
        </w:tc>
        <w:tc>
          <w:tcPr>
            <w:tcW w:w="94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0.6</w:t>
            </w:r>
          </w:p>
        </w:tc>
        <w:tc>
          <w:tcPr>
            <w:tcW w:w="200" w:type="dxa"/>
            <w:vAlign w:val="bottom"/>
            <w:tcBorders>
              <w:bottom w:val="single" w:sz="8" w:color="DCE2EF"/>
            </w:tcBorders>
            <w:shd w:val="clear" w:color="auto" w:fill="DCE2EF"/>
          </w:tcPr>
          <w:p>
            <w:pPr>
              <w:spacing w:after="0"/>
              <w:rPr>
                <w:sz w:val="24"/>
                <w:szCs w:val="24"/>
                <w:color w:val="auto"/>
              </w:rPr>
            </w:pPr>
          </w:p>
        </w:tc>
        <w:tc>
          <w:tcPr>
            <w:tcW w:w="152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04"/>
        </w:trPr>
        <w:tc>
          <w:tcPr>
            <w:tcW w:w="6240" w:type="dxa"/>
            <w:vAlign w:val="bottom"/>
            <w:gridSpan w:val="3"/>
          </w:tcPr>
          <w:p>
            <w:pPr>
              <w:ind w:left="60"/>
              <w:spacing w:after="0"/>
              <w:rPr>
                <w:sz w:val="20"/>
                <w:szCs w:val="20"/>
                <w:color w:val="auto"/>
              </w:rPr>
            </w:pPr>
            <w:r>
              <w:rPr>
                <w:rFonts w:ascii="Arial" w:cs="Arial" w:eastAsia="Arial" w:hAnsi="Arial"/>
                <w:sz w:val="16"/>
                <w:szCs w:val="16"/>
                <w:color w:val="auto"/>
              </w:rPr>
              <w:t>Interest expense</w:t>
            </w:r>
          </w:p>
        </w:tc>
        <w:tc>
          <w:tcPr>
            <w:tcW w:w="9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2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77"/>
        </w:trPr>
        <w:tc>
          <w:tcPr>
            <w:tcW w:w="624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Income before income taxes</w:t>
            </w:r>
          </w:p>
        </w:tc>
        <w:tc>
          <w:tcPr>
            <w:tcW w:w="96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62.4</w:t>
            </w:r>
          </w:p>
        </w:tc>
        <w:tc>
          <w:tcPr>
            <w:tcW w:w="220" w:type="dxa"/>
            <w:vAlign w:val="bottom"/>
            <w:tcBorders>
              <w:bottom w:val="single" w:sz="8" w:color="DCE2EF"/>
            </w:tcBorders>
            <w:shd w:val="clear" w:color="auto" w:fill="DCE2EF"/>
          </w:tcPr>
          <w:p>
            <w:pPr>
              <w:spacing w:after="0"/>
              <w:rPr>
                <w:sz w:val="24"/>
                <w:szCs w:val="24"/>
                <w:color w:val="auto"/>
              </w:rPr>
            </w:pPr>
          </w:p>
        </w:tc>
        <w:tc>
          <w:tcPr>
            <w:tcW w:w="940" w:type="dxa"/>
            <w:vAlign w:val="bottom"/>
            <w:tcBorders>
              <w:bottom w:val="single" w:sz="8" w:color="DCE2EF"/>
            </w:tcBorders>
            <w:shd w:val="clear" w:color="auto" w:fill="DCE2EF"/>
          </w:tcPr>
          <w:p>
            <w:pPr>
              <w:spacing w:after="0"/>
              <w:rPr>
                <w:sz w:val="24"/>
                <w:szCs w:val="24"/>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72.3</w:t>
            </w:r>
          </w:p>
        </w:tc>
        <w:tc>
          <w:tcPr>
            <w:tcW w:w="1720" w:type="dxa"/>
            <w:vAlign w:val="bottom"/>
            <w:tcBorders>
              <w:bottom w:val="single" w:sz="8" w:color="DCE2EF"/>
            </w:tcBorders>
            <w:gridSpan w:val="2"/>
            <w:shd w:val="clear" w:color="auto" w:fill="DCE2EF"/>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81"/>
        </w:trPr>
        <w:tc>
          <w:tcPr>
            <w:tcW w:w="6240" w:type="dxa"/>
            <w:vAlign w:val="bottom"/>
            <w:gridSpan w:val="3"/>
          </w:tcPr>
          <w:p>
            <w:pPr>
              <w:ind w:left="60"/>
              <w:spacing w:after="0"/>
              <w:rPr>
                <w:sz w:val="20"/>
                <w:szCs w:val="20"/>
                <w:color w:val="auto"/>
              </w:rPr>
            </w:pPr>
            <w:r>
              <w:rPr>
                <w:rFonts w:ascii="Arial" w:cs="Arial" w:eastAsia="Arial" w:hAnsi="Arial"/>
                <w:sz w:val="16"/>
                <w:szCs w:val="16"/>
                <w:color w:val="auto"/>
              </w:rPr>
              <w:t>Income tax provision</w:t>
            </w:r>
          </w:p>
        </w:tc>
        <w:tc>
          <w:tcPr>
            <w:tcW w:w="9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(18.7)</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(20.4)</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9"/>
        </w:trPr>
        <w:tc>
          <w:tcPr>
            <w:tcW w:w="60" w:type="dxa"/>
            <w:vAlign w:val="bottom"/>
            <w:tcBorders>
              <w:bottom w:val="single" w:sz="8" w:color="DCE2EF"/>
            </w:tcBorders>
          </w:tcPr>
          <w:p>
            <w:pPr>
              <w:spacing w:after="0"/>
              <w:rPr>
                <w:sz w:val="2"/>
                <w:szCs w:val="2"/>
                <w:color w:val="auto"/>
              </w:rPr>
            </w:pPr>
          </w:p>
        </w:tc>
        <w:tc>
          <w:tcPr>
            <w:tcW w:w="700" w:type="dxa"/>
            <w:vAlign w:val="bottom"/>
            <w:tcBorders>
              <w:bottom w:val="single" w:sz="8" w:color="DCE2EF"/>
            </w:tcBorders>
          </w:tcPr>
          <w:p>
            <w:pPr>
              <w:spacing w:after="0"/>
              <w:rPr>
                <w:sz w:val="2"/>
                <w:szCs w:val="2"/>
                <w:color w:val="auto"/>
              </w:rPr>
            </w:pPr>
          </w:p>
        </w:tc>
        <w:tc>
          <w:tcPr>
            <w:tcW w:w="5480" w:type="dxa"/>
            <w:vAlign w:val="bottom"/>
            <w:tcBorders>
              <w:bottom w:val="single" w:sz="8" w:color="DCE2E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DCE2E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DCE2EF"/>
            </w:tcBorders>
          </w:tcPr>
          <w:p>
            <w:pPr>
              <w:spacing w:after="0"/>
              <w:rPr>
                <w:sz w:val="2"/>
                <w:szCs w:val="2"/>
                <w:color w:val="auto"/>
              </w:rPr>
            </w:pPr>
          </w:p>
        </w:tc>
        <w:tc>
          <w:tcPr>
            <w:tcW w:w="1520" w:type="dxa"/>
            <w:vAlign w:val="bottom"/>
            <w:tcBorders>
              <w:bottom w:val="single" w:sz="8" w:color="DCE2EF"/>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624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Net income</w:t>
            </w:r>
          </w:p>
        </w:tc>
        <w:tc>
          <w:tcPr>
            <w:tcW w:w="9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43.8</w:t>
            </w:r>
          </w:p>
        </w:tc>
        <w:tc>
          <w:tcPr>
            <w:tcW w:w="220" w:type="dxa"/>
            <w:vAlign w:val="bottom"/>
            <w:tcBorders>
              <w:bottom w:val="single" w:sz="8" w:color="DCE2EF"/>
            </w:tcBorders>
            <w:shd w:val="clear" w:color="auto" w:fill="DCE2EF"/>
          </w:tcPr>
          <w:p>
            <w:pPr>
              <w:spacing w:after="0"/>
              <w:rPr>
                <w:sz w:val="24"/>
                <w:szCs w:val="24"/>
                <w:color w:val="auto"/>
              </w:rPr>
            </w:pPr>
          </w:p>
        </w:tc>
        <w:tc>
          <w:tcPr>
            <w:tcW w:w="9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51.9</w:t>
            </w:r>
          </w:p>
        </w:tc>
        <w:tc>
          <w:tcPr>
            <w:tcW w:w="1720" w:type="dxa"/>
            <w:vAlign w:val="bottom"/>
            <w:tcBorders>
              <w:bottom w:val="single" w:sz="8" w:color="DCE2EF"/>
            </w:tcBorders>
            <w:gridSpan w:val="2"/>
            <w:shd w:val="clear" w:color="auto" w:fill="DCE2EF"/>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-2922270</wp:posOffset>
            </wp:positionV>
            <wp:extent cx="14541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-2896870</wp:posOffset>
            </wp:positionV>
            <wp:extent cx="1454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-3119755</wp:posOffset>
            </wp:positionV>
            <wp:extent cx="1454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-2922270</wp:posOffset>
            </wp:positionV>
            <wp:extent cx="1371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-2896870</wp:posOffset>
            </wp:positionV>
            <wp:extent cx="137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-3119755</wp:posOffset>
            </wp:positionV>
            <wp:extent cx="137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-33655</wp:posOffset>
            </wp:positionV>
            <wp:extent cx="1454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1454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-230505</wp:posOffset>
            </wp:positionV>
            <wp:extent cx="1454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-33655</wp:posOffset>
            </wp:positionV>
            <wp:extent cx="137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137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-230505</wp:posOffset>
            </wp:positionV>
            <wp:extent cx="137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*Not meaningful (due to variance greater than or equal to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13" w:name="page14"/>
    <w:bookmarkEnd w:id="13"/>
    <w:p>
      <w:pPr>
        <w:ind w:right="4940" w:firstLine="55"/>
        <w:spacing w:after="0" w:line="405" w:lineRule="auto"/>
        <w:rPr>
          <w:sz w:val="20"/>
          <w:szCs w:val="20"/>
          <w:color w:val="auto"/>
        </w:rPr>
      </w:pPr>
      <w:r>
        <w:rPr>
          <w:rFonts w:ascii="Arial" w:cs="Arial" w:eastAsia="Arial" w:hAnsi="Arial"/>
          <w:sz w:val="19"/>
          <w:szCs w:val="19"/>
          <w:b w:val="1"/>
          <w:bCs w:val="1"/>
          <w:color w:val="0046AD"/>
        </w:rPr>
        <w:t>ABM INDUSTRIES INCORPORATED AND SUBSIDIARIES REVENUES AND OPERATING PROFIT BY SEGMENT (UNAUDITED)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74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Six Months Ended April 30,</w:t>
            </w:r>
          </w:p>
        </w:tc>
        <w:tc>
          <w:tcPr>
            <w:tcW w:w="200" w:type="dxa"/>
            <w:vAlign w:val="bottom"/>
          </w:tcPr>
          <w:p>
            <w:pPr>
              <w:spacing w:after="0"/>
              <w:rPr>
                <w:sz w:val="19"/>
                <w:szCs w:val="19"/>
                <w:color w:val="auto"/>
              </w:rPr>
            </w:pPr>
          </w:p>
        </w:tc>
        <w:tc>
          <w:tcPr>
            <w:tcW w:w="148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vMerge w:val="restart"/>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760" w:type="dxa"/>
            <w:vAlign w:val="bottom"/>
            <w:gridSpan w:val="3"/>
            <w:vMerge w:val="restart"/>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7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28"/>
        </w:trPr>
        <w:tc>
          <w:tcPr>
            <w:tcW w:w="120" w:type="dxa"/>
            <w:vAlign w:val="bottom"/>
            <w:tcBorders>
              <w:bottom w:val="single" w:sz="8" w:color="DCE2EF"/>
            </w:tcBorders>
          </w:tcPr>
          <w:p>
            <w:pPr>
              <w:spacing w:after="0"/>
              <w:rPr>
                <w:sz w:val="2"/>
                <w:szCs w:val="2"/>
                <w:color w:val="auto"/>
              </w:rPr>
            </w:pPr>
          </w:p>
        </w:tc>
        <w:tc>
          <w:tcPr>
            <w:tcW w:w="700" w:type="dxa"/>
            <w:vAlign w:val="bottom"/>
            <w:tcBorders>
              <w:top w:val="single" w:sz="8" w:color="auto"/>
              <w:bottom w:val="single" w:sz="8" w:color="DCE2EF"/>
            </w:tcBorders>
          </w:tcPr>
          <w:p>
            <w:pPr>
              <w:spacing w:after="0"/>
              <w:rPr>
                <w:sz w:val="2"/>
                <w:szCs w:val="2"/>
                <w:color w:val="auto"/>
              </w:rPr>
            </w:pPr>
          </w:p>
        </w:tc>
        <w:tc>
          <w:tcPr>
            <w:tcW w:w="5460" w:type="dxa"/>
            <w:vAlign w:val="bottom"/>
            <w:tcBorders>
              <w:bottom w:val="single" w:sz="8" w:color="DCE2E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DCE2E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DCE2E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20" w:type="dxa"/>
            <w:vAlign w:val="bottom"/>
            <w:tcBorders>
              <w:bottom w:val="single" w:sz="8" w:color="DCE2EF"/>
            </w:tcBorders>
            <w:shd w:val="clear" w:color="auto" w:fill="DCE2EF"/>
          </w:tcPr>
          <w:p>
            <w:pPr>
              <w:spacing w:after="0"/>
              <w:rPr>
                <w:sz w:val="22"/>
                <w:szCs w:val="22"/>
                <w:color w:val="auto"/>
              </w:rPr>
            </w:pPr>
          </w:p>
        </w:tc>
        <w:tc>
          <w:tcPr>
            <w:tcW w:w="616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6"/>
                <w:szCs w:val="16"/>
                <w:b w:val="1"/>
                <w:bCs w:val="1"/>
                <w:color w:val="auto"/>
              </w:rPr>
              <w:t>Revenues</w:t>
            </w:r>
          </w:p>
        </w:tc>
        <w:tc>
          <w:tcPr>
            <w:tcW w:w="540" w:type="dxa"/>
            <w:vAlign w:val="bottom"/>
            <w:tcBorders>
              <w:bottom w:val="single" w:sz="8" w:color="DCE2EF"/>
            </w:tcBorders>
            <w:shd w:val="clear" w:color="auto" w:fill="DCE2EF"/>
          </w:tcPr>
          <w:p>
            <w:pPr>
              <w:spacing w:after="0"/>
              <w:rPr>
                <w:sz w:val="22"/>
                <w:szCs w:val="22"/>
                <w:color w:val="auto"/>
              </w:rPr>
            </w:pPr>
          </w:p>
        </w:tc>
        <w:tc>
          <w:tcPr>
            <w:tcW w:w="980" w:type="dxa"/>
            <w:vAlign w:val="bottom"/>
            <w:tcBorders>
              <w:bottom w:val="single" w:sz="8" w:color="DCE2EF"/>
            </w:tcBorders>
            <w:shd w:val="clear" w:color="auto" w:fill="DCE2EF"/>
          </w:tcPr>
          <w:p>
            <w:pPr>
              <w:spacing w:after="0"/>
              <w:rPr>
                <w:sz w:val="22"/>
                <w:szCs w:val="22"/>
                <w:color w:val="auto"/>
              </w:rPr>
            </w:pPr>
          </w:p>
        </w:tc>
        <w:tc>
          <w:tcPr>
            <w:tcW w:w="220" w:type="dxa"/>
            <w:vAlign w:val="bottom"/>
            <w:tcBorders>
              <w:bottom w:val="single" w:sz="8" w:color="DCE2EF"/>
            </w:tcBorders>
            <w:shd w:val="clear" w:color="auto" w:fill="DCE2EF"/>
          </w:tcPr>
          <w:p>
            <w:pPr>
              <w:spacing w:after="0"/>
              <w:rPr>
                <w:sz w:val="22"/>
                <w:szCs w:val="22"/>
                <w:color w:val="auto"/>
              </w:rPr>
            </w:pPr>
          </w:p>
        </w:tc>
        <w:tc>
          <w:tcPr>
            <w:tcW w:w="860" w:type="dxa"/>
            <w:vAlign w:val="bottom"/>
            <w:tcBorders>
              <w:bottom w:val="single" w:sz="8" w:color="DCE2EF"/>
            </w:tcBorders>
            <w:shd w:val="clear" w:color="auto" w:fill="DCE2EF"/>
          </w:tcPr>
          <w:p>
            <w:pPr>
              <w:spacing w:after="0"/>
              <w:rPr>
                <w:sz w:val="22"/>
                <w:szCs w:val="22"/>
                <w:color w:val="auto"/>
              </w:rPr>
            </w:pPr>
          </w:p>
        </w:tc>
        <w:tc>
          <w:tcPr>
            <w:tcW w:w="680" w:type="dxa"/>
            <w:vAlign w:val="bottom"/>
            <w:tcBorders>
              <w:bottom w:val="single" w:sz="8" w:color="DCE2EF"/>
            </w:tcBorders>
            <w:shd w:val="clear" w:color="auto" w:fill="DCE2EF"/>
          </w:tcPr>
          <w:p>
            <w:pPr>
              <w:spacing w:after="0"/>
              <w:rPr>
                <w:sz w:val="22"/>
                <w:szCs w:val="22"/>
                <w:color w:val="auto"/>
              </w:rPr>
            </w:pPr>
          </w:p>
        </w:tc>
        <w:tc>
          <w:tcPr>
            <w:tcW w:w="200" w:type="dxa"/>
            <w:vAlign w:val="bottom"/>
            <w:tcBorders>
              <w:bottom w:val="single" w:sz="8" w:color="DCE2EF"/>
            </w:tcBorders>
            <w:shd w:val="clear" w:color="auto" w:fill="DCE2EF"/>
          </w:tcPr>
          <w:p>
            <w:pPr>
              <w:spacing w:after="0"/>
              <w:rPr>
                <w:sz w:val="22"/>
                <w:szCs w:val="22"/>
                <w:color w:val="auto"/>
              </w:rPr>
            </w:pPr>
          </w:p>
        </w:tc>
        <w:tc>
          <w:tcPr>
            <w:tcW w:w="1480" w:type="dxa"/>
            <w:vAlign w:val="bottom"/>
            <w:tcBorders>
              <w:bottom w:val="single" w:sz="8" w:color="DCE2EF"/>
            </w:tcBorders>
            <w:shd w:val="clear" w:color="auto" w:fill="DCE2EF"/>
          </w:tcPr>
          <w:p>
            <w:pPr>
              <w:spacing w:after="0"/>
              <w:rPr>
                <w:sz w:val="22"/>
                <w:szCs w:val="22"/>
                <w:color w:val="auto"/>
              </w:rPr>
            </w:pPr>
          </w:p>
        </w:tc>
        <w:tc>
          <w:tcPr>
            <w:tcW w:w="0" w:type="dxa"/>
            <w:vAlign w:val="bottom"/>
          </w:tcPr>
          <w:p>
            <w:pPr>
              <w:spacing w:after="0"/>
              <w:rPr>
                <w:sz w:val="1"/>
                <w:szCs w:val="1"/>
                <w:color w:val="auto"/>
              </w:rPr>
            </w:pPr>
          </w:p>
        </w:tc>
      </w:tr>
      <w:tr>
        <w:trPr>
          <w:trHeight w:val="335"/>
        </w:trPr>
        <w:tc>
          <w:tcPr>
            <w:tcW w:w="12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Arial" w:cs="Arial" w:eastAsia="Arial" w:hAnsi="Arial"/>
                <w:sz w:val="16"/>
                <w:szCs w:val="16"/>
                <w:color w:val="auto"/>
              </w:rPr>
              <w:t>Business &amp; Industry</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2,022.8</w:t>
            </w:r>
          </w:p>
        </w:tc>
        <w:tc>
          <w:tcPr>
            <w:tcW w:w="108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2,035.0</w:t>
            </w:r>
          </w:p>
        </w:tc>
        <w:tc>
          <w:tcPr>
            <w:tcW w:w="1680" w:type="dxa"/>
            <w:vAlign w:val="bottom"/>
            <w:gridSpan w:val="2"/>
          </w:tcPr>
          <w:p>
            <w:pPr>
              <w:jc w:val="right"/>
              <w:ind w:right="1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5"/>
        </w:trPr>
        <w:tc>
          <w:tcPr>
            <w:tcW w:w="120" w:type="dxa"/>
            <w:vAlign w:val="bottom"/>
            <w:tcBorders>
              <w:bottom w:val="single" w:sz="8" w:color="DCE2EF"/>
            </w:tcBorders>
            <w:shd w:val="clear" w:color="auto" w:fill="DCE2EF"/>
          </w:tcPr>
          <w:p>
            <w:pPr>
              <w:spacing w:after="0"/>
              <w:rPr>
                <w:sz w:val="24"/>
                <w:szCs w:val="24"/>
                <w:color w:val="auto"/>
              </w:rPr>
            </w:pPr>
          </w:p>
        </w:tc>
        <w:tc>
          <w:tcPr>
            <w:tcW w:w="616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6"/>
                <w:szCs w:val="16"/>
                <w:color w:val="auto"/>
              </w:rPr>
              <w:t>Manufacturing &amp; Distribution</w:t>
            </w:r>
          </w:p>
        </w:tc>
        <w:tc>
          <w:tcPr>
            <w:tcW w:w="540" w:type="dxa"/>
            <w:vAlign w:val="bottom"/>
            <w:tcBorders>
              <w:bottom w:val="single" w:sz="8" w:color="DCE2EF"/>
            </w:tcBorders>
            <w:shd w:val="clear" w:color="auto" w:fill="DCE2EF"/>
          </w:tcPr>
          <w:p>
            <w:pPr>
              <w:spacing w:after="0"/>
              <w:rPr>
                <w:sz w:val="24"/>
                <w:szCs w:val="24"/>
                <w:color w:val="auto"/>
              </w:rPr>
            </w:pPr>
          </w:p>
        </w:tc>
        <w:tc>
          <w:tcPr>
            <w:tcW w:w="98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789.5</w:t>
            </w:r>
          </w:p>
        </w:tc>
        <w:tc>
          <w:tcPr>
            <w:tcW w:w="220" w:type="dxa"/>
            <w:vAlign w:val="bottom"/>
            <w:tcBorders>
              <w:bottom w:val="single" w:sz="8" w:color="DCE2EF"/>
            </w:tcBorders>
            <w:shd w:val="clear" w:color="auto" w:fill="DCE2EF"/>
          </w:tcPr>
          <w:p>
            <w:pPr>
              <w:spacing w:after="0"/>
              <w:rPr>
                <w:sz w:val="24"/>
                <w:szCs w:val="24"/>
                <w:color w:val="auto"/>
              </w:rPr>
            </w:pPr>
          </w:p>
        </w:tc>
        <w:tc>
          <w:tcPr>
            <w:tcW w:w="860" w:type="dxa"/>
            <w:vAlign w:val="bottom"/>
            <w:tcBorders>
              <w:bottom w:val="single" w:sz="8" w:color="DCE2EF"/>
            </w:tcBorders>
            <w:shd w:val="clear" w:color="auto" w:fill="DCE2EF"/>
          </w:tcPr>
          <w:p>
            <w:pPr>
              <w:spacing w:after="0"/>
              <w:rPr>
                <w:sz w:val="24"/>
                <w:szCs w:val="24"/>
                <w:color w:val="auto"/>
              </w:rPr>
            </w:pPr>
          </w:p>
        </w:tc>
        <w:tc>
          <w:tcPr>
            <w:tcW w:w="680" w:type="dxa"/>
            <w:vAlign w:val="bottom"/>
            <w:tcBorders>
              <w:bottom w:val="single" w:sz="8" w:color="DCE2EF"/>
            </w:tcBorders>
            <w:shd w:val="clear" w:color="auto" w:fill="DCE2EF"/>
          </w:tcPr>
          <w:p>
            <w:pPr>
              <w:jc w:val="right"/>
              <w:ind w:right="39"/>
              <w:spacing w:after="0"/>
              <w:rPr>
                <w:sz w:val="20"/>
                <w:szCs w:val="20"/>
                <w:color w:val="auto"/>
              </w:rPr>
            </w:pPr>
            <w:r>
              <w:rPr>
                <w:rFonts w:ascii="Arial" w:cs="Arial" w:eastAsia="Arial" w:hAnsi="Arial"/>
                <w:sz w:val="16"/>
                <w:szCs w:val="16"/>
                <w:color w:val="auto"/>
              </w:rPr>
              <w:t>753.7</w:t>
            </w:r>
          </w:p>
        </w:tc>
        <w:tc>
          <w:tcPr>
            <w:tcW w:w="1680" w:type="dxa"/>
            <w:vAlign w:val="bottom"/>
            <w:tcBorders>
              <w:bottom w:val="single" w:sz="8" w:color="DCE2EF"/>
            </w:tcBorders>
            <w:gridSpan w:val="2"/>
            <w:shd w:val="clear" w:color="auto" w:fill="DCE2EF"/>
          </w:tcPr>
          <w:p>
            <w:pPr>
              <w:jc w:val="right"/>
              <w:ind w:right="1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335"/>
        </w:trPr>
        <w:tc>
          <w:tcPr>
            <w:tcW w:w="12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Arial" w:cs="Arial" w:eastAsia="Arial" w:hAnsi="Arial"/>
                <w:sz w:val="16"/>
                <w:szCs w:val="16"/>
                <w:color w:val="auto"/>
              </w:rPr>
              <w:t>Education</w:t>
            </w:r>
          </w:p>
        </w:tc>
        <w:tc>
          <w:tcPr>
            <w:tcW w:w="54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445.7</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431.6</w:t>
            </w:r>
          </w:p>
        </w:tc>
        <w:tc>
          <w:tcPr>
            <w:tcW w:w="1680" w:type="dxa"/>
            <w:vAlign w:val="bottom"/>
            <w:gridSpan w:val="2"/>
          </w:tcPr>
          <w:p>
            <w:pPr>
              <w:jc w:val="right"/>
              <w:ind w:right="1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4"/>
        </w:trPr>
        <w:tc>
          <w:tcPr>
            <w:tcW w:w="120" w:type="dxa"/>
            <w:vAlign w:val="bottom"/>
            <w:tcBorders>
              <w:bottom w:val="single" w:sz="8" w:color="DCE2EF"/>
            </w:tcBorders>
            <w:shd w:val="clear" w:color="auto" w:fill="DCE2EF"/>
          </w:tcPr>
          <w:p>
            <w:pPr>
              <w:spacing w:after="0"/>
              <w:rPr>
                <w:sz w:val="24"/>
                <w:szCs w:val="24"/>
                <w:color w:val="auto"/>
              </w:rPr>
            </w:pPr>
          </w:p>
        </w:tc>
        <w:tc>
          <w:tcPr>
            <w:tcW w:w="616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6"/>
                <w:szCs w:val="16"/>
                <w:color w:val="auto"/>
              </w:rPr>
              <w:t>Aviation</w:t>
            </w:r>
          </w:p>
        </w:tc>
        <w:tc>
          <w:tcPr>
            <w:tcW w:w="540" w:type="dxa"/>
            <w:vAlign w:val="bottom"/>
            <w:tcBorders>
              <w:bottom w:val="single" w:sz="8" w:color="DCE2EF"/>
            </w:tcBorders>
            <w:shd w:val="clear" w:color="auto" w:fill="DCE2EF"/>
          </w:tcPr>
          <w:p>
            <w:pPr>
              <w:spacing w:after="0"/>
              <w:rPr>
                <w:sz w:val="24"/>
                <w:szCs w:val="24"/>
                <w:color w:val="auto"/>
              </w:rPr>
            </w:pPr>
          </w:p>
        </w:tc>
        <w:tc>
          <w:tcPr>
            <w:tcW w:w="98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487.8</w:t>
            </w:r>
          </w:p>
        </w:tc>
        <w:tc>
          <w:tcPr>
            <w:tcW w:w="220" w:type="dxa"/>
            <w:vAlign w:val="bottom"/>
            <w:tcBorders>
              <w:bottom w:val="single" w:sz="8" w:color="DCE2EF"/>
            </w:tcBorders>
            <w:shd w:val="clear" w:color="auto" w:fill="DCE2EF"/>
          </w:tcPr>
          <w:p>
            <w:pPr>
              <w:spacing w:after="0"/>
              <w:rPr>
                <w:sz w:val="24"/>
                <w:szCs w:val="24"/>
                <w:color w:val="auto"/>
              </w:rPr>
            </w:pPr>
          </w:p>
        </w:tc>
        <w:tc>
          <w:tcPr>
            <w:tcW w:w="860" w:type="dxa"/>
            <w:vAlign w:val="bottom"/>
            <w:tcBorders>
              <w:bottom w:val="single" w:sz="8" w:color="DCE2EF"/>
            </w:tcBorders>
            <w:shd w:val="clear" w:color="auto" w:fill="DCE2EF"/>
          </w:tcPr>
          <w:p>
            <w:pPr>
              <w:spacing w:after="0"/>
              <w:rPr>
                <w:sz w:val="24"/>
                <w:szCs w:val="24"/>
                <w:color w:val="auto"/>
              </w:rPr>
            </w:pPr>
          </w:p>
        </w:tc>
        <w:tc>
          <w:tcPr>
            <w:tcW w:w="680" w:type="dxa"/>
            <w:vAlign w:val="bottom"/>
            <w:tcBorders>
              <w:bottom w:val="single" w:sz="8" w:color="DCE2EF"/>
            </w:tcBorders>
            <w:shd w:val="clear" w:color="auto" w:fill="DCE2EF"/>
          </w:tcPr>
          <w:p>
            <w:pPr>
              <w:jc w:val="right"/>
              <w:ind w:right="39"/>
              <w:spacing w:after="0"/>
              <w:rPr>
                <w:sz w:val="20"/>
                <w:szCs w:val="20"/>
                <w:color w:val="auto"/>
              </w:rPr>
            </w:pPr>
            <w:r>
              <w:rPr>
                <w:rFonts w:ascii="Arial" w:cs="Arial" w:eastAsia="Arial" w:hAnsi="Arial"/>
                <w:sz w:val="16"/>
                <w:szCs w:val="16"/>
                <w:color w:val="auto"/>
              </w:rPr>
              <w:t>439.5</w:t>
            </w:r>
          </w:p>
        </w:tc>
        <w:tc>
          <w:tcPr>
            <w:tcW w:w="1680" w:type="dxa"/>
            <w:vAlign w:val="bottom"/>
            <w:tcBorders>
              <w:bottom w:val="single" w:sz="8" w:color="DCE2EF"/>
            </w:tcBorders>
            <w:gridSpan w:val="2"/>
            <w:shd w:val="clear" w:color="auto" w:fill="DCE2EF"/>
          </w:tcPr>
          <w:p>
            <w:pPr>
              <w:jc w:val="right"/>
              <w:ind w:right="19"/>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Arial" w:cs="Arial" w:eastAsia="Arial" w:hAnsi="Arial"/>
                <w:sz w:val="16"/>
                <w:szCs w:val="16"/>
                <w:color w:val="auto"/>
              </w:rPr>
              <w:t>Technical Solutions</w:t>
            </w:r>
          </w:p>
        </w:tc>
        <w:tc>
          <w:tcPr>
            <w:tcW w:w="5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342.1</w:t>
            </w:r>
          </w:p>
        </w:tc>
        <w:tc>
          <w:tcPr>
            <w:tcW w:w="2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315.5</w:t>
            </w:r>
          </w:p>
        </w:tc>
        <w:tc>
          <w:tcPr>
            <w:tcW w:w="1680" w:type="dxa"/>
            <w:vAlign w:val="bottom"/>
            <w:gridSpan w:val="2"/>
          </w:tcPr>
          <w:p>
            <w:pPr>
              <w:jc w:val="right"/>
              <w:ind w:right="19"/>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397"/>
        </w:trPr>
        <w:tc>
          <w:tcPr>
            <w:tcW w:w="120" w:type="dxa"/>
            <w:vAlign w:val="bottom"/>
            <w:tcBorders>
              <w:bottom w:val="single" w:sz="8" w:color="DCE2EF"/>
            </w:tcBorders>
            <w:shd w:val="clear" w:color="auto" w:fill="DCE2EF"/>
          </w:tcPr>
          <w:p>
            <w:pPr>
              <w:spacing w:after="0"/>
              <w:rPr>
                <w:sz w:val="24"/>
                <w:szCs w:val="24"/>
                <w:color w:val="auto"/>
              </w:rPr>
            </w:pPr>
          </w:p>
        </w:tc>
        <w:tc>
          <w:tcPr>
            <w:tcW w:w="616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6"/>
                <w:szCs w:val="16"/>
                <w:b w:val="1"/>
                <w:bCs w:val="1"/>
                <w:color w:val="auto"/>
              </w:rPr>
              <w:t>Total Revenues</w:t>
            </w:r>
          </w:p>
        </w:tc>
        <w:tc>
          <w:tcPr>
            <w:tcW w:w="54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4,087.8</w:t>
            </w:r>
          </w:p>
        </w:tc>
        <w:tc>
          <w:tcPr>
            <w:tcW w:w="1080" w:type="dxa"/>
            <w:vAlign w:val="bottom"/>
            <w:tcBorders>
              <w:bottom w:val="single" w:sz="8" w:color="DCE2EF"/>
            </w:tcBorders>
            <w:gridSpan w:val="2"/>
            <w:shd w:val="clear" w:color="auto" w:fill="DCE2EF"/>
          </w:tcPr>
          <w:p>
            <w:pPr>
              <w:jc w:val="right"/>
              <w:ind w:right="2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DCE2EF"/>
            </w:tcBorders>
            <w:shd w:val="clear" w:color="auto" w:fill="DCE2EF"/>
          </w:tcPr>
          <w:p>
            <w:pPr>
              <w:jc w:val="right"/>
              <w:ind w:right="39"/>
              <w:spacing w:after="0"/>
              <w:rPr>
                <w:sz w:val="20"/>
                <w:szCs w:val="20"/>
                <w:color w:val="auto"/>
              </w:rPr>
            </w:pPr>
            <w:r>
              <w:rPr>
                <w:rFonts w:ascii="Arial" w:cs="Arial" w:eastAsia="Arial" w:hAnsi="Arial"/>
                <w:sz w:val="16"/>
                <w:szCs w:val="16"/>
                <w:color w:val="auto"/>
              </w:rPr>
              <w:t>3,975.3</w:t>
            </w:r>
          </w:p>
        </w:tc>
        <w:tc>
          <w:tcPr>
            <w:tcW w:w="1680" w:type="dxa"/>
            <w:vAlign w:val="bottom"/>
            <w:tcBorders>
              <w:bottom w:val="single" w:sz="8" w:color="DCE2EF"/>
            </w:tcBorders>
            <w:gridSpan w:val="2"/>
            <w:shd w:val="clear" w:color="auto" w:fill="DCE2EF"/>
          </w:tcPr>
          <w:p>
            <w:pPr>
              <w:jc w:val="right"/>
              <w:ind w:right="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43"/>
        </w:trPr>
        <w:tc>
          <w:tcPr>
            <w:tcW w:w="120" w:type="dxa"/>
            <w:vAlign w:val="bottom"/>
            <w:tcBorders>
              <w:top w:val="single" w:sz="8" w:color="DCE2EF"/>
            </w:tcBorders>
          </w:tcPr>
          <w:p>
            <w:pPr>
              <w:spacing w:after="0"/>
              <w:rPr>
                <w:sz w:val="21"/>
                <w:szCs w:val="21"/>
                <w:color w:val="auto"/>
              </w:rPr>
            </w:pPr>
          </w:p>
        </w:tc>
        <w:tc>
          <w:tcPr>
            <w:tcW w:w="6160" w:type="dxa"/>
            <w:vAlign w:val="bottom"/>
            <w:tcBorders>
              <w:top w:val="single" w:sz="8" w:color="DCE2EF"/>
            </w:tcBorders>
            <w:gridSpan w:val="2"/>
          </w:tcPr>
          <w:p>
            <w:pPr>
              <w:spacing w:after="0"/>
              <w:rPr>
                <w:sz w:val="20"/>
                <w:szCs w:val="20"/>
                <w:color w:val="auto"/>
              </w:rPr>
            </w:pPr>
            <w:r>
              <w:rPr>
                <w:rFonts w:ascii="Arial" w:cs="Arial" w:eastAsia="Arial" w:hAnsi="Arial"/>
                <w:sz w:val="16"/>
                <w:szCs w:val="16"/>
                <w:b w:val="1"/>
                <w:bCs w:val="1"/>
                <w:color w:val="auto"/>
              </w:rPr>
              <w:t>Operating profit</w:t>
            </w:r>
          </w:p>
        </w:tc>
        <w:tc>
          <w:tcPr>
            <w:tcW w:w="5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20" w:type="dxa"/>
            <w:vAlign w:val="bottom"/>
            <w:tcBorders>
              <w:top w:val="single" w:sz="8" w:color="DCE2EF"/>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00" w:type="dxa"/>
            <w:vAlign w:val="bottom"/>
            <w:tcBorders>
              <w:top w:val="single" w:sz="8" w:color="DCE2EF"/>
            </w:tcBorders>
          </w:tcPr>
          <w:p>
            <w:pPr>
              <w:spacing w:after="0"/>
              <w:rPr>
                <w:sz w:val="21"/>
                <w:szCs w:val="21"/>
                <w:color w:val="auto"/>
              </w:rPr>
            </w:pPr>
          </w:p>
        </w:tc>
        <w:tc>
          <w:tcPr>
            <w:tcW w:w="1480" w:type="dxa"/>
            <w:vAlign w:val="bottom"/>
            <w:tcBorders>
              <w:top w:val="single" w:sz="8" w:color="DCE2EF"/>
            </w:tcBorders>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20" w:type="dxa"/>
            <w:vAlign w:val="bottom"/>
            <w:tcBorders>
              <w:bottom w:val="single" w:sz="8" w:color="DCE2EF"/>
            </w:tcBorders>
            <w:shd w:val="clear" w:color="auto" w:fill="DCE2EF"/>
          </w:tcPr>
          <w:p>
            <w:pPr>
              <w:spacing w:after="0"/>
              <w:rPr>
                <w:sz w:val="24"/>
                <w:szCs w:val="24"/>
                <w:color w:val="auto"/>
              </w:rPr>
            </w:pPr>
          </w:p>
        </w:tc>
        <w:tc>
          <w:tcPr>
            <w:tcW w:w="616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6"/>
                <w:szCs w:val="16"/>
                <w:color w:val="auto"/>
              </w:rPr>
              <w:t>Business &amp; Industry</w:t>
            </w:r>
          </w:p>
        </w:tc>
        <w:tc>
          <w:tcPr>
            <w:tcW w:w="540" w:type="dxa"/>
            <w:vAlign w:val="bottom"/>
            <w:tcBorders>
              <w:bottom w:val="single" w:sz="8" w:color="DCE2EF"/>
            </w:tcBorders>
            <w:shd w:val="clear" w:color="auto" w:fill="DCE2EF"/>
          </w:tcPr>
          <w:p>
            <w:pPr>
              <w:spacing w:after="0"/>
              <w:rPr>
                <w:sz w:val="24"/>
                <w:szCs w:val="24"/>
                <w:color w:val="auto"/>
              </w:rPr>
            </w:pPr>
          </w:p>
        </w:tc>
        <w:tc>
          <w:tcPr>
            <w:tcW w:w="98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$157.2</w:t>
            </w:r>
          </w:p>
        </w:tc>
        <w:tc>
          <w:tcPr>
            <w:tcW w:w="220" w:type="dxa"/>
            <w:vAlign w:val="bottom"/>
            <w:tcBorders>
              <w:bottom w:val="single" w:sz="8" w:color="DCE2EF"/>
            </w:tcBorders>
            <w:shd w:val="clear" w:color="auto" w:fill="DCE2EF"/>
          </w:tcPr>
          <w:p>
            <w:pPr>
              <w:spacing w:after="0"/>
              <w:rPr>
                <w:sz w:val="24"/>
                <w:szCs w:val="24"/>
                <w:color w:val="auto"/>
              </w:rPr>
            </w:pPr>
          </w:p>
        </w:tc>
        <w:tc>
          <w:tcPr>
            <w:tcW w:w="860" w:type="dxa"/>
            <w:vAlign w:val="bottom"/>
            <w:tcBorders>
              <w:bottom w:val="single" w:sz="8" w:color="DCE2EF"/>
            </w:tcBorders>
            <w:shd w:val="clear" w:color="auto" w:fill="DCE2EF"/>
          </w:tcPr>
          <w:p>
            <w:pPr>
              <w:spacing w:after="0"/>
              <w:rPr>
                <w:sz w:val="24"/>
                <w:szCs w:val="24"/>
                <w:color w:val="auto"/>
              </w:rPr>
            </w:pPr>
          </w:p>
        </w:tc>
        <w:tc>
          <w:tcPr>
            <w:tcW w:w="680" w:type="dxa"/>
            <w:vAlign w:val="bottom"/>
            <w:tcBorders>
              <w:bottom w:val="single" w:sz="8" w:color="DCE2EF"/>
            </w:tcBorders>
            <w:shd w:val="clear" w:color="auto" w:fill="DCE2EF"/>
          </w:tcPr>
          <w:p>
            <w:pPr>
              <w:jc w:val="right"/>
              <w:ind w:right="39"/>
              <w:spacing w:after="0"/>
              <w:rPr>
                <w:sz w:val="20"/>
                <w:szCs w:val="20"/>
                <w:color w:val="auto"/>
              </w:rPr>
            </w:pPr>
            <w:r>
              <w:rPr>
                <w:rFonts w:ascii="Arial" w:cs="Arial" w:eastAsia="Arial" w:hAnsi="Arial"/>
                <w:sz w:val="16"/>
                <w:szCs w:val="16"/>
                <w:color w:val="auto"/>
              </w:rPr>
              <w:t>$152.2</w:t>
            </w:r>
          </w:p>
        </w:tc>
        <w:tc>
          <w:tcPr>
            <w:tcW w:w="1680" w:type="dxa"/>
            <w:vAlign w:val="bottom"/>
            <w:tcBorders>
              <w:bottom w:val="single" w:sz="8" w:color="DCE2EF"/>
            </w:tcBorders>
            <w:gridSpan w:val="2"/>
            <w:shd w:val="clear" w:color="auto" w:fill="DCE2EF"/>
          </w:tcPr>
          <w:p>
            <w:pPr>
              <w:jc w:val="right"/>
              <w:ind w:right="1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335"/>
        </w:trPr>
        <w:tc>
          <w:tcPr>
            <w:tcW w:w="12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Arial" w:cs="Arial" w:eastAsia="Arial" w:hAnsi="Arial"/>
                <w:sz w:val="16"/>
                <w:szCs w:val="16"/>
                <w:color w:val="auto"/>
              </w:rPr>
              <w:t>Manufacturing &amp; Distribution</w:t>
            </w:r>
          </w:p>
        </w:tc>
        <w:tc>
          <w:tcPr>
            <w:tcW w:w="54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85.0</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81.7</w:t>
            </w:r>
          </w:p>
        </w:tc>
        <w:tc>
          <w:tcPr>
            <w:tcW w:w="1680" w:type="dxa"/>
            <w:vAlign w:val="bottom"/>
            <w:gridSpan w:val="2"/>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4"/>
        </w:trPr>
        <w:tc>
          <w:tcPr>
            <w:tcW w:w="120" w:type="dxa"/>
            <w:vAlign w:val="bottom"/>
            <w:tcBorders>
              <w:bottom w:val="single" w:sz="8" w:color="DCE2EF"/>
            </w:tcBorders>
            <w:shd w:val="clear" w:color="auto" w:fill="DCE2EF"/>
          </w:tcPr>
          <w:p>
            <w:pPr>
              <w:spacing w:after="0"/>
              <w:rPr>
                <w:sz w:val="24"/>
                <w:szCs w:val="24"/>
                <w:color w:val="auto"/>
              </w:rPr>
            </w:pPr>
          </w:p>
        </w:tc>
        <w:tc>
          <w:tcPr>
            <w:tcW w:w="616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6"/>
                <w:szCs w:val="16"/>
                <w:color w:val="auto"/>
              </w:rPr>
              <w:t>Education</w:t>
            </w:r>
          </w:p>
        </w:tc>
        <w:tc>
          <w:tcPr>
            <w:tcW w:w="540" w:type="dxa"/>
            <w:vAlign w:val="bottom"/>
            <w:tcBorders>
              <w:bottom w:val="single" w:sz="8" w:color="DCE2EF"/>
            </w:tcBorders>
            <w:shd w:val="clear" w:color="auto" w:fill="DCE2EF"/>
          </w:tcPr>
          <w:p>
            <w:pPr>
              <w:spacing w:after="0"/>
              <w:rPr>
                <w:sz w:val="24"/>
                <w:szCs w:val="24"/>
                <w:color w:val="auto"/>
              </w:rPr>
            </w:pPr>
          </w:p>
        </w:tc>
        <w:tc>
          <w:tcPr>
            <w:tcW w:w="98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24.3</w:t>
            </w:r>
          </w:p>
        </w:tc>
        <w:tc>
          <w:tcPr>
            <w:tcW w:w="220" w:type="dxa"/>
            <w:vAlign w:val="bottom"/>
            <w:tcBorders>
              <w:bottom w:val="single" w:sz="8" w:color="DCE2EF"/>
            </w:tcBorders>
            <w:shd w:val="clear" w:color="auto" w:fill="DCE2EF"/>
          </w:tcPr>
          <w:p>
            <w:pPr>
              <w:spacing w:after="0"/>
              <w:rPr>
                <w:sz w:val="24"/>
                <w:szCs w:val="24"/>
                <w:color w:val="auto"/>
              </w:rPr>
            </w:pPr>
          </w:p>
        </w:tc>
        <w:tc>
          <w:tcPr>
            <w:tcW w:w="860" w:type="dxa"/>
            <w:vAlign w:val="bottom"/>
            <w:tcBorders>
              <w:bottom w:val="single" w:sz="8" w:color="DCE2EF"/>
            </w:tcBorders>
            <w:shd w:val="clear" w:color="auto" w:fill="DCE2EF"/>
          </w:tcPr>
          <w:p>
            <w:pPr>
              <w:spacing w:after="0"/>
              <w:rPr>
                <w:sz w:val="24"/>
                <w:szCs w:val="24"/>
                <w:color w:val="auto"/>
              </w:rPr>
            </w:pPr>
          </w:p>
        </w:tc>
        <w:tc>
          <w:tcPr>
            <w:tcW w:w="680" w:type="dxa"/>
            <w:vAlign w:val="bottom"/>
            <w:tcBorders>
              <w:bottom w:val="single" w:sz="8" w:color="DCE2EF"/>
            </w:tcBorders>
            <w:shd w:val="clear" w:color="auto" w:fill="DCE2EF"/>
          </w:tcPr>
          <w:p>
            <w:pPr>
              <w:jc w:val="right"/>
              <w:ind w:right="39"/>
              <w:spacing w:after="0"/>
              <w:rPr>
                <w:sz w:val="20"/>
                <w:szCs w:val="20"/>
                <w:color w:val="auto"/>
              </w:rPr>
            </w:pPr>
            <w:r>
              <w:rPr>
                <w:rFonts w:ascii="Arial" w:cs="Arial" w:eastAsia="Arial" w:hAnsi="Arial"/>
                <w:sz w:val="16"/>
                <w:szCs w:val="16"/>
                <w:color w:val="auto"/>
              </w:rPr>
              <w:t>23.6</w:t>
            </w:r>
          </w:p>
        </w:tc>
        <w:tc>
          <w:tcPr>
            <w:tcW w:w="1680" w:type="dxa"/>
            <w:vAlign w:val="bottom"/>
            <w:tcBorders>
              <w:bottom w:val="single" w:sz="8" w:color="DCE2EF"/>
            </w:tcBorders>
            <w:gridSpan w:val="2"/>
            <w:shd w:val="clear" w:color="auto" w:fill="DCE2EF"/>
          </w:tcPr>
          <w:p>
            <w:pPr>
              <w:jc w:val="right"/>
              <w:ind w:right="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5"/>
        </w:trPr>
        <w:tc>
          <w:tcPr>
            <w:tcW w:w="12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Arial" w:cs="Arial" w:eastAsia="Arial" w:hAnsi="Arial"/>
                <w:sz w:val="16"/>
                <w:szCs w:val="16"/>
                <w:color w:val="auto"/>
              </w:rPr>
              <w:t>Aviation</w:t>
            </w:r>
          </w:p>
        </w:tc>
        <w:tc>
          <w:tcPr>
            <w:tcW w:w="54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22.8</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31.9</w:t>
            </w:r>
          </w:p>
        </w:tc>
        <w:tc>
          <w:tcPr>
            <w:tcW w:w="1680" w:type="dxa"/>
            <w:vAlign w:val="bottom"/>
            <w:gridSpan w:val="2"/>
          </w:tcPr>
          <w:p>
            <w:pPr>
              <w:jc w:val="right"/>
              <w:ind w:right="19"/>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5"/>
        </w:trPr>
        <w:tc>
          <w:tcPr>
            <w:tcW w:w="120" w:type="dxa"/>
            <w:vAlign w:val="bottom"/>
            <w:tcBorders>
              <w:bottom w:val="single" w:sz="8" w:color="DCE2EF"/>
            </w:tcBorders>
            <w:shd w:val="clear" w:color="auto" w:fill="DCE2EF"/>
          </w:tcPr>
          <w:p>
            <w:pPr>
              <w:spacing w:after="0"/>
              <w:rPr>
                <w:sz w:val="24"/>
                <w:szCs w:val="24"/>
                <w:color w:val="auto"/>
              </w:rPr>
            </w:pPr>
          </w:p>
        </w:tc>
        <w:tc>
          <w:tcPr>
            <w:tcW w:w="616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6"/>
                <w:szCs w:val="16"/>
                <w:color w:val="auto"/>
              </w:rPr>
              <w:t>Technical Solutions</w:t>
            </w:r>
          </w:p>
        </w:tc>
        <w:tc>
          <w:tcPr>
            <w:tcW w:w="540" w:type="dxa"/>
            <w:vAlign w:val="bottom"/>
            <w:tcBorders>
              <w:bottom w:val="single" w:sz="8" w:color="DCE2EF"/>
            </w:tcBorders>
            <w:shd w:val="clear" w:color="auto" w:fill="DCE2EF"/>
          </w:tcPr>
          <w:p>
            <w:pPr>
              <w:spacing w:after="0"/>
              <w:rPr>
                <w:sz w:val="24"/>
                <w:szCs w:val="24"/>
                <w:color w:val="auto"/>
              </w:rPr>
            </w:pPr>
          </w:p>
        </w:tc>
        <w:tc>
          <w:tcPr>
            <w:tcW w:w="98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23.5</w:t>
            </w:r>
          </w:p>
        </w:tc>
        <w:tc>
          <w:tcPr>
            <w:tcW w:w="220" w:type="dxa"/>
            <w:vAlign w:val="bottom"/>
            <w:tcBorders>
              <w:bottom w:val="single" w:sz="8" w:color="DCE2EF"/>
            </w:tcBorders>
            <w:shd w:val="clear" w:color="auto" w:fill="DCE2EF"/>
          </w:tcPr>
          <w:p>
            <w:pPr>
              <w:spacing w:after="0"/>
              <w:rPr>
                <w:sz w:val="24"/>
                <w:szCs w:val="24"/>
                <w:color w:val="auto"/>
              </w:rPr>
            </w:pPr>
          </w:p>
        </w:tc>
        <w:tc>
          <w:tcPr>
            <w:tcW w:w="860" w:type="dxa"/>
            <w:vAlign w:val="bottom"/>
            <w:tcBorders>
              <w:bottom w:val="single" w:sz="8" w:color="DCE2EF"/>
            </w:tcBorders>
            <w:shd w:val="clear" w:color="auto" w:fill="DCE2EF"/>
          </w:tcPr>
          <w:p>
            <w:pPr>
              <w:spacing w:after="0"/>
              <w:rPr>
                <w:sz w:val="24"/>
                <w:szCs w:val="24"/>
                <w:color w:val="auto"/>
              </w:rPr>
            </w:pPr>
          </w:p>
        </w:tc>
        <w:tc>
          <w:tcPr>
            <w:tcW w:w="680" w:type="dxa"/>
            <w:vAlign w:val="bottom"/>
            <w:tcBorders>
              <w:bottom w:val="single" w:sz="8" w:color="DCE2EF"/>
            </w:tcBorders>
            <w:shd w:val="clear" w:color="auto" w:fill="DCE2EF"/>
          </w:tcPr>
          <w:p>
            <w:pPr>
              <w:jc w:val="right"/>
              <w:ind w:right="39"/>
              <w:spacing w:after="0"/>
              <w:rPr>
                <w:sz w:val="20"/>
                <w:szCs w:val="20"/>
                <w:color w:val="auto"/>
              </w:rPr>
            </w:pPr>
            <w:r>
              <w:rPr>
                <w:rFonts w:ascii="Arial" w:cs="Arial" w:eastAsia="Arial" w:hAnsi="Arial"/>
                <w:sz w:val="16"/>
                <w:szCs w:val="16"/>
                <w:color w:val="auto"/>
              </w:rPr>
              <w:t>17.4</w:t>
            </w:r>
          </w:p>
        </w:tc>
        <w:tc>
          <w:tcPr>
            <w:tcW w:w="1680" w:type="dxa"/>
            <w:vAlign w:val="bottom"/>
            <w:tcBorders>
              <w:bottom w:val="single" w:sz="8" w:color="DCE2EF"/>
            </w:tcBorders>
            <w:gridSpan w:val="2"/>
            <w:shd w:val="clear" w:color="auto" w:fill="DCE2EF"/>
          </w:tcPr>
          <w:p>
            <w:pPr>
              <w:jc w:val="right"/>
              <w:ind w:right="19"/>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336"/>
        </w:trPr>
        <w:tc>
          <w:tcPr>
            <w:tcW w:w="12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Arial" w:cs="Arial" w:eastAsia="Arial" w:hAnsi="Arial"/>
                <w:sz w:val="16"/>
                <w:szCs w:val="16"/>
                <w:color w:val="auto"/>
              </w:rPr>
              <w:t>Corporate</w:t>
            </w:r>
          </w:p>
        </w:tc>
        <w:tc>
          <w:tcPr>
            <w:tcW w:w="54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(154.4)</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(140.8)</w:t>
            </w:r>
          </w:p>
        </w:tc>
        <w:tc>
          <w:tcPr>
            <w:tcW w:w="1680" w:type="dxa"/>
            <w:vAlign w:val="bottom"/>
            <w:gridSpan w:val="2"/>
          </w:tcPr>
          <w:p>
            <w:pPr>
              <w:jc w:val="right"/>
              <w:ind w:right="19"/>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120" w:type="dxa"/>
            <w:vAlign w:val="bottom"/>
            <w:shd w:val="clear" w:color="auto" w:fill="DCE2EF"/>
          </w:tcPr>
          <w:p>
            <w:pPr>
              <w:spacing w:after="0"/>
              <w:rPr>
                <w:sz w:val="22"/>
                <w:szCs w:val="22"/>
                <w:color w:val="auto"/>
              </w:rPr>
            </w:pPr>
          </w:p>
        </w:tc>
        <w:tc>
          <w:tcPr>
            <w:tcW w:w="6160" w:type="dxa"/>
            <w:vAlign w:val="bottom"/>
            <w:gridSpan w:val="2"/>
            <w:shd w:val="clear" w:color="auto" w:fill="DCE2EF"/>
          </w:tcPr>
          <w:p>
            <w:pPr>
              <w:spacing w:after="0"/>
              <w:rPr>
                <w:sz w:val="20"/>
                <w:szCs w:val="20"/>
                <w:color w:val="auto"/>
              </w:rPr>
            </w:pPr>
            <w:r>
              <w:rPr>
                <w:rFonts w:ascii="Arial" w:cs="Arial" w:eastAsia="Arial" w:hAnsi="Arial"/>
                <w:sz w:val="16"/>
                <w:szCs w:val="16"/>
                <w:color w:val="auto"/>
              </w:rPr>
              <w:t>Adjustment for income from unconsolidated affiliates, included in Aviation and</w:t>
            </w:r>
          </w:p>
        </w:tc>
        <w:tc>
          <w:tcPr>
            <w:tcW w:w="540" w:type="dxa"/>
            <w:vAlign w:val="bottom"/>
            <w:shd w:val="clear" w:color="auto" w:fill="DCE2EF"/>
          </w:tcPr>
          <w:p>
            <w:pPr>
              <w:spacing w:after="0"/>
              <w:rPr>
                <w:sz w:val="22"/>
                <w:szCs w:val="22"/>
                <w:color w:val="auto"/>
              </w:rPr>
            </w:pPr>
          </w:p>
        </w:tc>
        <w:tc>
          <w:tcPr>
            <w:tcW w:w="980" w:type="dxa"/>
            <w:vAlign w:val="bottom"/>
            <w:shd w:val="clear" w:color="auto" w:fill="DCE2EF"/>
          </w:tcPr>
          <w:p>
            <w:pPr>
              <w:spacing w:after="0"/>
              <w:rPr>
                <w:sz w:val="22"/>
                <w:szCs w:val="22"/>
                <w:color w:val="auto"/>
              </w:rPr>
            </w:pPr>
          </w:p>
        </w:tc>
        <w:tc>
          <w:tcPr>
            <w:tcW w:w="220" w:type="dxa"/>
            <w:vAlign w:val="bottom"/>
            <w:shd w:val="clear" w:color="auto" w:fill="DCE2EF"/>
          </w:tcPr>
          <w:p>
            <w:pPr>
              <w:spacing w:after="0"/>
              <w:rPr>
                <w:sz w:val="22"/>
                <w:szCs w:val="22"/>
                <w:color w:val="auto"/>
              </w:rPr>
            </w:pPr>
          </w:p>
        </w:tc>
        <w:tc>
          <w:tcPr>
            <w:tcW w:w="860" w:type="dxa"/>
            <w:vAlign w:val="bottom"/>
            <w:shd w:val="clear" w:color="auto" w:fill="DCE2EF"/>
          </w:tcPr>
          <w:p>
            <w:pPr>
              <w:spacing w:after="0"/>
              <w:rPr>
                <w:sz w:val="22"/>
                <w:szCs w:val="22"/>
                <w:color w:val="auto"/>
              </w:rPr>
            </w:pPr>
          </w:p>
        </w:tc>
        <w:tc>
          <w:tcPr>
            <w:tcW w:w="680" w:type="dxa"/>
            <w:vAlign w:val="bottom"/>
            <w:shd w:val="clear" w:color="auto" w:fill="DCE2EF"/>
          </w:tcPr>
          <w:p>
            <w:pPr>
              <w:spacing w:after="0"/>
              <w:rPr>
                <w:sz w:val="22"/>
                <w:szCs w:val="22"/>
                <w:color w:val="auto"/>
              </w:rPr>
            </w:pPr>
          </w:p>
        </w:tc>
        <w:tc>
          <w:tcPr>
            <w:tcW w:w="200" w:type="dxa"/>
            <w:vAlign w:val="bottom"/>
            <w:shd w:val="clear" w:color="auto" w:fill="DCE2EF"/>
          </w:tcPr>
          <w:p>
            <w:pPr>
              <w:spacing w:after="0"/>
              <w:rPr>
                <w:sz w:val="22"/>
                <w:szCs w:val="22"/>
                <w:color w:val="auto"/>
              </w:rPr>
            </w:pPr>
          </w:p>
        </w:tc>
        <w:tc>
          <w:tcPr>
            <w:tcW w:w="1480" w:type="dxa"/>
            <w:vAlign w:val="bottom"/>
            <w:shd w:val="clear" w:color="auto" w:fill="DCE2E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120" w:type="dxa"/>
            <w:vAlign w:val="bottom"/>
            <w:tcBorders>
              <w:bottom w:val="single" w:sz="8" w:color="DCE2EF"/>
            </w:tcBorders>
            <w:shd w:val="clear" w:color="auto" w:fill="DCE2EF"/>
          </w:tcPr>
          <w:p>
            <w:pPr>
              <w:spacing w:after="0"/>
              <w:rPr>
                <w:sz w:val="19"/>
                <w:szCs w:val="19"/>
                <w:color w:val="auto"/>
              </w:rPr>
            </w:pPr>
          </w:p>
        </w:tc>
        <w:tc>
          <w:tcPr>
            <w:tcW w:w="616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6"/>
                <w:szCs w:val="16"/>
                <w:color w:val="auto"/>
              </w:rPr>
              <w:t>Technical Solutions</w:t>
            </w:r>
          </w:p>
        </w:tc>
        <w:tc>
          <w:tcPr>
            <w:tcW w:w="540" w:type="dxa"/>
            <w:vAlign w:val="bottom"/>
            <w:tcBorders>
              <w:bottom w:val="single" w:sz="8" w:color="DCE2EF"/>
            </w:tcBorders>
            <w:shd w:val="clear" w:color="auto" w:fill="DCE2EF"/>
          </w:tcPr>
          <w:p>
            <w:pPr>
              <w:spacing w:after="0"/>
              <w:rPr>
                <w:sz w:val="19"/>
                <w:szCs w:val="19"/>
                <w:color w:val="auto"/>
              </w:rPr>
            </w:pPr>
          </w:p>
        </w:tc>
        <w:tc>
          <w:tcPr>
            <w:tcW w:w="98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(3.0)</w:t>
            </w:r>
          </w:p>
        </w:tc>
        <w:tc>
          <w:tcPr>
            <w:tcW w:w="220" w:type="dxa"/>
            <w:vAlign w:val="bottom"/>
            <w:tcBorders>
              <w:bottom w:val="single" w:sz="8" w:color="DCE2EF"/>
            </w:tcBorders>
            <w:shd w:val="clear" w:color="auto" w:fill="DCE2EF"/>
          </w:tcPr>
          <w:p>
            <w:pPr>
              <w:spacing w:after="0"/>
              <w:rPr>
                <w:sz w:val="19"/>
                <w:szCs w:val="19"/>
                <w:color w:val="auto"/>
              </w:rPr>
            </w:pPr>
          </w:p>
        </w:tc>
        <w:tc>
          <w:tcPr>
            <w:tcW w:w="860" w:type="dxa"/>
            <w:vAlign w:val="bottom"/>
            <w:tcBorders>
              <w:bottom w:val="single" w:sz="8" w:color="DCE2EF"/>
            </w:tcBorders>
            <w:shd w:val="clear" w:color="auto" w:fill="DCE2EF"/>
          </w:tcPr>
          <w:p>
            <w:pPr>
              <w:spacing w:after="0"/>
              <w:rPr>
                <w:sz w:val="19"/>
                <w:szCs w:val="19"/>
                <w:color w:val="auto"/>
              </w:rPr>
            </w:pPr>
          </w:p>
        </w:tc>
        <w:tc>
          <w:tcPr>
            <w:tcW w:w="680" w:type="dxa"/>
            <w:vAlign w:val="bottom"/>
            <w:tcBorders>
              <w:bottom w:val="single" w:sz="8" w:color="DCE2EF"/>
            </w:tcBorders>
            <w:shd w:val="clear" w:color="auto" w:fill="DCE2EF"/>
          </w:tcPr>
          <w:p>
            <w:pPr>
              <w:jc w:val="right"/>
              <w:ind w:right="39"/>
              <w:spacing w:after="0"/>
              <w:rPr>
                <w:sz w:val="20"/>
                <w:szCs w:val="20"/>
                <w:color w:val="auto"/>
              </w:rPr>
            </w:pPr>
            <w:r>
              <w:rPr>
                <w:rFonts w:ascii="Arial" w:cs="Arial" w:eastAsia="Arial" w:hAnsi="Arial"/>
                <w:sz w:val="16"/>
                <w:szCs w:val="16"/>
                <w:color w:val="auto"/>
              </w:rPr>
              <w:t>(1.7)</w:t>
            </w:r>
          </w:p>
        </w:tc>
        <w:tc>
          <w:tcPr>
            <w:tcW w:w="1680" w:type="dxa"/>
            <w:vAlign w:val="bottom"/>
            <w:tcBorders>
              <w:bottom w:val="single" w:sz="8" w:color="DCE2EF"/>
            </w:tcBorders>
            <w:gridSpan w:val="2"/>
            <w:shd w:val="clear" w:color="auto" w:fill="DCE2EF"/>
          </w:tcPr>
          <w:p>
            <w:pPr>
              <w:jc w:val="right"/>
              <w:ind w:right="19"/>
              <w:spacing w:after="0"/>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256"/>
        </w:trPr>
        <w:tc>
          <w:tcPr>
            <w:tcW w:w="120" w:type="dxa"/>
            <w:vAlign w:val="bottom"/>
          </w:tcPr>
          <w:p>
            <w:pPr>
              <w:spacing w:after="0"/>
              <w:rPr>
                <w:sz w:val="22"/>
                <w:szCs w:val="22"/>
                <w:color w:val="auto"/>
              </w:rPr>
            </w:pPr>
          </w:p>
        </w:tc>
        <w:tc>
          <w:tcPr>
            <w:tcW w:w="6160" w:type="dxa"/>
            <w:vAlign w:val="bottom"/>
            <w:gridSpan w:val="2"/>
          </w:tcPr>
          <w:p>
            <w:pPr>
              <w:spacing w:after="0"/>
              <w:rPr>
                <w:sz w:val="20"/>
                <w:szCs w:val="20"/>
                <w:color w:val="auto"/>
              </w:rPr>
            </w:pPr>
            <w:r>
              <w:rPr>
                <w:rFonts w:ascii="Arial" w:cs="Arial" w:eastAsia="Arial" w:hAnsi="Arial"/>
                <w:sz w:val="16"/>
                <w:szCs w:val="16"/>
                <w:color w:val="auto"/>
              </w:rPr>
              <w:t>Adjustment for tax deductions for energy efficient government buildings, included</w:t>
            </w:r>
          </w:p>
        </w:tc>
        <w:tc>
          <w:tcPr>
            <w:tcW w:w="540" w:type="dxa"/>
            <w:vAlign w:val="bottom"/>
          </w:tcPr>
          <w:p>
            <w:pPr>
              <w:spacing w:after="0"/>
              <w:rPr>
                <w:sz w:val="22"/>
                <w:szCs w:val="22"/>
                <w:color w:val="auto"/>
              </w:rPr>
            </w:pPr>
          </w:p>
        </w:tc>
        <w:tc>
          <w:tcPr>
            <w:tcW w:w="98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80" w:type="dxa"/>
            <w:vAlign w:val="bottom"/>
            <w:vMerge w:val="restart"/>
          </w:tcPr>
          <w:p>
            <w:pPr>
              <w:jc w:val="right"/>
              <w:ind w:right="39"/>
              <w:spacing w:after="0"/>
              <w:rPr>
                <w:sz w:val="20"/>
                <w:szCs w:val="20"/>
                <w:color w:val="auto"/>
              </w:rPr>
            </w:pPr>
            <w:r>
              <w:rPr>
                <w:rFonts w:ascii="Arial" w:cs="Arial" w:eastAsia="Arial" w:hAnsi="Arial"/>
                <w:sz w:val="16"/>
                <w:szCs w:val="16"/>
                <w:color w:val="auto"/>
              </w:rPr>
              <w:t>(0.1)</w:t>
            </w:r>
          </w:p>
        </w:tc>
        <w:tc>
          <w:tcPr>
            <w:tcW w:w="2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6160" w:type="dxa"/>
            <w:vAlign w:val="bottom"/>
            <w:gridSpan w:val="2"/>
          </w:tcPr>
          <w:p>
            <w:pPr>
              <w:spacing w:after="0"/>
              <w:rPr>
                <w:sz w:val="20"/>
                <w:szCs w:val="20"/>
                <w:color w:val="auto"/>
              </w:rPr>
            </w:pPr>
            <w:r>
              <w:rPr>
                <w:rFonts w:ascii="Arial" w:cs="Arial" w:eastAsia="Arial" w:hAnsi="Arial"/>
                <w:sz w:val="16"/>
                <w:szCs w:val="16"/>
                <w:color w:val="auto"/>
              </w:rPr>
              <w:t>in Technical Solutions</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31"/>
        </w:trPr>
        <w:tc>
          <w:tcPr>
            <w:tcW w:w="120" w:type="dxa"/>
            <w:vAlign w:val="bottom"/>
            <w:tcBorders>
              <w:bottom w:val="single" w:sz="8" w:color="DCE2EF"/>
            </w:tcBorders>
            <w:shd w:val="clear" w:color="auto" w:fill="DCE2EF"/>
          </w:tcPr>
          <w:p>
            <w:pPr>
              <w:spacing w:after="0"/>
              <w:rPr>
                <w:sz w:val="24"/>
                <w:szCs w:val="24"/>
                <w:color w:val="auto"/>
              </w:rPr>
            </w:pPr>
          </w:p>
        </w:tc>
        <w:tc>
          <w:tcPr>
            <w:tcW w:w="616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6"/>
                <w:szCs w:val="16"/>
                <w:b w:val="1"/>
                <w:bCs w:val="1"/>
                <w:color w:val="auto"/>
              </w:rPr>
              <w:t>Total operating profit</w:t>
            </w:r>
          </w:p>
        </w:tc>
        <w:tc>
          <w:tcPr>
            <w:tcW w:w="540" w:type="dxa"/>
            <w:vAlign w:val="bottom"/>
            <w:tcBorders>
              <w:bottom w:val="single" w:sz="8" w:color="DCE2EF"/>
            </w:tcBorders>
            <w:shd w:val="clear" w:color="auto" w:fill="DCE2EF"/>
          </w:tcPr>
          <w:p>
            <w:pPr>
              <w:spacing w:after="0"/>
              <w:rPr>
                <w:sz w:val="24"/>
                <w:szCs w:val="24"/>
                <w:color w:val="auto"/>
              </w:rPr>
            </w:pPr>
          </w:p>
        </w:tc>
        <w:tc>
          <w:tcPr>
            <w:tcW w:w="98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155.4</w:t>
            </w:r>
          </w:p>
        </w:tc>
        <w:tc>
          <w:tcPr>
            <w:tcW w:w="220" w:type="dxa"/>
            <w:vAlign w:val="bottom"/>
            <w:tcBorders>
              <w:bottom w:val="single" w:sz="8" w:color="DCE2EF"/>
            </w:tcBorders>
            <w:shd w:val="clear" w:color="auto" w:fill="DCE2EF"/>
          </w:tcPr>
          <w:p>
            <w:pPr>
              <w:spacing w:after="0"/>
              <w:rPr>
                <w:sz w:val="24"/>
                <w:szCs w:val="24"/>
                <w:color w:val="auto"/>
              </w:rPr>
            </w:pPr>
          </w:p>
        </w:tc>
        <w:tc>
          <w:tcPr>
            <w:tcW w:w="860" w:type="dxa"/>
            <w:vAlign w:val="bottom"/>
            <w:tcBorders>
              <w:bottom w:val="single" w:sz="8" w:color="DCE2EF"/>
            </w:tcBorders>
            <w:shd w:val="clear" w:color="auto" w:fill="DCE2EF"/>
          </w:tcPr>
          <w:p>
            <w:pPr>
              <w:spacing w:after="0"/>
              <w:rPr>
                <w:sz w:val="24"/>
                <w:szCs w:val="24"/>
                <w:color w:val="auto"/>
              </w:rPr>
            </w:pPr>
          </w:p>
        </w:tc>
        <w:tc>
          <w:tcPr>
            <w:tcW w:w="680" w:type="dxa"/>
            <w:vAlign w:val="bottom"/>
            <w:tcBorders>
              <w:bottom w:val="single" w:sz="8" w:color="DCE2EF"/>
            </w:tcBorders>
            <w:shd w:val="clear" w:color="auto" w:fill="DCE2EF"/>
          </w:tcPr>
          <w:p>
            <w:pPr>
              <w:jc w:val="right"/>
              <w:ind w:right="39"/>
              <w:spacing w:after="0"/>
              <w:rPr>
                <w:sz w:val="20"/>
                <w:szCs w:val="20"/>
                <w:color w:val="auto"/>
              </w:rPr>
            </w:pPr>
            <w:r>
              <w:rPr>
                <w:rFonts w:ascii="Arial" w:cs="Arial" w:eastAsia="Arial" w:hAnsi="Arial"/>
                <w:sz w:val="16"/>
                <w:szCs w:val="16"/>
                <w:color w:val="auto"/>
              </w:rPr>
              <w:t>164.1</w:t>
            </w:r>
          </w:p>
        </w:tc>
        <w:tc>
          <w:tcPr>
            <w:tcW w:w="1680" w:type="dxa"/>
            <w:vAlign w:val="bottom"/>
            <w:tcBorders>
              <w:bottom w:val="single" w:sz="8" w:color="DCE2EF"/>
            </w:tcBorders>
            <w:gridSpan w:val="2"/>
            <w:shd w:val="clear" w:color="auto" w:fill="DCE2EF"/>
          </w:tcPr>
          <w:p>
            <w:pPr>
              <w:jc w:val="right"/>
              <w:ind w:right="19"/>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335"/>
        </w:trPr>
        <w:tc>
          <w:tcPr>
            <w:tcW w:w="12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Arial" w:cs="Arial" w:eastAsia="Arial" w:hAnsi="Arial"/>
                <w:sz w:val="16"/>
                <w:szCs w:val="16"/>
                <w:color w:val="auto"/>
              </w:rPr>
              <w:t>Income from unconsolidated affiliates</w:t>
            </w:r>
          </w:p>
        </w:tc>
        <w:tc>
          <w:tcPr>
            <w:tcW w:w="54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680" w:type="dxa"/>
            <w:vAlign w:val="bottom"/>
            <w:gridSpan w:val="2"/>
          </w:tcPr>
          <w:p>
            <w:pPr>
              <w:jc w:val="right"/>
              <w:ind w:right="19"/>
              <w:spacing w:after="0"/>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8"/>
        </w:trPr>
        <w:tc>
          <w:tcPr>
            <w:tcW w:w="120" w:type="dxa"/>
            <w:vAlign w:val="bottom"/>
            <w:tcBorders>
              <w:bottom w:val="single" w:sz="8" w:color="DCE2EF"/>
            </w:tcBorders>
            <w:shd w:val="clear" w:color="auto" w:fill="DCE2EF"/>
          </w:tcPr>
          <w:p>
            <w:pPr>
              <w:spacing w:after="0"/>
              <w:rPr>
                <w:sz w:val="24"/>
                <w:szCs w:val="24"/>
                <w:color w:val="auto"/>
              </w:rPr>
            </w:pPr>
          </w:p>
        </w:tc>
        <w:tc>
          <w:tcPr>
            <w:tcW w:w="616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6"/>
                <w:szCs w:val="16"/>
                <w:color w:val="auto"/>
              </w:rPr>
              <w:t>Interest expense</w:t>
            </w:r>
          </w:p>
        </w:tc>
        <w:tc>
          <w:tcPr>
            <w:tcW w:w="540" w:type="dxa"/>
            <w:vAlign w:val="bottom"/>
            <w:tcBorders>
              <w:bottom w:val="single" w:sz="8" w:color="auto"/>
            </w:tcBorders>
            <w:shd w:val="clear" w:color="auto" w:fill="DCE2EF"/>
          </w:tcPr>
          <w:p>
            <w:pPr>
              <w:spacing w:after="0"/>
              <w:rPr>
                <w:sz w:val="24"/>
                <w:szCs w:val="24"/>
                <w:color w:val="auto"/>
              </w:rPr>
            </w:pPr>
          </w:p>
        </w:tc>
        <w:tc>
          <w:tcPr>
            <w:tcW w:w="98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(41.9)</w:t>
            </w:r>
          </w:p>
        </w:tc>
        <w:tc>
          <w:tcPr>
            <w:tcW w:w="220" w:type="dxa"/>
            <w:vAlign w:val="bottom"/>
            <w:tcBorders>
              <w:bottom w:val="single" w:sz="8" w:color="DCE2EF"/>
            </w:tcBorders>
            <w:shd w:val="clear" w:color="auto" w:fill="DCE2EF"/>
          </w:tcPr>
          <w:p>
            <w:pPr>
              <w:spacing w:after="0"/>
              <w:rPr>
                <w:sz w:val="24"/>
                <w:szCs w:val="24"/>
                <w:color w:val="auto"/>
              </w:rPr>
            </w:pPr>
          </w:p>
        </w:tc>
        <w:tc>
          <w:tcPr>
            <w:tcW w:w="860" w:type="dxa"/>
            <w:vAlign w:val="bottom"/>
            <w:tcBorders>
              <w:bottom w:val="single" w:sz="8" w:color="auto"/>
            </w:tcBorders>
            <w:shd w:val="clear" w:color="auto" w:fill="DCE2EF"/>
          </w:tcPr>
          <w:p>
            <w:pPr>
              <w:spacing w:after="0"/>
              <w:rPr>
                <w:sz w:val="24"/>
                <w:szCs w:val="24"/>
                <w:color w:val="auto"/>
              </w:rPr>
            </w:pPr>
          </w:p>
        </w:tc>
        <w:tc>
          <w:tcPr>
            <w:tcW w:w="68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(40.9)</w:t>
            </w:r>
          </w:p>
        </w:tc>
        <w:tc>
          <w:tcPr>
            <w:tcW w:w="1680" w:type="dxa"/>
            <w:vAlign w:val="bottom"/>
            <w:tcBorders>
              <w:bottom w:val="single" w:sz="8" w:color="DCE2EF"/>
            </w:tcBorders>
            <w:gridSpan w:val="2"/>
            <w:shd w:val="clear" w:color="auto" w:fill="DCE2EF"/>
          </w:tcPr>
          <w:p>
            <w:pPr>
              <w:jc w:val="right"/>
              <w:ind w:right="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08"/>
        </w:trPr>
        <w:tc>
          <w:tcPr>
            <w:tcW w:w="12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Arial" w:cs="Arial" w:eastAsia="Arial" w:hAnsi="Arial"/>
                <w:sz w:val="16"/>
                <w:szCs w:val="16"/>
                <w:color w:val="auto"/>
              </w:rPr>
              <w:t>Income before income taxes</w:t>
            </w:r>
          </w:p>
        </w:tc>
        <w:tc>
          <w:tcPr>
            <w:tcW w:w="54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116.4</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125.0</w:t>
            </w:r>
          </w:p>
        </w:tc>
        <w:tc>
          <w:tcPr>
            <w:tcW w:w="1680" w:type="dxa"/>
            <w:vAlign w:val="bottom"/>
            <w:gridSpan w:val="2"/>
          </w:tcPr>
          <w:p>
            <w:pPr>
              <w:jc w:val="right"/>
              <w:ind w:right="19"/>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43"/>
        </w:trPr>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5"/>
        </w:trPr>
        <w:tc>
          <w:tcPr>
            <w:tcW w:w="120" w:type="dxa"/>
            <w:vAlign w:val="bottom"/>
            <w:tcBorders>
              <w:bottom w:val="single" w:sz="8" w:color="DCE2EF"/>
            </w:tcBorders>
            <w:shd w:val="clear" w:color="auto" w:fill="DCE2EF"/>
          </w:tcPr>
          <w:p>
            <w:pPr>
              <w:spacing w:after="0"/>
              <w:rPr>
                <w:sz w:val="24"/>
                <w:szCs w:val="24"/>
                <w:color w:val="auto"/>
              </w:rPr>
            </w:pPr>
          </w:p>
        </w:tc>
        <w:tc>
          <w:tcPr>
            <w:tcW w:w="616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6"/>
                <w:szCs w:val="16"/>
                <w:color w:val="auto"/>
              </w:rPr>
              <w:t>Income tax provision</w:t>
            </w:r>
          </w:p>
        </w:tc>
        <w:tc>
          <w:tcPr>
            <w:tcW w:w="540" w:type="dxa"/>
            <w:vAlign w:val="bottom"/>
            <w:tcBorders>
              <w:bottom w:val="single" w:sz="8" w:color="DCE2EF"/>
            </w:tcBorders>
            <w:shd w:val="clear" w:color="auto" w:fill="DCE2EF"/>
          </w:tcPr>
          <w:p>
            <w:pPr>
              <w:spacing w:after="0"/>
              <w:rPr>
                <w:sz w:val="24"/>
                <w:szCs w:val="24"/>
                <w:color w:val="auto"/>
              </w:rPr>
            </w:pPr>
          </w:p>
        </w:tc>
        <w:tc>
          <w:tcPr>
            <w:tcW w:w="980" w:type="dxa"/>
            <w:vAlign w:val="bottom"/>
            <w:tcBorders>
              <w:bottom w:val="single" w:sz="8" w:color="DCE2EF"/>
            </w:tcBorders>
            <w:shd w:val="clear" w:color="auto" w:fill="DCE2EF"/>
          </w:tcPr>
          <w:p>
            <w:pPr>
              <w:jc w:val="right"/>
              <w:ind w:right="19"/>
              <w:spacing w:after="0"/>
              <w:rPr>
                <w:sz w:val="20"/>
                <w:szCs w:val="20"/>
                <w:color w:val="auto"/>
              </w:rPr>
            </w:pPr>
            <w:r>
              <w:rPr>
                <w:rFonts w:ascii="Arial" w:cs="Arial" w:eastAsia="Arial" w:hAnsi="Arial"/>
                <w:sz w:val="16"/>
                <w:szCs w:val="16"/>
                <w:color w:val="auto"/>
              </w:rPr>
              <w:t>(28.0)</w:t>
            </w:r>
          </w:p>
        </w:tc>
        <w:tc>
          <w:tcPr>
            <w:tcW w:w="220" w:type="dxa"/>
            <w:vAlign w:val="bottom"/>
            <w:tcBorders>
              <w:bottom w:val="single" w:sz="8" w:color="DCE2EF"/>
            </w:tcBorders>
            <w:shd w:val="clear" w:color="auto" w:fill="DCE2EF"/>
          </w:tcPr>
          <w:p>
            <w:pPr>
              <w:spacing w:after="0"/>
              <w:rPr>
                <w:sz w:val="24"/>
                <w:szCs w:val="24"/>
                <w:color w:val="auto"/>
              </w:rPr>
            </w:pPr>
          </w:p>
        </w:tc>
        <w:tc>
          <w:tcPr>
            <w:tcW w:w="860" w:type="dxa"/>
            <w:vAlign w:val="bottom"/>
            <w:tcBorders>
              <w:bottom w:val="single" w:sz="8" w:color="DCE2EF"/>
            </w:tcBorders>
            <w:shd w:val="clear" w:color="auto" w:fill="DCE2EF"/>
          </w:tcPr>
          <w:p>
            <w:pPr>
              <w:spacing w:after="0"/>
              <w:rPr>
                <w:sz w:val="24"/>
                <w:szCs w:val="24"/>
                <w:color w:val="auto"/>
              </w:rPr>
            </w:pPr>
          </w:p>
        </w:tc>
        <w:tc>
          <w:tcPr>
            <w:tcW w:w="680" w:type="dxa"/>
            <w:vAlign w:val="bottom"/>
            <w:tcBorders>
              <w:bottom w:val="single" w:sz="8" w:color="DCE2EF"/>
            </w:tcBorders>
            <w:shd w:val="clear" w:color="auto" w:fill="DCE2EF"/>
          </w:tcPr>
          <w:p>
            <w:pPr>
              <w:jc w:val="right"/>
              <w:ind w:right="39"/>
              <w:spacing w:after="0"/>
              <w:rPr>
                <w:sz w:val="20"/>
                <w:szCs w:val="20"/>
                <w:color w:val="auto"/>
              </w:rPr>
            </w:pPr>
            <w:r>
              <w:rPr>
                <w:rFonts w:ascii="Arial" w:cs="Arial" w:eastAsia="Arial" w:hAnsi="Arial"/>
                <w:sz w:val="16"/>
                <w:szCs w:val="16"/>
                <w:color w:val="auto"/>
              </w:rPr>
              <w:t>(34.5)</w:t>
            </w:r>
          </w:p>
        </w:tc>
        <w:tc>
          <w:tcPr>
            <w:tcW w:w="1680" w:type="dxa"/>
            <w:vAlign w:val="bottom"/>
            <w:tcBorders>
              <w:bottom w:val="single" w:sz="8" w:color="DCE2EF"/>
            </w:tcBorders>
            <w:gridSpan w:val="2"/>
            <w:shd w:val="clear" w:color="auto" w:fill="DCE2EF"/>
          </w:tcPr>
          <w:p>
            <w:pPr>
              <w:jc w:val="right"/>
              <w:ind w:right="19"/>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344"/>
        </w:trPr>
        <w:tc>
          <w:tcPr>
            <w:tcW w:w="12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Arial" w:cs="Arial" w:eastAsia="Arial" w:hAnsi="Arial"/>
                <w:sz w:val="16"/>
                <w:szCs w:val="16"/>
                <w:b w:val="1"/>
                <w:bCs w:val="1"/>
                <w:color w:val="auto"/>
              </w:rPr>
              <w:t>Net income</w:t>
            </w:r>
          </w:p>
        </w:tc>
        <w:tc>
          <w:tcPr>
            <w:tcW w:w="5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   88.4</w:t>
            </w:r>
          </w:p>
        </w:tc>
        <w:tc>
          <w:tcPr>
            <w:tcW w:w="220" w:type="dxa"/>
            <w:vAlign w:val="bottom"/>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90.4</w:t>
            </w:r>
          </w:p>
        </w:tc>
        <w:tc>
          <w:tcPr>
            <w:tcW w:w="1680" w:type="dxa"/>
            <w:vAlign w:val="bottom"/>
            <w:gridSpan w:val="2"/>
          </w:tcPr>
          <w:p>
            <w:pPr>
              <w:jc w:val="right"/>
              <w:ind w:right="1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-5231130</wp:posOffset>
            </wp:positionV>
            <wp:extent cx="145415" cy="114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5415" cy="1143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-5231130</wp:posOffset>
            </wp:positionV>
            <wp:extent cx="137160" cy="114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-3642360</wp:posOffset>
            </wp:positionV>
            <wp:extent cx="1454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-3616960</wp:posOffset>
            </wp:positionV>
            <wp:extent cx="1454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-3642360</wp:posOffset>
            </wp:positionV>
            <wp:extent cx="137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-3616960</wp:posOffset>
            </wp:positionV>
            <wp:extent cx="137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-1424940</wp:posOffset>
            </wp:positionV>
            <wp:extent cx="145415" cy="114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5415" cy="1143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-1424940</wp:posOffset>
            </wp:positionV>
            <wp:extent cx="137160" cy="114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-730885</wp:posOffset>
            </wp:positionV>
            <wp:extent cx="145415" cy="114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5415" cy="1143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-730885</wp:posOffset>
            </wp:positionV>
            <wp:extent cx="137160" cy="114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7160" cy="1143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*Not meaningful (due to variance greater than or equal to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14" w:name="page15"/>
    <w:bookmarkEnd w:id="14"/>
    <w:p>
      <w:pPr>
        <w:ind w:right="4300"/>
        <w:spacing w:after="0" w:line="297" w:lineRule="auto"/>
        <w:rPr>
          <w:sz w:val="20"/>
          <w:szCs w:val="20"/>
          <w:color w:val="auto"/>
        </w:rPr>
      </w:pPr>
      <w:r>
        <w:rPr>
          <w:rFonts w:ascii="Arial" w:cs="Arial" w:eastAsia="Arial" w:hAnsi="Arial"/>
          <w:sz w:val="19"/>
          <w:szCs w:val="19"/>
          <w:b w:val="1"/>
          <w:bCs w:val="1"/>
          <w:color w:val="0046AD"/>
        </w:rPr>
        <w:t>ABM INDUSTRIES INCORPORATED AND SUBSIDIARIES RECONCILIATIONS OF NON-GAAP FINANCIAL MEASURES (UNAUDITED)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u w:val="single" w:color="auto"/>
          <w:color w:val="auto"/>
        </w:rPr>
        <w:t>(in millions, except per share amounts)</w:t>
      </w:r>
    </w:p>
    <w:p>
      <w:pPr>
        <w:spacing w:after="0" w:line="67" w:lineRule="exact"/>
        <w:rPr>
          <w:sz w:val="20"/>
          <w:szCs w:val="20"/>
          <w:color w:val="auto"/>
        </w:rPr>
      </w:pPr>
    </w:p>
    <w:tbl>
      <w:tblPr>
        <w:tblLayout w:type="fixed"/>
        <w:tblInd w:w="5040" w:type="dxa"/>
        <w:tblCellMar>
          <w:top w:w="0" w:type="dxa"/>
          <w:left w:w="0" w:type="dxa"/>
          <w:bottom w:w="0" w:type="dxa"/>
          <w:right w:w="0" w:type="dxa"/>
        </w:tblCellMar>
      </w:tblPr>
      <w:tr>
        <w:trPr>
          <w:trHeight w:val="216"/>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Three</w:t>
            </w:r>
          </w:p>
        </w:tc>
        <w:tc>
          <w:tcPr>
            <w:tcW w:w="220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b w:val="1"/>
                <w:bCs w:val="1"/>
                <w:color w:val="auto"/>
              </w:rPr>
              <w:t>Months Ended April 30,</w:t>
            </w:r>
          </w:p>
        </w:tc>
        <w:tc>
          <w:tcPr>
            <w:tcW w:w="220" w:type="dxa"/>
            <w:vAlign w:val="bottom"/>
          </w:tcPr>
          <w:p>
            <w:pPr>
              <w:spacing w:after="0"/>
              <w:rPr>
                <w:sz w:val="18"/>
                <w:szCs w:val="18"/>
                <w:color w:val="auto"/>
              </w:rPr>
            </w:pPr>
          </w:p>
        </w:tc>
        <w:tc>
          <w:tcPr>
            <w:tcW w:w="2860" w:type="dxa"/>
            <w:vAlign w:val="bottom"/>
            <w:tcBorders>
              <w:bottom w:val="single" w:sz="8" w:color="auto"/>
            </w:tcBorders>
            <w:gridSpan w:val="2"/>
          </w:tcPr>
          <w:p>
            <w:pPr>
              <w:jc w:val="right"/>
              <w:ind w:right="364"/>
              <w:spacing w:after="0"/>
              <w:rPr>
                <w:sz w:val="20"/>
                <w:szCs w:val="20"/>
                <w:color w:val="auto"/>
              </w:rPr>
            </w:pPr>
            <w:r>
              <w:rPr>
                <w:rFonts w:ascii="Arial" w:cs="Arial" w:eastAsia="Arial" w:hAnsi="Arial"/>
                <w:sz w:val="15"/>
                <w:szCs w:val="15"/>
                <w:b w:val="1"/>
                <w:bCs w:val="1"/>
                <w:color w:val="auto"/>
              </w:rPr>
              <w:t>Six Months Ended April 30,</w:t>
            </w:r>
          </w:p>
        </w:tc>
      </w:tr>
      <w:tr>
        <w:trPr>
          <w:trHeight w:val="325"/>
        </w:trPr>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2024</w:t>
            </w:r>
          </w:p>
        </w:tc>
        <w:tc>
          <w:tcPr>
            <w:tcW w:w="2200" w:type="dxa"/>
            <w:vAlign w:val="bottom"/>
          </w:tcPr>
          <w:p>
            <w:pPr>
              <w:jc w:val="right"/>
              <w:ind w:right="464"/>
              <w:spacing w:after="0"/>
              <w:rPr>
                <w:sz w:val="20"/>
                <w:szCs w:val="20"/>
                <w:color w:val="auto"/>
              </w:rPr>
            </w:pPr>
            <w:r>
              <w:rPr>
                <w:rFonts w:ascii="Arial" w:cs="Arial" w:eastAsia="Arial" w:hAnsi="Arial"/>
                <w:sz w:val="15"/>
                <w:szCs w:val="15"/>
                <w:b w:val="1"/>
                <w:bCs w:val="1"/>
                <w:color w:val="auto"/>
              </w:rPr>
              <w:t>2023</w:t>
            </w:r>
          </w:p>
        </w:tc>
        <w:tc>
          <w:tcPr>
            <w:tcW w:w="1640" w:type="dxa"/>
            <w:vAlign w:val="bottom"/>
            <w:gridSpan w:val="2"/>
          </w:tcPr>
          <w:p>
            <w:pPr>
              <w:jc w:val="right"/>
              <w:ind w:right="524"/>
              <w:spacing w:after="0"/>
              <w:rPr>
                <w:sz w:val="20"/>
                <w:szCs w:val="20"/>
                <w:color w:val="auto"/>
              </w:rPr>
            </w:pPr>
            <w:r>
              <w:rPr>
                <w:rFonts w:ascii="Arial" w:cs="Arial" w:eastAsia="Arial" w:hAnsi="Arial"/>
                <w:sz w:val="15"/>
                <w:szCs w:val="15"/>
                <w:b w:val="1"/>
                <w:bCs w:val="1"/>
                <w:color w:val="auto"/>
              </w:rPr>
              <w:t>2024</w:t>
            </w:r>
          </w:p>
        </w:tc>
        <w:tc>
          <w:tcPr>
            <w:tcW w:w="1440" w:type="dxa"/>
            <w:vAlign w:val="bottom"/>
          </w:tcPr>
          <w:p>
            <w:pPr>
              <w:jc w:val="right"/>
              <w:ind w:right="424"/>
              <w:spacing w:after="0"/>
              <w:rPr>
                <w:sz w:val="20"/>
                <w:szCs w:val="20"/>
                <w:color w:val="auto"/>
              </w:rPr>
            </w:pPr>
            <w:r>
              <w:rPr>
                <w:rFonts w:ascii="Arial" w:cs="Arial" w:eastAsia="Arial" w:hAnsi="Arial"/>
                <w:sz w:val="15"/>
                <w:szCs w:val="15"/>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259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259715"/>
                    </a:xfrm>
                    <a:prstGeom prst="rect">
                      <a:avLst/>
                    </a:prstGeom>
                    <a:noFill/>
                  </pic:spPr>
                </pic:pic>
              </a:graphicData>
            </a:graphic>
          </wp:anchor>
        </w:drawing>
      </w:r>
    </w:p>
    <w:p>
      <w:pPr>
        <w:spacing w:after="0" w:line="53"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Reconciliation of Net Income to Adjusted Net Income</w:t>
      </w:r>
    </w:p>
    <w:p>
      <w:pPr>
        <w:sectPr>
          <w:pgSz w:w="11900" w:h="16838" w:orient="portrait"/>
          <w:cols w:equalWidth="0" w:num="1">
            <w:col w:w="11240"/>
          </w:cols>
          <w:pgMar w:left="320" w:top="885" w:right="339" w:bottom="1440" w:gutter="0" w:footer="0" w:header="0"/>
        </w:sectPr>
      </w:pPr>
    </w:p>
    <w:p>
      <w:pPr>
        <w:spacing w:after="0" w:line="248" w:lineRule="exact"/>
        <w:rPr>
          <w:sz w:val="20"/>
          <w:szCs w:val="20"/>
          <w:color w:val="auto"/>
        </w:rPr>
      </w:pPr>
    </w:p>
    <w:p>
      <w:pPr>
        <w:ind w:left="60"/>
        <w:spacing w:after="0"/>
        <w:rPr>
          <w:sz w:val="20"/>
          <w:szCs w:val="20"/>
          <w:color w:val="auto"/>
        </w:rPr>
      </w:pPr>
      <w:r>
        <w:rPr>
          <w:rFonts w:ascii="Arial" w:cs="Arial" w:eastAsia="Arial" w:hAnsi="Arial"/>
          <w:sz w:val="15"/>
          <w:szCs w:val="15"/>
          <w:color w:val="auto"/>
        </w:rPr>
        <w:t>Net income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5"/>
          <w:szCs w:val="15"/>
          <w:color w:val="auto"/>
        </w:rPr>
        <w:t>Items impacting comparability</w:t>
      </w:r>
      <w:r>
        <w:rPr>
          <w:rFonts w:ascii="Arial" w:cs="Arial" w:eastAsia="Arial" w:hAnsi="Arial"/>
          <w:sz w:val="20"/>
          <w:szCs w:val="20"/>
          <w:color w:val="auto"/>
          <w:vertAlign w:val="superscript"/>
        </w:rPr>
        <w:t>(a)</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15"/>
          <w:szCs w:val="15"/>
          <w:color w:val="auto"/>
        </w:rPr>
        <w:t>Prior year self-insurance adjustment</w:t>
      </w:r>
      <w:r>
        <w:rPr>
          <w:rFonts w:ascii="Arial" w:cs="Arial" w:eastAsia="Arial" w:hAnsi="Arial"/>
          <w:sz w:val="20"/>
          <w:szCs w:val="20"/>
          <w:color w:val="auto"/>
          <w:vertAlign w:val="superscript"/>
        </w:rPr>
        <w:t>(b)</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Acquisition and integration related costs</w:t>
      </w:r>
      <w:r>
        <w:rPr>
          <w:rFonts w:ascii="Arial" w:cs="Arial" w:eastAsia="Arial" w:hAnsi="Arial"/>
          <w:sz w:val="20"/>
          <w:szCs w:val="20"/>
          <w:color w:val="auto"/>
          <w:vertAlign w:val="superscript"/>
        </w:rPr>
        <w:t>(c)</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Transformation initiative costs</w:t>
      </w:r>
      <w:r>
        <w:rPr>
          <w:rFonts w:ascii="Arial" w:cs="Arial" w:eastAsia="Arial" w:hAnsi="Arial"/>
          <w:sz w:val="20"/>
          <w:szCs w:val="20"/>
          <w:color w:val="auto"/>
          <w:vertAlign w:val="superscript"/>
        </w:rPr>
        <w:t>(d)</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Change in fair value of contingent consideration</w:t>
      </w:r>
      <w:r>
        <w:rPr>
          <w:rFonts w:ascii="Arial" w:cs="Arial" w:eastAsia="Arial" w:hAnsi="Arial"/>
          <w:sz w:val="20"/>
          <w:szCs w:val="20"/>
          <w:color w:val="auto"/>
          <w:vertAlign w:val="superscript"/>
        </w:rPr>
        <w:t>(e)</w:t>
      </w:r>
    </w:p>
    <w:p>
      <w:pPr>
        <w:spacing w:after="0" w:line="7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Other</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5"/>
          <w:szCs w:val="15"/>
          <w:color w:val="auto"/>
        </w:rPr>
        <w:t>Total items impacting comparability</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5"/>
          <w:szCs w:val="15"/>
          <w:color w:val="auto"/>
        </w:rPr>
        <w:t xml:space="preserve">Income tax benefit </w:t>
      </w:r>
      <w:r>
        <w:rPr>
          <w:rFonts w:ascii="Arial" w:cs="Arial" w:eastAsia="Arial" w:hAnsi="Arial"/>
          <w:sz w:val="20"/>
          <w:szCs w:val="20"/>
          <w:color w:val="auto"/>
          <w:vertAlign w:val="superscript"/>
        </w:rPr>
        <w:t>(f)(g)</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5"/>
          <w:szCs w:val="15"/>
          <w:color w:val="auto"/>
        </w:rPr>
        <w:t>Items impacting comparability, net of taxes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5"/>
          <w:szCs w:val="15"/>
          <w:color w:val="auto"/>
        </w:rPr>
        <w:t>Adjusted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Reconciliation of Net Income to Adjusted EBITDA</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10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43.8</w:t>
            </w: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51.9</w:t>
            </w:r>
          </w:p>
        </w:tc>
        <w:tc>
          <w:tcPr>
            <w:tcW w:w="1120" w:type="dxa"/>
            <w:vAlign w:val="bottom"/>
            <w:gridSpan w:val="2"/>
          </w:tcPr>
          <w:p>
            <w:pPr>
              <w:jc w:val="right"/>
              <w:ind w:right="44"/>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88.4</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90.4</w:t>
            </w:r>
          </w:p>
        </w:tc>
      </w:tr>
      <w:tr>
        <w:trPr>
          <w:trHeight w:val="648"/>
        </w:trPr>
        <w:tc>
          <w:tcPr>
            <w:tcW w:w="1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4.3</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3.5</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9.7</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364"/>
        </w:trPr>
        <w:tc>
          <w:tcPr>
            <w:tcW w:w="1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2.3</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4.7</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3.7</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364"/>
        </w:trPr>
        <w:tc>
          <w:tcPr>
            <w:tcW w:w="1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9.6</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13.3</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16.7</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30.6</w:t>
            </w:r>
          </w:p>
        </w:tc>
      </w:tr>
      <w:tr>
        <w:trPr>
          <w:trHeight w:val="299"/>
        </w:trPr>
        <w:tc>
          <w:tcPr>
            <w:tcW w:w="1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(8.4)</w:t>
            </w:r>
          </w:p>
        </w:tc>
        <w:tc>
          <w:tcPr>
            <w:tcW w:w="22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(8.4)</w:t>
            </w:r>
          </w:p>
        </w:tc>
      </w:tr>
      <w:tr>
        <w:trPr>
          <w:trHeight w:val="315"/>
        </w:trPr>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0.8</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5"/>
        </w:trPr>
        <w:tc>
          <w:tcPr>
            <w:tcW w:w="1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r>
      <w:tr>
        <w:trPr>
          <w:trHeight w:val="309"/>
        </w:trPr>
        <w:tc>
          <w:tcPr>
            <w:tcW w:w="110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16.2</w:t>
            </w: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13.1</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30.8</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32.8</w:t>
            </w:r>
          </w:p>
        </w:tc>
      </w:tr>
      <w:tr>
        <w:trPr>
          <w:trHeight w:val="378"/>
        </w:trPr>
        <w:tc>
          <w:tcPr>
            <w:tcW w:w="1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(4.6)</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(4.8)</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(9.0)</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(10.3)</w:t>
            </w:r>
          </w:p>
        </w:tc>
      </w:tr>
      <w:tr>
        <w:trPr>
          <w:trHeight w:val="22"/>
        </w:trPr>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309"/>
        </w:trPr>
        <w:tc>
          <w:tcPr>
            <w:tcW w:w="1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11.7</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8.3</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21.8</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22.5</w:t>
            </w:r>
          </w:p>
        </w:tc>
      </w:tr>
      <w:tr>
        <w:trPr>
          <w:trHeight w:val="35"/>
        </w:trPr>
        <w:tc>
          <w:tcPr>
            <w:tcW w:w="1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r>
      <w:tr>
        <w:trPr>
          <w:trHeight w:val="309"/>
        </w:trPr>
        <w:tc>
          <w:tcPr>
            <w:tcW w:w="110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55.5</w:t>
            </w: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60.2</w:t>
            </w:r>
          </w:p>
        </w:tc>
        <w:tc>
          <w:tcPr>
            <w:tcW w:w="1120" w:type="dxa"/>
            <w:vAlign w:val="bottom"/>
            <w:gridSpan w:val="2"/>
          </w:tcPr>
          <w:p>
            <w:pPr>
              <w:jc w:val="right"/>
              <w:ind w:right="104"/>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110.2</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112.9</w:t>
            </w:r>
          </w:p>
        </w:tc>
      </w:tr>
      <w:tr>
        <w:trPr>
          <w:trHeight w:val="35"/>
        </w:trPr>
        <w:tc>
          <w:tcPr>
            <w:tcW w:w="1460" w:type="dxa"/>
            <w:vAlign w:val="bottom"/>
            <w:tcBorders>
              <w:bottom w:val="single" w:sz="8" w:color="auto"/>
            </w:tcBorders>
            <w:gridSpan w:val="2"/>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r>
      <w:tr>
        <w:trPr>
          <w:trHeight w:val="730"/>
        </w:trPr>
        <w:tc>
          <w:tcPr>
            <w:tcW w:w="27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5"/>
                <w:szCs w:val="15"/>
                <w:b w:val="1"/>
                <w:bCs w:val="1"/>
                <w:color w:val="auto"/>
              </w:rPr>
              <w:t>Three Months Ended April 30,</w:t>
            </w:r>
          </w:p>
        </w:tc>
        <w:tc>
          <w:tcPr>
            <w:tcW w:w="3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5"/>
                <w:szCs w:val="15"/>
                <w:b w:val="1"/>
                <w:bCs w:val="1"/>
                <w:color w:val="auto"/>
              </w:rPr>
              <w:t>Six Months Ended April 30,</w:t>
            </w:r>
          </w:p>
        </w:tc>
        <w:tc>
          <w:tcPr>
            <w:tcW w:w="420" w:type="dxa"/>
            <w:vAlign w:val="bottom"/>
            <w:tcBorders>
              <w:bottom w:val="single" w:sz="8" w:color="auto"/>
            </w:tcBorders>
          </w:tcPr>
          <w:p>
            <w:pPr>
              <w:spacing w:after="0"/>
              <w:rPr>
                <w:sz w:val="24"/>
                <w:szCs w:val="24"/>
                <w:color w:val="auto"/>
              </w:rPr>
            </w:pPr>
          </w:p>
        </w:tc>
      </w:tr>
      <w:tr>
        <w:trPr>
          <w:trHeight w:val="325"/>
        </w:trPr>
        <w:tc>
          <w:tcPr>
            <w:tcW w:w="1100" w:type="dxa"/>
            <w:vAlign w:val="bottom"/>
          </w:tcPr>
          <w:p>
            <w:pPr>
              <w:jc w:val="right"/>
              <w:ind w:right="127"/>
              <w:spacing w:after="0"/>
              <w:rPr>
                <w:sz w:val="20"/>
                <w:szCs w:val="20"/>
                <w:color w:val="auto"/>
              </w:rPr>
            </w:pPr>
            <w:r>
              <w:rPr>
                <w:rFonts w:ascii="Arial" w:cs="Arial" w:eastAsia="Arial" w:hAnsi="Arial"/>
                <w:sz w:val="15"/>
                <w:szCs w:val="15"/>
                <w:b w:val="1"/>
                <w:bCs w:val="1"/>
                <w:color w:val="auto"/>
              </w:rPr>
              <w:t>2024</w:t>
            </w:r>
          </w:p>
        </w:tc>
        <w:tc>
          <w:tcPr>
            <w:tcW w:w="36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2023</w:t>
            </w:r>
          </w:p>
        </w:tc>
        <w:tc>
          <w:tcPr>
            <w:tcW w:w="360" w:type="dxa"/>
            <w:vAlign w:val="bottom"/>
          </w:tcPr>
          <w:p>
            <w:pPr>
              <w:spacing w:after="0"/>
              <w:rPr>
                <w:sz w:val="24"/>
                <w:szCs w:val="24"/>
                <w:color w:val="auto"/>
              </w:rPr>
            </w:pPr>
          </w:p>
        </w:tc>
        <w:tc>
          <w:tcPr>
            <w:tcW w:w="1120" w:type="dxa"/>
            <w:vAlign w:val="bottom"/>
            <w:gridSpan w:val="2"/>
          </w:tcPr>
          <w:p>
            <w:pPr>
              <w:jc w:val="right"/>
              <w:ind w:right="4"/>
              <w:spacing w:after="0"/>
              <w:rPr>
                <w:sz w:val="20"/>
                <w:szCs w:val="20"/>
                <w:color w:val="auto"/>
              </w:rPr>
            </w:pPr>
            <w:r>
              <w:rPr>
                <w:rFonts w:ascii="Arial" w:cs="Arial" w:eastAsia="Arial" w:hAnsi="Arial"/>
                <w:sz w:val="15"/>
                <w:szCs w:val="15"/>
                <w:b w:val="1"/>
                <w:bCs w:val="1"/>
                <w:color w:val="auto"/>
              </w:rPr>
              <w:t>2024</w:t>
            </w:r>
          </w:p>
        </w:tc>
        <w:tc>
          <w:tcPr>
            <w:tcW w:w="42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2023</w:t>
            </w:r>
          </w:p>
        </w:tc>
        <w:tc>
          <w:tcPr>
            <w:tcW w:w="420" w:type="dxa"/>
            <w:vAlign w:val="bottom"/>
          </w:tcPr>
          <w:p>
            <w:pPr>
              <w:spacing w:after="0"/>
              <w:rPr>
                <w:sz w:val="24"/>
                <w:szCs w:val="24"/>
                <w:color w:val="auto"/>
              </w:rPr>
            </w:pPr>
          </w:p>
        </w:tc>
      </w:tr>
      <w:tr>
        <w:trPr>
          <w:trHeight w:val="25"/>
        </w:trPr>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-2931160</wp:posOffset>
            </wp:positionV>
            <wp:extent cx="7132320" cy="1797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-2519680</wp:posOffset>
            </wp:positionV>
            <wp:extent cx="7132320" cy="2311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23114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-2056765</wp:posOffset>
            </wp:positionV>
            <wp:extent cx="7132320"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-1647825</wp:posOffset>
            </wp:positionV>
            <wp:extent cx="7132320" cy="2343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23431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-1184910</wp:posOffset>
            </wp:positionV>
            <wp:extent cx="7132320" cy="2425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24257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-10795</wp:posOffset>
            </wp:positionV>
            <wp:extent cx="7132320" cy="259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259715"/>
                    </a:xfrm>
                    <a:prstGeom prst="rect">
                      <a:avLst/>
                    </a:prstGeom>
                    <a:noFill/>
                  </pic:spPr>
                </pic:pic>
              </a:graphicData>
            </a:graphic>
          </wp:anchor>
        </w:drawing>
      </w:r>
    </w:p>
    <w:p>
      <w:pPr>
        <w:spacing w:after="0" w:line="407" w:lineRule="exact"/>
        <w:rPr>
          <w:sz w:val="20"/>
          <w:szCs w:val="20"/>
          <w:color w:val="auto"/>
        </w:rPr>
      </w:pPr>
    </w:p>
    <w:p>
      <w:pPr>
        <w:sectPr>
          <w:pgSz w:w="11900" w:h="16838" w:orient="portrait"/>
          <w:cols w:equalWidth="0" w:num="2">
            <w:col w:w="4320" w:space="720"/>
            <w:col w:w="6200"/>
          </w:cols>
          <w:pgMar w:left="320" w:top="885" w:right="339" w:bottom="1440" w:gutter="0" w:footer="0" w:header="0"/>
          <w:type w:val="continuous"/>
        </w:sectPr>
      </w:pP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ind w:left="60"/>
              <w:spacing w:after="0"/>
              <w:rPr>
                <w:sz w:val="20"/>
                <w:szCs w:val="20"/>
                <w:color w:val="auto"/>
              </w:rPr>
            </w:pPr>
            <w:r>
              <w:rPr>
                <w:rFonts w:ascii="Arial" w:cs="Arial" w:eastAsia="Arial" w:hAnsi="Arial"/>
                <w:sz w:val="15"/>
                <w:szCs w:val="15"/>
                <w:b w:val="1"/>
                <w:bCs w:val="1"/>
                <w:color w:val="auto"/>
              </w:rPr>
              <w:t>Net Income</w:t>
            </w:r>
          </w:p>
        </w:tc>
        <w:tc>
          <w:tcPr>
            <w:tcW w:w="1000" w:type="dxa"/>
            <w:vAlign w:val="bottom"/>
            <w:vMerge w:val="restart"/>
          </w:tcPr>
          <w:p>
            <w:pPr>
              <w:jc w:val="right"/>
              <w:ind w:right="6"/>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43.8</w:t>
            </w:r>
          </w:p>
        </w:tc>
        <w:tc>
          <w:tcPr>
            <w:tcW w:w="12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51.9</w:t>
            </w:r>
          </w:p>
        </w:tc>
        <w:tc>
          <w:tcPr>
            <w:tcW w:w="108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88.4</w:t>
            </w:r>
          </w:p>
        </w:tc>
        <w:tc>
          <w:tcPr>
            <w:tcW w:w="108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90.4</w:t>
            </w:r>
          </w:p>
        </w:tc>
        <w:tc>
          <w:tcPr>
            <w:tcW w:w="0" w:type="dxa"/>
            <w:vAlign w:val="bottom"/>
          </w:tcPr>
          <w:p>
            <w:pPr>
              <w:spacing w:after="0"/>
              <w:rPr>
                <w:sz w:val="1"/>
                <w:szCs w:val="1"/>
                <w:color w:val="auto"/>
              </w:rPr>
            </w:pPr>
          </w:p>
        </w:tc>
      </w:tr>
      <w:tr>
        <w:trPr>
          <w:trHeight w:val="71"/>
        </w:trPr>
        <w:tc>
          <w:tcPr>
            <w:tcW w:w="50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5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040" w:type="dxa"/>
            <w:vAlign w:val="bottom"/>
            <w:shd w:val="clear" w:color="auto" w:fill="DCE2EF"/>
          </w:tcPr>
          <w:p>
            <w:pPr>
              <w:ind w:left="180"/>
              <w:spacing w:after="0"/>
              <w:rPr>
                <w:sz w:val="20"/>
                <w:szCs w:val="20"/>
                <w:color w:val="auto"/>
              </w:rPr>
            </w:pPr>
            <w:r>
              <w:rPr>
                <w:rFonts w:ascii="Arial" w:cs="Arial" w:eastAsia="Arial" w:hAnsi="Arial"/>
                <w:sz w:val="15"/>
                <w:szCs w:val="15"/>
                <w:color w:val="auto"/>
              </w:rPr>
              <w:t>Items impacting comparability</w:t>
            </w:r>
          </w:p>
        </w:tc>
        <w:tc>
          <w:tcPr>
            <w:tcW w:w="1000" w:type="dxa"/>
            <w:vAlign w:val="bottom"/>
            <w:shd w:val="clear" w:color="auto" w:fill="DCE2EF"/>
          </w:tcPr>
          <w:p>
            <w:pPr>
              <w:spacing w:after="0"/>
              <w:rPr>
                <w:sz w:val="22"/>
                <w:szCs w:val="22"/>
                <w:color w:val="auto"/>
              </w:rPr>
            </w:pPr>
          </w:p>
        </w:tc>
        <w:tc>
          <w:tcPr>
            <w:tcW w:w="46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16.2</w:t>
            </w:r>
          </w:p>
        </w:tc>
        <w:tc>
          <w:tcPr>
            <w:tcW w:w="220" w:type="dxa"/>
            <w:vAlign w:val="bottom"/>
            <w:shd w:val="clear" w:color="auto" w:fill="DCE2EF"/>
          </w:tcPr>
          <w:p>
            <w:pPr>
              <w:spacing w:after="0"/>
              <w:rPr>
                <w:sz w:val="22"/>
                <w:szCs w:val="22"/>
                <w:color w:val="auto"/>
              </w:rPr>
            </w:pPr>
          </w:p>
        </w:tc>
        <w:tc>
          <w:tcPr>
            <w:tcW w:w="980" w:type="dxa"/>
            <w:vAlign w:val="bottom"/>
            <w:shd w:val="clear" w:color="auto" w:fill="DCE2EF"/>
          </w:tcPr>
          <w:p>
            <w:pPr>
              <w:spacing w:after="0"/>
              <w:rPr>
                <w:sz w:val="22"/>
                <w:szCs w:val="22"/>
                <w:color w:val="auto"/>
              </w:rPr>
            </w:pPr>
          </w:p>
        </w:tc>
        <w:tc>
          <w:tcPr>
            <w:tcW w:w="46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13.1</w:t>
            </w:r>
          </w:p>
        </w:tc>
        <w:tc>
          <w:tcPr>
            <w:tcW w:w="220" w:type="dxa"/>
            <w:vAlign w:val="bottom"/>
            <w:shd w:val="clear" w:color="auto" w:fill="DCE2EF"/>
          </w:tcPr>
          <w:p>
            <w:pPr>
              <w:spacing w:after="0"/>
              <w:rPr>
                <w:sz w:val="22"/>
                <w:szCs w:val="22"/>
                <w:color w:val="auto"/>
              </w:rPr>
            </w:pPr>
          </w:p>
        </w:tc>
        <w:tc>
          <w:tcPr>
            <w:tcW w:w="860" w:type="dxa"/>
            <w:vAlign w:val="bottom"/>
            <w:shd w:val="clear" w:color="auto" w:fill="DCE2EF"/>
          </w:tcPr>
          <w:p>
            <w:pPr>
              <w:spacing w:after="0"/>
              <w:rPr>
                <w:sz w:val="22"/>
                <w:szCs w:val="22"/>
                <w:color w:val="auto"/>
              </w:rPr>
            </w:pPr>
          </w:p>
        </w:tc>
        <w:tc>
          <w:tcPr>
            <w:tcW w:w="46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30.8</w:t>
            </w:r>
          </w:p>
        </w:tc>
        <w:tc>
          <w:tcPr>
            <w:tcW w:w="220" w:type="dxa"/>
            <w:vAlign w:val="bottom"/>
            <w:shd w:val="clear" w:color="auto" w:fill="DCE2EF"/>
          </w:tcPr>
          <w:p>
            <w:pPr>
              <w:spacing w:after="0"/>
              <w:rPr>
                <w:sz w:val="22"/>
                <w:szCs w:val="22"/>
                <w:color w:val="auto"/>
              </w:rPr>
            </w:pPr>
          </w:p>
        </w:tc>
        <w:tc>
          <w:tcPr>
            <w:tcW w:w="860" w:type="dxa"/>
            <w:vAlign w:val="bottom"/>
            <w:shd w:val="clear" w:color="auto" w:fill="DCE2EF"/>
          </w:tcPr>
          <w:p>
            <w:pPr>
              <w:spacing w:after="0"/>
              <w:rPr>
                <w:sz w:val="22"/>
                <w:szCs w:val="22"/>
                <w:color w:val="auto"/>
              </w:rPr>
            </w:pPr>
          </w:p>
        </w:tc>
        <w:tc>
          <w:tcPr>
            <w:tcW w:w="46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32.8</w:t>
            </w:r>
          </w:p>
        </w:tc>
        <w:tc>
          <w:tcPr>
            <w:tcW w:w="0" w:type="dxa"/>
            <w:vAlign w:val="bottom"/>
          </w:tcPr>
          <w:p>
            <w:pPr>
              <w:spacing w:after="0"/>
              <w:rPr>
                <w:sz w:val="1"/>
                <w:szCs w:val="1"/>
                <w:color w:val="auto"/>
              </w:rPr>
            </w:pPr>
          </w:p>
        </w:tc>
      </w:tr>
      <w:tr>
        <w:trPr>
          <w:trHeight w:val="100"/>
        </w:trPr>
        <w:tc>
          <w:tcPr>
            <w:tcW w:w="5040" w:type="dxa"/>
            <w:vAlign w:val="bottom"/>
            <w:shd w:val="clear" w:color="auto" w:fill="DCE2EF"/>
          </w:tcPr>
          <w:p>
            <w:pPr>
              <w:spacing w:after="0"/>
              <w:rPr>
                <w:sz w:val="8"/>
                <w:szCs w:val="8"/>
                <w:color w:val="auto"/>
              </w:rPr>
            </w:pPr>
          </w:p>
        </w:tc>
        <w:tc>
          <w:tcPr>
            <w:tcW w:w="1000" w:type="dxa"/>
            <w:vAlign w:val="bottom"/>
            <w:shd w:val="clear" w:color="auto" w:fill="DCE2EF"/>
          </w:tcPr>
          <w:p>
            <w:pPr>
              <w:spacing w:after="0"/>
              <w:rPr>
                <w:sz w:val="8"/>
                <w:szCs w:val="8"/>
                <w:color w:val="auto"/>
              </w:rPr>
            </w:pPr>
          </w:p>
        </w:tc>
        <w:tc>
          <w:tcPr>
            <w:tcW w:w="460" w:type="dxa"/>
            <w:vAlign w:val="bottom"/>
            <w:vMerge w:val="continue"/>
            <w:shd w:val="clear" w:color="auto" w:fill="DCE2EF"/>
          </w:tcPr>
          <w:p>
            <w:pPr>
              <w:spacing w:after="0"/>
              <w:rPr>
                <w:sz w:val="8"/>
                <w:szCs w:val="8"/>
                <w:color w:val="auto"/>
              </w:rPr>
            </w:pPr>
          </w:p>
        </w:tc>
        <w:tc>
          <w:tcPr>
            <w:tcW w:w="220" w:type="dxa"/>
            <w:vAlign w:val="bottom"/>
            <w:shd w:val="clear" w:color="auto" w:fill="DCE2EF"/>
          </w:tcPr>
          <w:p>
            <w:pPr>
              <w:spacing w:after="0"/>
              <w:rPr>
                <w:sz w:val="8"/>
                <w:szCs w:val="8"/>
                <w:color w:val="auto"/>
              </w:rPr>
            </w:pPr>
          </w:p>
        </w:tc>
        <w:tc>
          <w:tcPr>
            <w:tcW w:w="980" w:type="dxa"/>
            <w:vAlign w:val="bottom"/>
            <w:shd w:val="clear" w:color="auto" w:fill="DCE2EF"/>
          </w:tcPr>
          <w:p>
            <w:pPr>
              <w:spacing w:after="0"/>
              <w:rPr>
                <w:sz w:val="8"/>
                <w:szCs w:val="8"/>
                <w:color w:val="auto"/>
              </w:rPr>
            </w:pPr>
          </w:p>
        </w:tc>
        <w:tc>
          <w:tcPr>
            <w:tcW w:w="460" w:type="dxa"/>
            <w:vAlign w:val="bottom"/>
            <w:vMerge w:val="continue"/>
            <w:shd w:val="clear" w:color="auto" w:fill="DCE2EF"/>
          </w:tcPr>
          <w:p>
            <w:pPr>
              <w:spacing w:after="0"/>
              <w:rPr>
                <w:sz w:val="8"/>
                <w:szCs w:val="8"/>
                <w:color w:val="auto"/>
              </w:rPr>
            </w:pPr>
          </w:p>
        </w:tc>
        <w:tc>
          <w:tcPr>
            <w:tcW w:w="220" w:type="dxa"/>
            <w:vAlign w:val="bottom"/>
            <w:shd w:val="clear" w:color="auto" w:fill="DCE2EF"/>
          </w:tcPr>
          <w:p>
            <w:pPr>
              <w:spacing w:after="0"/>
              <w:rPr>
                <w:sz w:val="8"/>
                <w:szCs w:val="8"/>
                <w:color w:val="auto"/>
              </w:rPr>
            </w:pPr>
          </w:p>
        </w:tc>
        <w:tc>
          <w:tcPr>
            <w:tcW w:w="860" w:type="dxa"/>
            <w:vAlign w:val="bottom"/>
            <w:shd w:val="clear" w:color="auto" w:fill="DCE2EF"/>
          </w:tcPr>
          <w:p>
            <w:pPr>
              <w:spacing w:after="0"/>
              <w:rPr>
                <w:sz w:val="8"/>
                <w:szCs w:val="8"/>
                <w:color w:val="auto"/>
              </w:rPr>
            </w:pPr>
          </w:p>
        </w:tc>
        <w:tc>
          <w:tcPr>
            <w:tcW w:w="460" w:type="dxa"/>
            <w:vAlign w:val="bottom"/>
            <w:vMerge w:val="continue"/>
            <w:shd w:val="clear" w:color="auto" w:fill="DCE2EF"/>
          </w:tcPr>
          <w:p>
            <w:pPr>
              <w:spacing w:after="0"/>
              <w:rPr>
                <w:sz w:val="8"/>
                <w:szCs w:val="8"/>
                <w:color w:val="auto"/>
              </w:rPr>
            </w:pPr>
          </w:p>
        </w:tc>
        <w:tc>
          <w:tcPr>
            <w:tcW w:w="220" w:type="dxa"/>
            <w:vAlign w:val="bottom"/>
            <w:shd w:val="clear" w:color="auto" w:fill="DCE2EF"/>
          </w:tcPr>
          <w:p>
            <w:pPr>
              <w:spacing w:after="0"/>
              <w:rPr>
                <w:sz w:val="8"/>
                <w:szCs w:val="8"/>
                <w:color w:val="auto"/>
              </w:rPr>
            </w:pPr>
          </w:p>
        </w:tc>
        <w:tc>
          <w:tcPr>
            <w:tcW w:w="860" w:type="dxa"/>
            <w:vAlign w:val="bottom"/>
            <w:shd w:val="clear" w:color="auto" w:fill="DCE2EF"/>
          </w:tcPr>
          <w:p>
            <w:pPr>
              <w:spacing w:after="0"/>
              <w:rPr>
                <w:sz w:val="8"/>
                <w:szCs w:val="8"/>
                <w:color w:val="auto"/>
              </w:rPr>
            </w:pPr>
          </w:p>
        </w:tc>
        <w:tc>
          <w:tcPr>
            <w:tcW w:w="460" w:type="dxa"/>
            <w:vAlign w:val="bottom"/>
            <w:vMerge w:val="continue"/>
            <w:shd w:val="clear" w:color="auto" w:fill="DCE2EF"/>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5040" w:type="dxa"/>
            <w:vAlign w:val="bottom"/>
          </w:tcPr>
          <w:p>
            <w:pPr>
              <w:ind w:left="180"/>
              <w:spacing w:after="0"/>
              <w:rPr>
                <w:sz w:val="20"/>
                <w:szCs w:val="20"/>
                <w:color w:val="auto"/>
              </w:rPr>
            </w:pPr>
            <w:r>
              <w:rPr>
                <w:rFonts w:ascii="Arial" w:cs="Arial" w:eastAsia="Arial" w:hAnsi="Arial"/>
                <w:sz w:val="15"/>
                <w:szCs w:val="15"/>
                <w:color w:val="auto"/>
              </w:rPr>
              <w:t>Income tax provision</w:t>
            </w:r>
          </w:p>
        </w:tc>
        <w:tc>
          <w:tcPr>
            <w:tcW w:w="1000" w:type="dxa"/>
            <w:vAlign w:val="bottom"/>
          </w:tcPr>
          <w:p>
            <w:pPr>
              <w:spacing w:after="0"/>
              <w:rPr>
                <w:sz w:val="22"/>
                <w:szCs w:val="22"/>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18.7</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20.4</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28.0</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79"/>
        </w:trPr>
        <w:tc>
          <w:tcPr>
            <w:tcW w:w="50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5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040" w:type="dxa"/>
            <w:vAlign w:val="bottom"/>
            <w:shd w:val="clear" w:color="auto" w:fill="DCE2EF"/>
          </w:tcPr>
          <w:p>
            <w:pPr>
              <w:ind w:left="180"/>
              <w:spacing w:after="0"/>
              <w:rPr>
                <w:sz w:val="20"/>
                <w:szCs w:val="20"/>
                <w:color w:val="auto"/>
              </w:rPr>
            </w:pPr>
            <w:r>
              <w:rPr>
                <w:rFonts w:ascii="Arial" w:cs="Arial" w:eastAsia="Arial" w:hAnsi="Arial"/>
                <w:sz w:val="15"/>
                <w:szCs w:val="15"/>
                <w:color w:val="auto"/>
              </w:rPr>
              <w:t>Interest expense</w:t>
            </w:r>
          </w:p>
        </w:tc>
        <w:tc>
          <w:tcPr>
            <w:tcW w:w="1000" w:type="dxa"/>
            <w:vAlign w:val="bottom"/>
            <w:shd w:val="clear" w:color="auto" w:fill="DCE2EF"/>
          </w:tcPr>
          <w:p>
            <w:pPr>
              <w:spacing w:after="0"/>
              <w:rPr>
                <w:sz w:val="22"/>
                <w:szCs w:val="22"/>
                <w:color w:val="auto"/>
              </w:rPr>
            </w:pPr>
          </w:p>
        </w:tc>
        <w:tc>
          <w:tcPr>
            <w:tcW w:w="46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20.6</w:t>
            </w:r>
          </w:p>
        </w:tc>
        <w:tc>
          <w:tcPr>
            <w:tcW w:w="220" w:type="dxa"/>
            <w:vAlign w:val="bottom"/>
            <w:shd w:val="clear" w:color="auto" w:fill="DCE2EF"/>
          </w:tcPr>
          <w:p>
            <w:pPr>
              <w:spacing w:after="0"/>
              <w:rPr>
                <w:sz w:val="22"/>
                <w:szCs w:val="22"/>
                <w:color w:val="auto"/>
              </w:rPr>
            </w:pPr>
          </w:p>
        </w:tc>
        <w:tc>
          <w:tcPr>
            <w:tcW w:w="980" w:type="dxa"/>
            <w:vAlign w:val="bottom"/>
            <w:shd w:val="clear" w:color="auto" w:fill="DCE2EF"/>
          </w:tcPr>
          <w:p>
            <w:pPr>
              <w:spacing w:after="0"/>
              <w:rPr>
                <w:sz w:val="22"/>
                <w:szCs w:val="22"/>
                <w:color w:val="auto"/>
              </w:rPr>
            </w:pPr>
          </w:p>
        </w:tc>
        <w:tc>
          <w:tcPr>
            <w:tcW w:w="46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21.1</w:t>
            </w:r>
          </w:p>
        </w:tc>
        <w:tc>
          <w:tcPr>
            <w:tcW w:w="220" w:type="dxa"/>
            <w:vAlign w:val="bottom"/>
            <w:shd w:val="clear" w:color="auto" w:fill="DCE2EF"/>
          </w:tcPr>
          <w:p>
            <w:pPr>
              <w:spacing w:after="0"/>
              <w:rPr>
                <w:sz w:val="22"/>
                <w:szCs w:val="22"/>
                <w:color w:val="auto"/>
              </w:rPr>
            </w:pPr>
          </w:p>
        </w:tc>
        <w:tc>
          <w:tcPr>
            <w:tcW w:w="860" w:type="dxa"/>
            <w:vAlign w:val="bottom"/>
            <w:shd w:val="clear" w:color="auto" w:fill="DCE2EF"/>
          </w:tcPr>
          <w:p>
            <w:pPr>
              <w:spacing w:after="0"/>
              <w:rPr>
                <w:sz w:val="22"/>
                <w:szCs w:val="22"/>
                <w:color w:val="auto"/>
              </w:rPr>
            </w:pPr>
          </w:p>
        </w:tc>
        <w:tc>
          <w:tcPr>
            <w:tcW w:w="46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41.9</w:t>
            </w:r>
          </w:p>
        </w:tc>
        <w:tc>
          <w:tcPr>
            <w:tcW w:w="220" w:type="dxa"/>
            <w:vAlign w:val="bottom"/>
            <w:shd w:val="clear" w:color="auto" w:fill="DCE2EF"/>
          </w:tcPr>
          <w:p>
            <w:pPr>
              <w:spacing w:after="0"/>
              <w:rPr>
                <w:sz w:val="22"/>
                <w:szCs w:val="22"/>
                <w:color w:val="auto"/>
              </w:rPr>
            </w:pPr>
          </w:p>
        </w:tc>
        <w:tc>
          <w:tcPr>
            <w:tcW w:w="860" w:type="dxa"/>
            <w:vAlign w:val="bottom"/>
            <w:shd w:val="clear" w:color="auto" w:fill="DCE2EF"/>
          </w:tcPr>
          <w:p>
            <w:pPr>
              <w:spacing w:after="0"/>
              <w:rPr>
                <w:sz w:val="22"/>
                <w:szCs w:val="22"/>
                <w:color w:val="auto"/>
              </w:rPr>
            </w:pPr>
          </w:p>
        </w:tc>
        <w:tc>
          <w:tcPr>
            <w:tcW w:w="460" w:type="dxa"/>
            <w:vAlign w:val="bottom"/>
            <w:vMerge w:val="restart"/>
            <w:shd w:val="clear" w:color="auto" w:fill="DCE2EF"/>
          </w:tcPr>
          <w:p>
            <w:pPr>
              <w:jc w:val="right"/>
              <w:spacing w:after="0"/>
              <w:rPr>
                <w:sz w:val="20"/>
                <w:szCs w:val="20"/>
                <w:color w:val="auto"/>
              </w:rPr>
            </w:pPr>
            <w:r>
              <w:rPr>
                <w:rFonts w:ascii="Arial" w:cs="Arial" w:eastAsia="Arial" w:hAnsi="Arial"/>
                <w:sz w:val="15"/>
                <w:szCs w:val="15"/>
                <w:color w:val="auto"/>
              </w:rPr>
              <w:t>40.9</w:t>
            </w:r>
          </w:p>
        </w:tc>
        <w:tc>
          <w:tcPr>
            <w:tcW w:w="0" w:type="dxa"/>
            <w:vAlign w:val="bottom"/>
          </w:tcPr>
          <w:p>
            <w:pPr>
              <w:spacing w:after="0"/>
              <w:rPr>
                <w:sz w:val="1"/>
                <w:szCs w:val="1"/>
                <w:color w:val="auto"/>
              </w:rPr>
            </w:pPr>
          </w:p>
        </w:tc>
      </w:tr>
      <w:tr>
        <w:trPr>
          <w:trHeight w:val="101"/>
        </w:trPr>
        <w:tc>
          <w:tcPr>
            <w:tcW w:w="5040" w:type="dxa"/>
            <w:vAlign w:val="bottom"/>
            <w:shd w:val="clear" w:color="auto" w:fill="DCE2EF"/>
          </w:tcPr>
          <w:p>
            <w:pPr>
              <w:spacing w:after="0"/>
              <w:rPr>
                <w:sz w:val="8"/>
                <w:szCs w:val="8"/>
                <w:color w:val="auto"/>
              </w:rPr>
            </w:pPr>
          </w:p>
        </w:tc>
        <w:tc>
          <w:tcPr>
            <w:tcW w:w="1000" w:type="dxa"/>
            <w:vAlign w:val="bottom"/>
            <w:shd w:val="clear" w:color="auto" w:fill="DCE2EF"/>
          </w:tcPr>
          <w:p>
            <w:pPr>
              <w:spacing w:after="0"/>
              <w:rPr>
                <w:sz w:val="8"/>
                <w:szCs w:val="8"/>
                <w:color w:val="auto"/>
              </w:rPr>
            </w:pPr>
          </w:p>
        </w:tc>
        <w:tc>
          <w:tcPr>
            <w:tcW w:w="460" w:type="dxa"/>
            <w:vAlign w:val="bottom"/>
            <w:vMerge w:val="continue"/>
            <w:shd w:val="clear" w:color="auto" w:fill="DCE2EF"/>
          </w:tcPr>
          <w:p>
            <w:pPr>
              <w:spacing w:after="0"/>
              <w:rPr>
                <w:sz w:val="8"/>
                <w:szCs w:val="8"/>
                <w:color w:val="auto"/>
              </w:rPr>
            </w:pPr>
          </w:p>
        </w:tc>
        <w:tc>
          <w:tcPr>
            <w:tcW w:w="220" w:type="dxa"/>
            <w:vAlign w:val="bottom"/>
            <w:shd w:val="clear" w:color="auto" w:fill="DCE2EF"/>
          </w:tcPr>
          <w:p>
            <w:pPr>
              <w:spacing w:after="0"/>
              <w:rPr>
                <w:sz w:val="8"/>
                <w:szCs w:val="8"/>
                <w:color w:val="auto"/>
              </w:rPr>
            </w:pPr>
          </w:p>
        </w:tc>
        <w:tc>
          <w:tcPr>
            <w:tcW w:w="980" w:type="dxa"/>
            <w:vAlign w:val="bottom"/>
            <w:shd w:val="clear" w:color="auto" w:fill="DCE2EF"/>
          </w:tcPr>
          <w:p>
            <w:pPr>
              <w:spacing w:after="0"/>
              <w:rPr>
                <w:sz w:val="8"/>
                <w:szCs w:val="8"/>
                <w:color w:val="auto"/>
              </w:rPr>
            </w:pPr>
          </w:p>
        </w:tc>
        <w:tc>
          <w:tcPr>
            <w:tcW w:w="460" w:type="dxa"/>
            <w:vAlign w:val="bottom"/>
            <w:vMerge w:val="continue"/>
            <w:shd w:val="clear" w:color="auto" w:fill="DCE2EF"/>
          </w:tcPr>
          <w:p>
            <w:pPr>
              <w:spacing w:after="0"/>
              <w:rPr>
                <w:sz w:val="8"/>
                <w:szCs w:val="8"/>
                <w:color w:val="auto"/>
              </w:rPr>
            </w:pPr>
          </w:p>
        </w:tc>
        <w:tc>
          <w:tcPr>
            <w:tcW w:w="220" w:type="dxa"/>
            <w:vAlign w:val="bottom"/>
            <w:shd w:val="clear" w:color="auto" w:fill="DCE2EF"/>
          </w:tcPr>
          <w:p>
            <w:pPr>
              <w:spacing w:after="0"/>
              <w:rPr>
                <w:sz w:val="8"/>
                <w:szCs w:val="8"/>
                <w:color w:val="auto"/>
              </w:rPr>
            </w:pPr>
          </w:p>
        </w:tc>
        <w:tc>
          <w:tcPr>
            <w:tcW w:w="860" w:type="dxa"/>
            <w:vAlign w:val="bottom"/>
            <w:shd w:val="clear" w:color="auto" w:fill="DCE2EF"/>
          </w:tcPr>
          <w:p>
            <w:pPr>
              <w:spacing w:after="0"/>
              <w:rPr>
                <w:sz w:val="8"/>
                <w:szCs w:val="8"/>
                <w:color w:val="auto"/>
              </w:rPr>
            </w:pPr>
          </w:p>
        </w:tc>
        <w:tc>
          <w:tcPr>
            <w:tcW w:w="460" w:type="dxa"/>
            <w:vAlign w:val="bottom"/>
            <w:vMerge w:val="continue"/>
            <w:shd w:val="clear" w:color="auto" w:fill="DCE2EF"/>
          </w:tcPr>
          <w:p>
            <w:pPr>
              <w:spacing w:after="0"/>
              <w:rPr>
                <w:sz w:val="8"/>
                <w:szCs w:val="8"/>
                <w:color w:val="auto"/>
              </w:rPr>
            </w:pPr>
          </w:p>
        </w:tc>
        <w:tc>
          <w:tcPr>
            <w:tcW w:w="220" w:type="dxa"/>
            <w:vAlign w:val="bottom"/>
            <w:shd w:val="clear" w:color="auto" w:fill="DCE2EF"/>
          </w:tcPr>
          <w:p>
            <w:pPr>
              <w:spacing w:after="0"/>
              <w:rPr>
                <w:sz w:val="8"/>
                <w:szCs w:val="8"/>
                <w:color w:val="auto"/>
              </w:rPr>
            </w:pPr>
          </w:p>
        </w:tc>
        <w:tc>
          <w:tcPr>
            <w:tcW w:w="860" w:type="dxa"/>
            <w:vAlign w:val="bottom"/>
            <w:shd w:val="clear" w:color="auto" w:fill="DCE2EF"/>
          </w:tcPr>
          <w:p>
            <w:pPr>
              <w:spacing w:after="0"/>
              <w:rPr>
                <w:sz w:val="8"/>
                <w:szCs w:val="8"/>
                <w:color w:val="auto"/>
              </w:rPr>
            </w:pPr>
          </w:p>
        </w:tc>
        <w:tc>
          <w:tcPr>
            <w:tcW w:w="460" w:type="dxa"/>
            <w:vAlign w:val="bottom"/>
            <w:vMerge w:val="continue"/>
            <w:shd w:val="clear" w:color="auto" w:fill="DCE2EF"/>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5040" w:type="dxa"/>
            <w:vAlign w:val="bottom"/>
          </w:tcPr>
          <w:p>
            <w:pPr>
              <w:ind w:left="180"/>
              <w:spacing w:after="0"/>
              <w:rPr>
                <w:sz w:val="20"/>
                <w:szCs w:val="20"/>
                <w:color w:val="auto"/>
              </w:rPr>
            </w:pPr>
            <w:r>
              <w:rPr>
                <w:rFonts w:ascii="Arial" w:cs="Arial" w:eastAsia="Arial" w:hAnsi="Arial"/>
                <w:sz w:val="15"/>
                <w:szCs w:val="15"/>
                <w:color w:val="auto"/>
              </w:rPr>
              <w:t>Depreciation and amortization</w:t>
            </w:r>
          </w:p>
        </w:tc>
        <w:tc>
          <w:tcPr>
            <w:tcW w:w="1000" w:type="dxa"/>
            <w:vAlign w:val="bottom"/>
          </w:tcPr>
          <w:p>
            <w:pPr>
              <w:spacing w:after="0"/>
              <w:rPr>
                <w:sz w:val="22"/>
                <w:szCs w:val="22"/>
                <w:color w:val="auto"/>
              </w:rPr>
            </w:pPr>
          </w:p>
        </w:tc>
        <w:tc>
          <w:tcPr>
            <w:tcW w:w="460" w:type="dxa"/>
            <w:vAlign w:val="bottom"/>
            <w:vMerge w:val="restart"/>
          </w:tcPr>
          <w:p>
            <w:pPr>
              <w:jc w:val="right"/>
              <w:spacing w:after="0"/>
              <w:rPr>
                <w:sz w:val="20"/>
                <w:szCs w:val="20"/>
                <w:color w:val="auto"/>
              </w:rPr>
            </w:pPr>
            <w:r>
              <w:rPr>
                <w:rFonts w:ascii="Arial" w:cs="Arial" w:eastAsia="Arial" w:hAnsi="Arial"/>
                <w:sz w:val="15"/>
                <w:szCs w:val="15"/>
                <w:color w:val="auto"/>
              </w:rPr>
              <w:t>26.0</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60" w:type="dxa"/>
            <w:vAlign w:val="bottom"/>
            <w:vMerge w:val="restart"/>
          </w:tcPr>
          <w:p>
            <w:pPr>
              <w:jc w:val="right"/>
              <w:spacing w:after="0"/>
              <w:rPr>
                <w:sz w:val="20"/>
                <w:szCs w:val="20"/>
                <w:color w:val="auto"/>
              </w:rPr>
            </w:pPr>
            <w:r>
              <w:rPr>
                <w:rFonts w:ascii="Arial" w:cs="Arial" w:eastAsia="Arial" w:hAnsi="Arial"/>
                <w:sz w:val="15"/>
                <w:szCs w:val="15"/>
                <w:color w:val="auto"/>
              </w:rPr>
              <w:t>30.6</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60" w:type="dxa"/>
            <w:vAlign w:val="bottom"/>
            <w:vMerge w:val="restart"/>
          </w:tcPr>
          <w:p>
            <w:pPr>
              <w:jc w:val="right"/>
              <w:spacing w:after="0"/>
              <w:rPr>
                <w:sz w:val="20"/>
                <w:szCs w:val="20"/>
                <w:color w:val="auto"/>
              </w:rPr>
            </w:pPr>
            <w:r>
              <w:rPr>
                <w:rFonts w:ascii="Arial" w:cs="Arial" w:eastAsia="Arial" w:hAnsi="Arial"/>
                <w:sz w:val="15"/>
                <w:szCs w:val="15"/>
                <w:color w:val="auto"/>
              </w:rPr>
              <w:t>52.9</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60" w:type="dxa"/>
            <w:vAlign w:val="bottom"/>
            <w:vMerge w:val="restart"/>
          </w:tcPr>
          <w:p>
            <w:pPr>
              <w:jc w:val="right"/>
              <w:spacing w:after="0"/>
              <w:rPr>
                <w:sz w:val="20"/>
                <w:szCs w:val="20"/>
                <w:color w:val="auto"/>
              </w:rPr>
            </w:pPr>
            <w:r>
              <w:rPr>
                <w:rFonts w:ascii="Arial" w:cs="Arial" w:eastAsia="Arial" w:hAnsi="Arial"/>
                <w:sz w:val="15"/>
                <w:szCs w:val="15"/>
                <w:color w:val="auto"/>
              </w:rPr>
              <w:t>61.1</w:t>
            </w:r>
          </w:p>
        </w:tc>
        <w:tc>
          <w:tcPr>
            <w:tcW w:w="0" w:type="dxa"/>
            <w:vAlign w:val="bottom"/>
          </w:tcPr>
          <w:p>
            <w:pPr>
              <w:spacing w:after="0"/>
              <w:rPr>
                <w:sz w:val="1"/>
                <w:szCs w:val="1"/>
                <w:color w:val="auto"/>
              </w:rPr>
            </w:pPr>
          </w:p>
        </w:tc>
      </w:tr>
      <w:tr>
        <w:trPr>
          <w:trHeight w:val="94"/>
        </w:trPr>
        <w:tc>
          <w:tcPr>
            <w:tcW w:w="504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97"/>
        </w:trPr>
        <w:tc>
          <w:tcPr>
            <w:tcW w:w="5040" w:type="dxa"/>
            <w:vAlign w:val="bottom"/>
            <w:tcBorders>
              <w:bottom w:val="single" w:sz="8" w:color="DCE2EF"/>
            </w:tcBorders>
            <w:shd w:val="clear" w:color="auto" w:fill="DCE2EF"/>
          </w:tcPr>
          <w:p>
            <w:pPr>
              <w:ind w:left="60"/>
              <w:spacing w:after="0"/>
              <w:rPr>
                <w:sz w:val="20"/>
                <w:szCs w:val="20"/>
                <w:color w:val="auto"/>
              </w:rPr>
            </w:pPr>
            <w:r>
              <w:rPr>
                <w:rFonts w:ascii="Arial" w:cs="Arial" w:eastAsia="Arial" w:hAnsi="Arial"/>
                <w:sz w:val="15"/>
                <w:szCs w:val="15"/>
                <w:color w:val="auto"/>
              </w:rPr>
              <w:t>Adjusted EBITDA</w:t>
            </w:r>
          </w:p>
        </w:tc>
        <w:tc>
          <w:tcPr>
            <w:tcW w:w="1000" w:type="dxa"/>
            <w:vAlign w:val="bottom"/>
            <w:tcBorders>
              <w:bottom w:val="single" w:sz="8" w:color="DCE2EF"/>
            </w:tcBorders>
            <w:shd w:val="clear" w:color="auto" w:fill="DCE2EF"/>
          </w:tcPr>
          <w:p>
            <w:pPr>
              <w:jc w:val="right"/>
              <w:ind w:right="106"/>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5"/>
                <w:szCs w:val="15"/>
                <w:color w:val="auto"/>
              </w:rPr>
              <w:t>125.3</w:t>
            </w:r>
          </w:p>
        </w:tc>
        <w:tc>
          <w:tcPr>
            <w:tcW w:w="1200" w:type="dxa"/>
            <w:vAlign w:val="bottom"/>
            <w:tcBorders>
              <w:bottom w:val="single" w:sz="8" w:color="DCE2EF"/>
            </w:tcBorders>
            <w:gridSpan w:val="2"/>
            <w:shd w:val="clear" w:color="auto" w:fill="DCE2EF"/>
          </w:tcPr>
          <w:p>
            <w:pPr>
              <w:jc w:val="right"/>
              <w:ind w:right="180"/>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5"/>
                <w:szCs w:val="15"/>
                <w:color w:val="auto"/>
              </w:rPr>
              <w:t>137.0</w:t>
            </w:r>
          </w:p>
        </w:tc>
        <w:tc>
          <w:tcPr>
            <w:tcW w:w="1080" w:type="dxa"/>
            <w:vAlign w:val="bottom"/>
            <w:tcBorders>
              <w:bottom w:val="single" w:sz="8" w:color="DCE2EF"/>
            </w:tcBorders>
            <w:gridSpan w:val="2"/>
            <w:shd w:val="clear" w:color="auto" w:fill="DCE2EF"/>
          </w:tcPr>
          <w:p>
            <w:pPr>
              <w:jc w:val="right"/>
              <w:ind w:right="180"/>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5"/>
                <w:szCs w:val="15"/>
                <w:color w:val="auto"/>
              </w:rPr>
              <w:t>242.0</w:t>
            </w:r>
          </w:p>
        </w:tc>
        <w:tc>
          <w:tcPr>
            <w:tcW w:w="1080" w:type="dxa"/>
            <w:vAlign w:val="bottom"/>
            <w:tcBorders>
              <w:bottom w:val="single" w:sz="8" w:color="DCE2EF"/>
            </w:tcBorders>
            <w:gridSpan w:val="2"/>
            <w:shd w:val="clear" w:color="auto" w:fill="DCE2EF"/>
          </w:tcPr>
          <w:p>
            <w:pPr>
              <w:jc w:val="right"/>
              <w:ind w:right="200"/>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5"/>
                <w:szCs w:val="15"/>
                <w:color w:val="auto"/>
              </w:rPr>
              <w:t>259.7</w:t>
            </w:r>
          </w:p>
        </w:tc>
        <w:tc>
          <w:tcPr>
            <w:tcW w:w="0" w:type="dxa"/>
            <w:vAlign w:val="bottom"/>
          </w:tcPr>
          <w:p>
            <w:pPr>
              <w:spacing w:after="0"/>
              <w:rPr>
                <w:sz w:val="1"/>
                <w:szCs w:val="1"/>
                <w:color w:val="auto"/>
              </w:rPr>
            </w:pPr>
          </w:p>
        </w:tc>
      </w:tr>
      <w:tr>
        <w:trPr>
          <w:trHeight w:val="576"/>
        </w:trPr>
        <w:tc>
          <w:tcPr>
            <w:tcW w:w="5040" w:type="dxa"/>
            <w:vAlign w:val="bottom"/>
            <w:tcBorders>
              <w:top w:val="single" w:sz="8" w:color="DCE2EF"/>
            </w:tcBorders>
          </w:tcPr>
          <w:p>
            <w:pPr>
              <w:ind w:left="60"/>
              <w:spacing w:after="0"/>
              <w:rPr>
                <w:sz w:val="20"/>
                <w:szCs w:val="20"/>
                <w:color w:val="auto"/>
              </w:rPr>
            </w:pPr>
            <w:r>
              <w:rPr>
                <w:rFonts w:ascii="Arial" w:cs="Arial" w:eastAsia="Arial" w:hAnsi="Arial"/>
                <w:sz w:val="15"/>
                <w:szCs w:val="15"/>
                <w:b w:val="1"/>
                <w:bCs w:val="1"/>
                <w:color w:val="auto"/>
              </w:rPr>
              <w:t>Net Income margin as a % of revenues</w:t>
            </w:r>
          </w:p>
        </w:tc>
        <w:tc>
          <w:tcPr>
            <w:tcW w:w="10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2.2%</w:t>
            </w:r>
          </w:p>
        </w:tc>
        <w:tc>
          <w:tcPr>
            <w:tcW w:w="220" w:type="dxa"/>
            <w:vAlign w:val="bottom"/>
            <w:tcBorders>
              <w:top w:val="single" w:sz="8" w:color="DCE2EF"/>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2.6%</w:t>
            </w:r>
          </w:p>
        </w:tc>
        <w:tc>
          <w:tcPr>
            <w:tcW w:w="220" w:type="dxa"/>
            <w:vAlign w:val="bottom"/>
            <w:tcBorders>
              <w:top w:val="single" w:sz="8" w:color="DCE2EF"/>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2.2%</w:t>
            </w: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71"/>
        </w:trPr>
        <w:tc>
          <w:tcPr>
            <w:tcW w:w="50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-682625</wp:posOffset>
            </wp:positionV>
            <wp:extent cx="137160" cy="114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-682625</wp:posOffset>
            </wp:positionV>
            <wp:extent cx="137160" cy="114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-682625</wp:posOffset>
            </wp:positionV>
            <wp:extent cx="137160" cy="114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-448945</wp:posOffset>
            </wp:positionV>
            <wp:extent cx="1371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-422910</wp:posOffset>
            </wp:positionV>
            <wp:extent cx="1371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-448945</wp:posOffset>
            </wp:positionV>
            <wp:extent cx="1371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-422910</wp:posOffset>
            </wp:positionV>
            <wp:extent cx="137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type w:val="continuous"/>
        </w:sectPr>
      </w:pPr>
    </w:p>
    <w:bookmarkStart w:id="15" w:name="page16"/>
    <w:bookmarkEnd w:id="15"/>
    <w:tbl>
      <w:tblPr>
        <w:tblLayout w:type="fixed"/>
        <w:tblInd w:w="5040" w:type="dxa"/>
        <w:tblCellMar>
          <w:top w:w="0" w:type="dxa"/>
          <w:left w:w="0" w:type="dxa"/>
          <w:bottom w:w="0" w:type="dxa"/>
          <w:right w:w="0" w:type="dxa"/>
        </w:tblCellMar>
      </w:tblPr>
      <w:tr>
        <w:trPr>
          <w:trHeight w:val="216"/>
        </w:trPr>
        <w:tc>
          <w:tcPr>
            <w:tcW w:w="3020" w:type="dxa"/>
            <w:vAlign w:val="bottom"/>
            <w:tcBorders>
              <w:bottom w:val="single" w:sz="8" w:color="auto"/>
            </w:tcBorders>
            <w:gridSpan w:val="2"/>
          </w:tcPr>
          <w:p>
            <w:pPr>
              <w:jc w:val="right"/>
              <w:ind w:right="364"/>
              <w:spacing w:after="0"/>
              <w:rPr>
                <w:sz w:val="20"/>
                <w:szCs w:val="20"/>
                <w:color w:val="auto"/>
              </w:rPr>
            </w:pPr>
            <w:r>
              <w:rPr>
                <w:rFonts w:ascii="Arial" w:cs="Arial" w:eastAsia="Arial" w:hAnsi="Arial"/>
                <w:sz w:val="15"/>
                <w:szCs w:val="15"/>
                <w:b w:val="1"/>
                <w:bCs w:val="1"/>
                <w:color w:val="auto"/>
              </w:rPr>
              <w:t>Three Months Ended April 30,</w:t>
            </w:r>
          </w:p>
        </w:tc>
        <w:tc>
          <w:tcPr>
            <w:tcW w:w="200" w:type="dxa"/>
            <w:vAlign w:val="bottom"/>
          </w:tcPr>
          <w:p>
            <w:pPr>
              <w:spacing w:after="0"/>
              <w:rPr>
                <w:sz w:val="18"/>
                <w:szCs w:val="18"/>
                <w:color w:val="auto"/>
              </w:rPr>
            </w:pPr>
          </w:p>
        </w:tc>
        <w:tc>
          <w:tcPr>
            <w:tcW w:w="2980" w:type="dxa"/>
            <w:vAlign w:val="bottom"/>
            <w:tcBorders>
              <w:bottom w:val="single" w:sz="8" w:color="auto"/>
            </w:tcBorders>
            <w:gridSpan w:val="2"/>
          </w:tcPr>
          <w:p>
            <w:pPr>
              <w:jc w:val="right"/>
              <w:ind w:right="424"/>
              <w:spacing w:after="0"/>
              <w:rPr>
                <w:sz w:val="20"/>
                <w:szCs w:val="20"/>
                <w:color w:val="auto"/>
              </w:rPr>
            </w:pPr>
            <w:r>
              <w:rPr>
                <w:rFonts w:ascii="Arial" w:cs="Arial" w:eastAsia="Arial" w:hAnsi="Arial"/>
                <w:sz w:val="15"/>
                <w:szCs w:val="15"/>
                <w:b w:val="1"/>
                <w:bCs w:val="1"/>
                <w:color w:val="auto"/>
              </w:rPr>
              <w:t>Six Months Ended April 30,</w:t>
            </w:r>
          </w:p>
        </w:tc>
      </w:tr>
      <w:tr>
        <w:trPr>
          <w:trHeight w:val="325"/>
        </w:trPr>
        <w:tc>
          <w:tcPr>
            <w:tcW w:w="1480" w:type="dxa"/>
            <w:vAlign w:val="bottom"/>
          </w:tcPr>
          <w:p>
            <w:pPr>
              <w:jc w:val="right"/>
              <w:ind w:right="564"/>
              <w:spacing w:after="0"/>
              <w:rPr>
                <w:sz w:val="20"/>
                <w:szCs w:val="20"/>
                <w:color w:val="auto"/>
              </w:rPr>
            </w:pPr>
            <w:r>
              <w:rPr>
                <w:rFonts w:ascii="Arial" w:cs="Arial" w:eastAsia="Arial" w:hAnsi="Arial"/>
                <w:sz w:val="15"/>
                <w:szCs w:val="15"/>
                <w:b w:val="1"/>
                <w:bCs w:val="1"/>
                <w:color w:val="auto"/>
              </w:rPr>
              <w:t>2024</w:t>
            </w:r>
          </w:p>
        </w:tc>
        <w:tc>
          <w:tcPr>
            <w:tcW w:w="1540" w:type="dxa"/>
            <w:vAlign w:val="bottom"/>
          </w:tcPr>
          <w:p>
            <w:pPr>
              <w:jc w:val="right"/>
              <w:ind w:right="484"/>
              <w:spacing w:after="0"/>
              <w:rPr>
                <w:sz w:val="20"/>
                <w:szCs w:val="20"/>
                <w:color w:val="auto"/>
              </w:rPr>
            </w:pPr>
            <w:r>
              <w:rPr>
                <w:rFonts w:ascii="Arial" w:cs="Arial" w:eastAsia="Arial" w:hAnsi="Arial"/>
                <w:sz w:val="15"/>
                <w:szCs w:val="15"/>
                <w:b w:val="1"/>
                <w:bCs w:val="1"/>
                <w:color w:val="auto"/>
              </w:rPr>
              <w:t>2023</w:t>
            </w:r>
          </w:p>
        </w:tc>
        <w:tc>
          <w:tcPr>
            <w:tcW w:w="1720" w:type="dxa"/>
            <w:vAlign w:val="bottom"/>
            <w:gridSpan w:val="2"/>
          </w:tcPr>
          <w:p>
            <w:pPr>
              <w:jc w:val="right"/>
              <w:ind w:right="544"/>
              <w:spacing w:after="0"/>
              <w:rPr>
                <w:sz w:val="20"/>
                <w:szCs w:val="20"/>
                <w:color w:val="auto"/>
              </w:rPr>
            </w:pPr>
            <w:r>
              <w:rPr>
                <w:rFonts w:ascii="Arial" w:cs="Arial" w:eastAsia="Arial" w:hAnsi="Arial"/>
                <w:sz w:val="15"/>
                <w:szCs w:val="15"/>
                <w:b w:val="1"/>
                <w:bCs w:val="1"/>
                <w:color w:val="auto"/>
              </w:rPr>
              <w:t>2024</w:t>
            </w:r>
          </w:p>
        </w:tc>
        <w:tc>
          <w:tcPr>
            <w:tcW w:w="1460" w:type="dxa"/>
            <w:vAlign w:val="bottom"/>
          </w:tcPr>
          <w:p>
            <w:pPr>
              <w:jc w:val="right"/>
              <w:ind w:right="404"/>
              <w:spacing w:after="0"/>
              <w:rPr>
                <w:sz w:val="20"/>
                <w:szCs w:val="20"/>
                <w:color w:val="auto"/>
              </w:rPr>
            </w:pPr>
            <w:r>
              <w:rPr>
                <w:rFonts w:ascii="Arial" w:cs="Arial" w:eastAsia="Arial" w:hAnsi="Arial"/>
                <w:sz w:val="15"/>
                <w:szCs w:val="15"/>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828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82880"/>
                    </a:xfrm>
                    <a:prstGeom prst="rect">
                      <a:avLst/>
                    </a:prstGeom>
                    <a:noFill/>
                  </pic:spPr>
                </pic:pic>
              </a:graphicData>
            </a:graphic>
          </wp:anchor>
        </w:drawing>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Revenues Excluding Management Reimbursement</w:t>
      </w:r>
    </w:p>
    <w:p>
      <w:pPr>
        <w:sectPr>
          <w:pgSz w:w="11900" w:h="16838" w:orient="portrait"/>
          <w:cols w:equalWidth="0" w:num="1">
            <w:col w:w="11240"/>
          </w:cols>
          <w:pgMar w:left="320" w:top="1052" w:right="339" w:bottom="1440" w:gutter="0" w:footer="0" w:header="0"/>
        </w:sectPr>
      </w:pPr>
    </w:p>
    <w:p>
      <w:pPr>
        <w:spacing w:after="0" w:line="127" w:lineRule="exact"/>
        <w:rPr>
          <w:sz w:val="20"/>
          <w:szCs w:val="20"/>
          <w:color w:val="auto"/>
        </w:rPr>
      </w:pPr>
    </w:p>
    <w:p>
      <w:pPr>
        <w:ind w:left="120"/>
        <w:spacing w:after="0"/>
        <w:rPr>
          <w:sz w:val="20"/>
          <w:szCs w:val="20"/>
          <w:color w:val="auto"/>
        </w:rPr>
      </w:pPr>
      <w:r>
        <w:rPr>
          <w:rFonts w:ascii="Arial" w:cs="Arial" w:eastAsia="Arial" w:hAnsi="Arial"/>
          <w:sz w:val="15"/>
          <w:szCs w:val="15"/>
          <w:color w:val="auto"/>
        </w:rPr>
        <w:t>Revenue</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5"/>
          <w:szCs w:val="15"/>
          <w:color w:val="auto"/>
        </w:rPr>
        <w:t>Management Reimbursement</w:t>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Revenues excluding management reimbursement</w:t>
      </w:r>
    </w:p>
    <w:p>
      <w:pPr>
        <w:spacing w:after="0" w:line="396" w:lineRule="exact"/>
        <w:rPr>
          <w:sz w:val="20"/>
          <w:szCs w:val="20"/>
          <w:color w:val="auto"/>
        </w:rPr>
      </w:pPr>
    </w:p>
    <w:p>
      <w:pPr>
        <w:ind w:left="120" w:right="600"/>
        <w:spacing w:after="0" w:line="278" w:lineRule="auto"/>
        <w:rPr>
          <w:sz w:val="20"/>
          <w:szCs w:val="20"/>
          <w:color w:val="auto"/>
        </w:rPr>
      </w:pPr>
      <w:r>
        <w:rPr>
          <w:rFonts w:ascii="Arial" w:cs="Arial" w:eastAsia="Arial" w:hAnsi="Arial"/>
          <w:sz w:val="15"/>
          <w:szCs w:val="15"/>
          <w:b w:val="1"/>
          <w:bCs w:val="1"/>
          <w:color w:val="auto"/>
        </w:rPr>
        <w:t>Adjusted EBITDA margin as a % of revenues excluding management reimbursement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0"/>
        <w:spacing w:after="0" w:line="278" w:lineRule="auto"/>
        <w:rPr>
          <w:sz w:val="20"/>
          <w:szCs w:val="20"/>
          <w:color w:val="auto"/>
        </w:rPr>
      </w:pPr>
      <w:r>
        <w:rPr>
          <w:rFonts w:ascii="Arial" w:cs="Arial" w:eastAsia="Arial" w:hAnsi="Arial"/>
          <w:sz w:val="15"/>
          <w:szCs w:val="15"/>
          <w:b w:val="1"/>
          <w:bCs w:val="1"/>
          <w:color w:val="auto"/>
        </w:rPr>
        <w:t>Reconciliation of Net Income per Diluted Share to Adjusted Net Income per Diluted Share</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5"/>
          <w:szCs w:val="15"/>
          <w:color w:val="auto"/>
        </w:rPr>
        <w:t>Net income per diluted share</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5"/>
          <w:szCs w:val="15"/>
          <w:color w:val="auto"/>
        </w:rPr>
        <w:t>Items impacting comparability, net of taxes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5"/>
          <w:szCs w:val="15"/>
          <w:color w:val="auto"/>
        </w:rPr>
        <w:t>Adjusted net income per diluted share</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15"/>
          <w:szCs w:val="15"/>
          <w:color w:val="auto"/>
        </w:rPr>
        <w:t>Diluted shares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48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5"/>
              <w:spacing w:after="0"/>
              <w:rPr>
                <w:sz w:val="20"/>
                <w:szCs w:val="20"/>
                <w:color w:val="auto"/>
              </w:rPr>
            </w:pPr>
            <w:r>
              <w:rPr>
                <w:rFonts w:ascii="Arial" w:cs="Arial" w:eastAsia="Arial" w:hAnsi="Arial"/>
                <w:sz w:val="15"/>
                <w:szCs w:val="15"/>
                <w:color w:val="auto"/>
              </w:rPr>
              <w:t>2,018.2</w:t>
            </w:r>
          </w:p>
        </w:tc>
        <w:tc>
          <w:tcPr>
            <w:tcW w:w="1060" w:type="dxa"/>
            <w:vAlign w:val="bottom"/>
            <w:gridSpan w:val="3"/>
          </w:tcPr>
          <w:p>
            <w:pPr>
              <w:jc w:val="right"/>
              <w:ind w:right="320"/>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5"/>
              <w:spacing w:after="0"/>
              <w:rPr>
                <w:sz w:val="20"/>
                <w:szCs w:val="20"/>
                <w:color w:val="auto"/>
              </w:rPr>
            </w:pPr>
            <w:r>
              <w:rPr>
                <w:rFonts w:ascii="Arial" w:cs="Arial" w:eastAsia="Arial" w:hAnsi="Arial"/>
                <w:sz w:val="15"/>
                <w:szCs w:val="15"/>
                <w:color w:val="auto"/>
              </w:rPr>
              <w:t>1,984.0</w:t>
            </w:r>
          </w:p>
        </w:tc>
        <w:tc>
          <w:tcPr>
            <w:tcW w:w="20" w:type="dxa"/>
            <w:vAlign w:val="bottom"/>
          </w:tcPr>
          <w:p>
            <w:pPr>
              <w:spacing w:after="0"/>
              <w:rPr>
                <w:sz w:val="17"/>
                <w:szCs w:val="17"/>
                <w:color w:val="auto"/>
              </w:rPr>
            </w:pPr>
          </w:p>
        </w:tc>
        <w:tc>
          <w:tcPr>
            <w:tcW w:w="1020" w:type="dxa"/>
            <w:vAlign w:val="bottom"/>
            <w:gridSpan w:val="2"/>
          </w:tcPr>
          <w:p>
            <w:pPr>
              <w:jc w:val="right"/>
              <w:ind w:right="244"/>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5"/>
              <w:spacing w:after="0"/>
              <w:rPr>
                <w:sz w:val="20"/>
                <w:szCs w:val="20"/>
                <w:color w:val="auto"/>
              </w:rPr>
            </w:pPr>
            <w:r>
              <w:rPr>
                <w:rFonts w:ascii="Arial" w:cs="Arial" w:eastAsia="Arial" w:hAnsi="Arial"/>
                <w:sz w:val="15"/>
                <w:szCs w:val="15"/>
                <w:color w:val="auto"/>
              </w:rPr>
              <w:t>4,087.8</w:t>
            </w:r>
          </w:p>
        </w:tc>
        <w:tc>
          <w:tcPr>
            <w:tcW w:w="2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5"/>
              <w:spacing w:after="0"/>
              <w:rPr>
                <w:sz w:val="20"/>
                <w:szCs w:val="20"/>
                <w:color w:val="auto"/>
              </w:rPr>
            </w:pPr>
            <w:r>
              <w:rPr>
                <w:rFonts w:ascii="Arial" w:cs="Arial" w:eastAsia="Arial" w:hAnsi="Arial"/>
                <w:sz w:val="15"/>
                <w:szCs w:val="15"/>
                <w:color w:val="auto"/>
              </w:rPr>
              <w:t>3,975.3</w:t>
            </w:r>
          </w:p>
        </w:tc>
      </w:tr>
      <w:tr>
        <w:trPr>
          <w:trHeight w:val="378"/>
        </w:trPr>
        <w:tc>
          <w:tcPr>
            <w:tcW w:w="4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(76.9)</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(73.5)</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(157.0)</w:t>
            </w:r>
          </w:p>
        </w:tc>
        <w:tc>
          <w:tcPr>
            <w:tcW w:w="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(146.0)</w:t>
            </w:r>
          </w:p>
        </w:tc>
      </w:tr>
      <w:tr>
        <w:trPr>
          <w:trHeight w:val="318"/>
        </w:trPr>
        <w:tc>
          <w:tcPr>
            <w:tcW w:w="48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5"/>
              <w:spacing w:after="0"/>
              <w:rPr>
                <w:sz w:val="20"/>
                <w:szCs w:val="20"/>
                <w:color w:val="auto"/>
              </w:rPr>
            </w:pPr>
            <w:r>
              <w:rPr>
                <w:rFonts w:ascii="Arial" w:cs="Arial" w:eastAsia="Arial" w:hAnsi="Arial"/>
                <w:sz w:val="15"/>
                <w:szCs w:val="15"/>
                <w:color w:val="auto"/>
              </w:rPr>
              <w:t>1,941.4</w:t>
            </w:r>
          </w:p>
        </w:tc>
        <w:tc>
          <w:tcPr>
            <w:tcW w:w="1060" w:type="dxa"/>
            <w:vAlign w:val="bottom"/>
            <w:gridSpan w:val="3"/>
          </w:tcPr>
          <w:p>
            <w:pPr>
              <w:jc w:val="right"/>
              <w:ind w:right="320"/>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5"/>
              <w:spacing w:after="0"/>
              <w:rPr>
                <w:sz w:val="20"/>
                <w:szCs w:val="20"/>
                <w:color w:val="auto"/>
              </w:rPr>
            </w:pPr>
            <w:r>
              <w:rPr>
                <w:rFonts w:ascii="Arial" w:cs="Arial" w:eastAsia="Arial" w:hAnsi="Arial"/>
                <w:sz w:val="15"/>
                <w:szCs w:val="15"/>
                <w:color w:val="auto"/>
              </w:rPr>
              <w:t>1,910.5</w:t>
            </w:r>
          </w:p>
        </w:tc>
        <w:tc>
          <w:tcPr>
            <w:tcW w:w="20" w:type="dxa"/>
            <w:vAlign w:val="bottom"/>
          </w:tcPr>
          <w:p>
            <w:pPr>
              <w:spacing w:after="0"/>
              <w:rPr>
                <w:sz w:val="24"/>
                <w:szCs w:val="24"/>
                <w:color w:val="auto"/>
              </w:rPr>
            </w:pPr>
          </w:p>
        </w:tc>
        <w:tc>
          <w:tcPr>
            <w:tcW w:w="1020" w:type="dxa"/>
            <w:vAlign w:val="bottom"/>
            <w:gridSpan w:val="2"/>
          </w:tcPr>
          <w:p>
            <w:pPr>
              <w:jc w:val="right"/>
              <w:ind w:right="244"/>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5"/>
              <w:spacing w:after="0"/>
              <w:rPr>
                <w:sz w:val="20"/>
                <w:szCs w:val="20"/>
                <w:color w:val="auto"/>
              </w:rPr>
            </w:pPr>
            <w:r>
              <w:rPr>
                <w:rFonts w:ascii="Arial" w:cs="Arial" w:eastAsia="Arial" w:hAnsi="Arial"/>
                <w:sz w:val="15"/>
                <w:szCs w:val="15"/>
                <w:color w:val="auto"/>
              </w:rPr>
              <w:t>3,930.8</w:t>
            </w:r>
          </w:p>
        </w:tc>
        <w:tc>
          <w:tcPr>
            <w:tcW w:w="2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5"/>
              <w:spacing w:after="0"/>
              <w:rPr>
                <w:sz w:val="20"/>
                <w:szCs w:val="20"/>
                <w:color w:val="auto"/>
              </w:rPr>
            </w:pPr>
            <w:r>
              <w:rPr>
                <w:rFonts w:ascii="Arial" w:cs="Arial" w:eastAsia="Arial" w:hAnsi="Arial"/>
                <w:sz w:val="15"/>
                <w:szCs w:val="15"/>
                <w:color w:val="auto"/>
              </w:rPr>
              <w:t>3,829.3</w:t>
            </w:r>
          </w:p>
        </w:tc>
      </w:tr>
      <w:tr>
        <w:trPr>
          <w:trHeight w:val="33"/>
        </w:trPr>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688"/>
        </w:trPr>
        <w:tc>
          <w:tcPr>
            <w:tcW w:w="480" w:type="dxa"/>
            <w:vAlign w:val="bottom"/>
          </w:tcPr>
          <w:p>
            <w:pPr>
              <w:spacing w:after="0"/>
              <w:rPr>
                <w:sz w:val="24"/>
                <w:szCs w:val="24"/>
                <w:color w:val="auto"/>
              </w:rPr>
            </w:pPr>
          </w:p>
        </w:tc>
        <w:tc>
          <w:tcPr>
            <w:tcW w:w="840" w:type="dxa"/>
            <w:vAlign w:val="bottom"/>
          </w:tcPr>
          <w:p>
            <w:pPr>
              <w:jc w:val="right"/>
              <w:ind w:right="25"/>
              <w:spacing w:after="0"/>
              <w:rPr>
                <w:sz w:val="20"/>
                <w:szCs w:val="20"/>
                <w:color w:val="auto"/>
              </w:rPr>
            </w:pPr>
            <w:r>
              <w:rPr>
                <w:rFonts w:ascii="Arial" w:cs="Arial" w:eastAsia="Arial" w:hAnsi="Arial"/>
                <w:sz w:val="14"/>
                <w:szCs w:val="14"/>
                <w:color w:val="auto"/>
              </w:rPr>
              <w:t>6.5%</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jc w:val="right"/>
              <w:ind w:right="5"/>
              <w:spacing w:after="0"/>
              <w:rPr>
                <w:sz w:val="20"/>
                <w:szCs w:val="20"/>
                <w:color w:val="auto"/>
              </w:rPr>
            </w:pPr>
            <w:r>
              <w:rPr>
                <w:rFonts w:ascii="Arial" w:cs="Arial" w:eastAsia="Arial" w:hAnsi="Arial"/>
                <w:sz w:val="14"/>
                <w:szCs w:val="14"/>
                <w:color w:val="auto"/>
              </w:rPr>
              <w:t>7.2%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jc w:val="right"/>
              <w:ind w:right="5"/>
              <w:spacing w:after="0"/>
              <w:rPr>
                <w:sz w:val="20"/>
                <w:szCs w:val="20"/>
                <w:color w:val="auto"/>
              </w:rPr>
            </w:pPr>
            <w:r>
              <w:rPr>
                <w:rFonts w:ascii="Arial" w:cs="Arial" w:eastAsia="Arial" w:hAnsi="Arial"/>
                <w:sz w:val="14"/>
                <w:szCs w:val="14"/>
                <w:color w:val="auto"/>
              </w:rPr>
              <w:t>6.2%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ind w:right="25"/>
              <w:spacing w:after="0"/>
              <w:rPr>
                <w:sz w:val="20"/>
                <w:szCs w:val="20"/>
                <w:color w:val="auto"/>
              </w:rPr>
            </w:pPr>
            <w:r>
              <w:rPr>
                <w:rFonts w:ascii="Arial" w:cs="Arial" w:eastAsia="Arial" w:hAnsi="Arial"/>
                <w:sz w:val="14"/>
                <w:szCs w:val="14"/>
                <w:color w:val="auto"/>
              </w:rPr>
              <w:t>6.8%</w:t>
            </w:r>
          </w:p>
        </w:tc>
      </w:tr>
      <w:tr>
        <w:trPr>
          <w:trHeight w:val="475"/>
        </w:trPr>
        <w:tc>
          <w:tcPr>
            <w:tcW w:w="3000" w:type="dxa"/>
            <w:vAlign w:val="bottom"/>
            <w:tcBorders>
              <w:bottom w:val="single" w:sz="8" w:color="auto"/>
            </w:tcBorders>
            <w:gridSpan w:val="6"/>
          </w:tcPr>
          <w:p>
            <w:pPr>
              <w:jc w:val="right"/>
              <w:ind w:right="345"/>
              <w:spacing w:after="0"/>
              <w:rPr>
                <w:sz w:val="20"/>
                <w:szCs w:val="20"/>
                <w:color w:val="auto"/>
              </w:rPr>
            </w:pPr>
            <w:r>
              <w:rPr>
                <w:rFonts w:ascii="Arial" w:cs="Arial" w:eastAsia="Arial" w:hAnsi="Arial"/>
                <w:sz w:val="15"/>
                <w:szCs w:val="15"/>
                <w:b w:val="1"/>
                <w:bCs w:val="1"/>
                <w:color w:val="auto"/>
              </w:rPr>
              <w:t>Three Months Ended April 30,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80" w:type="dxa"/>
            <w:vAlign w:val="bottom"/>
            <w:tcBorders>
              <w:bottom w:val="single" w:sz="8" w:color="auto"/>
            </w:tcBorders>
            <w:gridSpan w:val="7"/>
          </w:tcPr>
          <w:p>
            <w:pPr>
              <w:jc w:val="right"/>
              <w:ind w:right="425"/>
              <w:spacing w:after="0"/>
              <w:rPr>
                <w:sz w:val="20"/>
                <w:szCs w:val="20"/>
                <w:color w:val="auto"/>
              </w:rPr>
            </w:pPr>
            <w:r>
              <w:rPr>
                <w:rFonts w:ascii="Arial" w:cs="Arial" w:eastAsia="Arial" w:hAnsi="Arial"/>
                <w:sz w:val="15"/>
                <w:szCs w:val="15"/>
                <w:b w:val="1"/>
                <w:bCs w:val="1"/>
                <w:color w:val="auto"/>
              </w:rPr>
              <w:t>Six Months Ended April 30,</w:t>
            </w:r>
          </w:p>
        </w:tc>
      </w:tr>
      <w:tr>
        <w:trPr>
          <w:trHeight w:val="325"/>
        </w:trPr>
        <w:tc>
          <w:tcPr>
            <w:tcW w:w="480" w:type="dxa"/>
            <w:vAlign w:val="bottom"/>
          </w:tcPr>
          <w:p>
            <w:pPr>
              <w:spacing w:after="0"/>
              <w:rPr>
                <w:sz w:val="24"/>
                <w:szCs w:val="24"/>
                <w:color w:val="auto"/>
              </w:rPr>
            </w:pPr>
          </w:p>
        </w:tc>
        <w:tc>
          <w:tcPr>
            <w:tcW w:w="840" w:type="dxa"/>
            <w:vAlign w:val="bottom"/>
          </w:tcPr>
          <w:p>
            <w:pPr>
              <w:jc w:val="right"/>
              <w:ind w:right="405"/>
              <w:spacing w:after="0"/>
              <w:rPr>
                <w:sz w:val="20"/>
                <w:szCs w:val="20"/>
                <w:color w:val="auto"/>
              </w:rPr>
            </w:pPr>
            <w:r>
              <w:rPr>
                <w:rFonts w:ascii="Arial" w:cs="Arial" w:eastAsia="Arial" w:hAnsi="Arial"/>
                <w:sz w:val="15"/>
                <w:szCs w:val="15"/>
                <w:b w:val="1"/>
                <w:bCs w:val="1"/>
                <w:color w:val="auto"/>
              </w:rPr>
              <w:t>2024</w:t>
            </w:r>
          </w:p>
        </w:tc>
        <w:tc>
          <w:tcPr>
            <w:tcW w:w="1680" w:type="dxa"/>
            <w:vAlign w:val="bottom"/>
            <w:gridSpan w:val="4"/>
          </w:tcPr>
          <w:p>
            <w:pPr>
              <w:jc w:val="right"/>
              <w:ind w:right="485"/>
              <w:spacing w:after="0"/>
              <w:rPr>
                <w:sz w:val="20"/>
                <w:szCs w:val="20"/>
                <w:color w:val="auto"/>
              </w:rPr>
            </w:pPr>
            <w:r>
              <w:rPr>
                <w:rFonts w:ascii="Arial" w:cs="Arial" w:eastAsia="Arial" w:hAnsi="Arial"/>
                <w:sz w:val="15"/>
                <w:szCs w:val="15"/>
                <w:b w:val="1"/>
                <w:bCs w:val="1"/>
                <w:color w:val="auto"/>
              </w:rPr>
              <w:t>2023</w:t>
            </w:r>
          </w:p>
        </w:tc>
        <w:tc>
          <w:tcPr>
            <w:tcW w:w="20" w:type="dxa"/>
            <w:vAlign w:val="bottom"/>
          </w:tcPr>
          <w:p>
            <w:pPr>
              <w:spacing w:after="0"/>
              <w:rPr>
                <w:sz w:val="24"/>
                <w:szCs w:val="24"/>
                <w:color w:val="auto"/>
              </w:rPr>
            </w:pPr>
          </w:p>
        </w:tc>
        <w:tc>
          <w:tcPr>
            <w:tcW w:w="1640" w:type="dxa"/>
            <w:vAlign w:val="bottom"/>
            <w:gridSpan w:val="3"/>
          </w:tcPr>
          <w:p>
            <w:pPr>
              <w:jc w:val="right"/>
              <w:ind w:right="485"/>
              <w:spacing w:after="0"/>
              <w:rPr>
                <w:sz w:val="20"/>
                <w:szCs w:val="20"/>
                <w:color w:val="auto"/>
              </w:rPr>
            </w:pPr>
            <w:r>
              <w:rPr>
                <w:rFonts w:ascii="Arial" w:cs="Arial" w:eastAsia="Arial" w:hAnsi="Arial"/>
                <w:sz w:val="15"/>
                <w:szCs w:val="15"/>
                <w:b w:val="1"/>
                <w:bCs w:val="1"/>
                <w:color w:val="auto"/>
              </w:rPr>
              <w:t>2024</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ind w:right="425"/>
              <w:spacing w:after="0"/>
              <w:rPr>
                <w:sz w:val="20"/>
                <w:szCs w:val="20"/>
                <w:color w:val="auto"/>
              </w:rPr>
            </w:pPr>
            <w:r>
              <w:rPr>
                <w:rFonts w:ascii="Arial" w:cs="Arial" w:eastAsia="Arial" w:hAnsi="Arial"/>
                <w:sz w:val="15"/>
                <w:szCs w:val="15"/>
                <w:b w:val="1"/>
                <w:bCs w:val="1"/>
                <w:color w:val="auto"/>
              </w:rPr>
              <w:t>2023</w:t>
            </w:r>
          </w:p>
        </w:tc>
      </w:tr>
      <w:tr>
        <w:trPr>
          <w:trHeight w:val="25"/>
        </w:trPr>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768"/>
        </w:trPr>
        <w:tc>
          <w:tcPr>
            <w:tcW w:w="480" w:type="dxa"/>
            <w:vAlign w:val="bottom"/>
          </w:tcPr>
          <w:p>
            <w:pPr>
              <w:spacing w:after="0"/>
              <w:rPr>
                <w:sz w:val="24"/>
                <w:szCs w:val="24"/>
                <w:color w:val="auto"/>
              </w:rPr>
            </w:pPr>
          </w:p>
        </w:tc>
        <w:tc>
          <w:tcPr>
            <w:tcW w:w="840" w:type="dxa"/>
            <w:vAlign w:val="bottom"/>
          </w:tcPr>
          <w:p>
            <w:pPr>
              <w:jc w:val="right"/>
              <w:ind w:right="5"/>
              <w:spacing w:after="0"/>
              <w:rPr>
                <w:sz w:val="20"/>
                <w:szCs w:val="20"/>
                <w:color w:val="auto"/>
              </w:rPr>
            </w:pPr>
            <w:r>
              <w:rPr>
                <w:rFonts w:ascii="Arial" w:cs="Arial" w:eastAsia="Arial" w:hAnsi="Arial"/>
                <w:sz w:val="14"/>
                <w:szCs w:val="14"/>
                <w:color w:val="auto"/>
              </w:rPr>
              <w:t>$0.69</w:t>
            </w: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5"/>
              <w:spacing w:after="0"/>
              <w:rPr>
                <w:sz w:val="20"/>
                <w:szCs w:val="20"/>
                <w:color w:val="auto"/>
              </w:rPr>
            </w:pPr>
            <w:r>
              <w:rPr>
                <w:rFonts w:ascii="Arial" w:cs="Arial" w:eastAsia="Arial" w:hAnsi="Arial"/>
                <w:sz w:val="14"/>
                <w:szCs w:val="14"/>
                <w:color w:val="auto"/>
              </w:rPr>
              <w:t>0.78</w:t>
            </w:r>
          </w:p>
        </w:tc>
        <w:tc>
          <w:tcPr>
            <w:tcW w:w="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5"/>
              <w:spacing w:after="0"/>
              <w:rPr>
                <w:sz w:val="20"/>
                <w:szCs w:val="20"/>
                <w:color w:val="auto"/>
              </w:rPr>
            </w:pPr>
            <w:r>
              <w:rPr>
                <w:rFonts w:ascii="Arial" w:cs="Arial" w:eastAsia="Arial" w:hAnsi="Arial"/>
                <w:sz w:val="14"/>
                <w:szCs w:val="14"/>
                <w:color w:val="auto"/>
              </w:rPr>
              <w:t>1.39</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ind w:right="25"/>
              <w:spacing w:after="0"/>
              <w:rPr>
                <w:sz w:val="20"/>
                <w:szCs w:val="20"/>
                <w:color w:val="auto"/>
              </w:rPr>
            </w:pPr>
            <w:r>
              <w:rPr>
                <w:rFonts w:ascii="Arial" w:cs="Arial" w:eastAsia="Arial" w:hAnsi="Arial"/>
                <w:sz w:val="14"/>
                <w:szCs w:val="14"/>
                <w:color w:val="auto"/>
              </w:rPr>
              <w:t>$1.35</w:t>
            </w:r>
          </w:p>
        </w:tc>
      </w:tr>
      <w:tr>
        <w:trPr>
          <w:trHeight w:val="380"/>
        </w:trPr>
        <w:tc>
          <w:tcPr>
            <w:tcW w:w="4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0.18</w:t>
            </w:r>
          </w:p>
        </w:tc>
        <w:tc>
          <w:tcPr>
            <w:tcW w:w="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0.12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0.34</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0.34</w:t>
            </w:r>
          </w:p>
        </w:tc>
      </w:tr>
      <w:tr>
        <w:trPr>
          <w:trHeight w:val="318"/>
        </w:trPr>
        <w:tc>
          <w:tcPr>
            <w:tcW w:w="480" w:type="dxa"/>
            <w:vAlign w:val="bottom"/>
          </w:tcPr>
          <w:p>
            <w:pPr>
              <w:spacing w:after="0"/>
              <w:rPr>
                <w:sz w:val="24"/>
                <w:szCs w:val="24"/>
                <w:color w:val="auto"/>
              </w:rPr>
            </w:pP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$0.87</w:t>
            </w:r>
          </w:p>
        </w:tc>
        <w:tc>
          <w:tcPr>
            <w:tcW w:w="106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25"/>
              <w:spacing w:after="0"/>
              <w:rPr>
                <w:sz w:val="20"/>
                <w:szCs w:val="20"/>
                <w:color w:val="auto"/>
              </w:rPr>
            </w:pPr>
            <w:r>
              <w:rPr>
                <w:rFonts w:ascii="Arial" w:cs="Arial" w:eastAsia="Arial" w:hAnsi="Arial"/>
                <w:sz w:val="15"/>
                <w:szCs w:val="15"/>
                <w:color w:val="auto"/>
              </w:rPr>
              <w:t>0.90</w:t>
            </w:r>
          </w:p>
        </w:tc>
        <w:tc>
          <w:tcPr>
            <w:tcW w:w="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25"/>
              <w:spacing w:after="0"/>
              <w:rPr>
                <w:sz w:val="20"/>
                <w:szCs w:val="20"/>
                <w:color w:val="auto"/>
              </w:rPr>
            </w:pPr>
            <w:r>
              <w:rPr>
                <w:rFonts w:ascii="Arial" w:cs="Arial" w:eastAsia="Arial" w:hAnsi="Arial"/>
                <w:sz w:val="15"/>
                <w:szCs w:val="15"/>
                <w:color w:val="auto"/>
              </w:rPr>
              <w:t>1.73</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ind w:right="25"/>
              <w:spacing w:after="0"/>
              <w:rPr>
                <w:sz w:val="20"/>
                <w:szCs w:val="20"/>
                <w:color w:val="auto"/>
              </w:rPr>
            </w:pPr>
            <w:r>
              <w:rPr>
                <w:rFonts w:ascii="Arial" w:cs="Arial" w:eastAsia="Arial" w:hAnsi="Arial"/>
                <w:sz w:val="15"/>
                <w:szCs w:val="15"/>
                <w:color w:val="auto"/>
              </w:rPr>
              <w:t>$1.69</w:t>
            </w:r>
          </w:p>
        </w:tc>
      </w:tr>
      <w:tr>
        <w:trPr>
          <w:trHeight w:val="33"/>
        </w:trPr>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
        </w:trPr>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84"/>
        </w:trPr>
        <w:tc>
          <w:tcPr>
            <w:tcW w:w="480" w:type="dxa"/>
            <w:vAlign w:val="bottom"/>
          </w:tcPr>
          <w:p>
            <w:pPr>
              <w:spacing w:after="0"/>
              <w:rPr>
                <w:sz w:val="24"/>
                <w:szCs w:val="24"/>
                <w:color w:val="auto"/>
              </w:rPr>
            </w:pP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63.5</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jc w:val="right"/>
              <w:ind w:right="25"/>
              <w:spacing w:after="0"/>
              <w:rPr>
                <w:sz w:val="20"/>
                <w:szCs w:val="20"/>
                <w:color w:val="auto"/>
              </w:rPr>
            </w:pPr>
            <w:r>
              <w:rPr>
                <w:rFonts w:ascii="Arial" w:cs="Arial" w:eastAsia="Arial" w:hAnsi="Arial"/>
                <w:sz w:val="15"/>
                <w:szCs w:val="15"/>
                <w:color w:val="auto"/>
              </w:rPr>
              <w:t>66.7</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jc w:val="right"/>
              <w:ind w:right="25"/>
              <w:spacing w:after="0"/>
              <w:rPr>
                <w:sz w:val="20"/>
                <w:szCs w:val="20"/>
                <w:color w:val="auto"/>
              </w:rPr>
            </w:pPr>
            <w:r>
              <w:rPr>
                <w:rFonts w:ascii="Arial" w:cs="Arial" w:eastAsia="Arial" w:hAnsi="Arial"/>
                <w:sz w:val="15"/>
                <w:szCs w:val="15"/>
                <w:color w:val="auto"/>
              </w:rPr>
              <w:t>63.7</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ind w:right="25"/>
              <w:spacing w:after="0"/>
              <w:rPr>
                <w:sz w:val="20"/>
                <w:szCs w:val="20"/>
                <w:color w:val="auto"/>
              </w:rPr>
            </w:pPr>
            <w:r>
              <w:rPr>
                <w:rFonts w:ascii="Arial" w:cs="Arial" w:eastAsia="Arial" w:hAnsi="Arial"/>
                <w:sz w:val="15"/>
                <w:szCs w:val="15"/>
                <w:color w:val="auto"/>
              </w:rPr>
              <w:t>66.7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-2172970</wp:posOffset>
            </wp:positionV>
            <wp:extent cx="713232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-2670175</wp:posOffset>
            </wp:positionV>
            <wp:extent cx="7132320" cy="2400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-184150</wp:posOffset>
            </wp:positionV>
            <wp:extent cx="7132320" cy="1968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-1198245</wp:posOffset>
            </wp:positionV>
            <wp:extent cx="7132320" cy="2857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2857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-681355</wp:posOffset>
            </wp:positionV>
            <wp:extent cx="7132320" cy="2400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00" w:space="340"/>
            <w:col w:w="6200"/>
          </w:cols>
          <w:pgMar w:left="320" w:top="1052" w:right="339" w:bottom="1440" w:gutter="0" w:footer="0" w:header="0"/>
          <w:type w:val="continuous"/>
        </w:sect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26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5"/>
                <w:szCs w:val="15"/>
                <w:b w:val="1"/>
                <w:bCs w:val="1"/>
                <w:color w:val="auto"/>
              </w:rPr>
              <w:t>Three Months Ended April 30,</w:t>
            </w:r>
          </w:p>
        </w:tc>
        <w:tc>
          <w:tcPr>
            <w:tcW w:w="4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Borders>
              <w:bottom w:val="single" w:sz="8" w:color="auto"/>
            </w:tcBorders>
            <w:gridSpan w:val="5"/>
          </w:tcPr>
          <w:p>
            <w:pPr>
              <w:jc w:val="right"/>
              <w:ind w:right="364"/>
              <w:spacing w:after="0"/>
              <w:rPr>
                <w:sz w:val="20"/>
                <w:szCs w:val="20"/>
                <w:color w:val="auto"/>
              </w:rPr>
            </w:pPr>
            <w:r>
              <w:rPr>
                <w:rFonts w:ascii="Arial" w:cs="Arial" w:eastAsia="Arial" w:hAnsi="Arial"/>
                <w:sz w:val="15"/>
                <w:szCs w:val="15"/>
                <w:b w:val="1"/>
                <w:bCs w:val="1"/>
                <w:color w:val="auto"/>
              </w:rPr>
              <w:t>Six Months Ended April 30,</w:t>
            </w:r>
          </w:p>
        </w:tc>
        <w:tc>
          <w:tcPr>
            <w:tcW w:w="0" w:type="dxa"/>
            <w:vAlign w:val="bottom"/>
          </w:tcPr>
          <w:p>
            <w:pPr>
              <w:spacing w:after="0"/>
              <w:rPr>
                <w:sz w:val="1"/>
                <w:szCs w:val="1"/>
                <w:color w:val="auto"/>
              </w:rPr>
            </w:pPr>
          </w:p>
        </w:tc>
      </w:tr>
      <w:tr>
        <w:trPr>
          <w:trHeight w:val="325"/>
        </w:trPr>
        <w:tc>
          <w:tcPr>
            <w:tcW w:w="5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jc w:val="right"/>
              <w:ind w:right="484"/>
              <w:spacing w:after="0"/>
              <w:rPr>
                <w:sz w:val="20"/>
                <w:szCs w:val="20"/>
                <w:color w:val="auto"/>
              </w:rPr>
            </w:pPr>
            <w:r>
              <w:rPr>
                <w:rFonts w:ascii="Arial" w:cs="Arial" w:eastAsia="Arial" w:hAnsi="Arial"/>
                <w:sz w:val="15"/>
                <w:szCs w:val="15"/>
                <w:b w:val="1"/>
                <w:bCs w:val="1"/>
                <w:color w:val="auto"/>
              </w:rPr>
              <w:t>2024</w:t>
            </w:r>
          </w:p>
        </w:tc>
        <w:tc>
          <w:tcPr>
            <w:tcW w:w="118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2023</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ind w:right="404"/>
              <w:spacing w:after="0"/>
              <w:rPr>
                <w:sz w:val="20"/>
                <w:szCs w:val="20"/>
                <w:color w:val="auto"/>
              </w:rPr>
            </w:pPr>
            <w:r>
              <w:rPr>
                <w:rFonts w:ascii="Arial" w:cs="Arial" w:eastAsia="Arial" w:hAnsi="Arial"/>
                <w:sz w:val="15"/>
                <w:szCs w:val="15"/>
                <w:b w:val="1"/>
                <w:bCs w:val="1"/>
                <w:color w:val="auto"/>
              </w:rPr>
              <w:t>2024</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ind w:right="404"/>
              <w:spacing w:after="0"/>
              <w:rPr>
                <w:sz w:val="20"/>
                <w:szCs w:val="20"/>
                <w:color w:val="auto"/>
              </w:rPr>
            </w:pPr>
            <w:r>
              <w:rPr>
                <w:rFonts w:ascii="Arial" w:cs="Arial" w:eastAsia="Arial" w:hAnsi="Arial"/>
                <w:sz w:val="15"/>
                <w:szCs w:val="15"/>
                <w:b w:val="1"/>
                <w:bCs w:val="1"/>
                <w:color w:val="auto"/>
              </w:rPr>
              <w:t>2023</w:t>
            </w:r>
          </w:p>
        </w:tc>
        <w:tc>
          <w:tcPr>
            <w:tcW w:w="0" w:type="dxa"/>
            <w:vAlign w:val="bottom"/>
          </w:tcPr>
          <w:p>
            <w:pPr>
              <w:spacing w:after="0"/>
              <w:rPr>
                <w:sz w:val="1"/>
                <w:szCs w:val="1"/>
                <w:color w:val="auto"/>
              </w:rPr>
            </w:pPr>
          </w:p>
        </w:tc>
      </w:tr>
      <w:tr>
        <w:trPr>
          <w:trHeight w:val="25"/>
        </w:trPr>
        <w:tc>
          <w:tcPr>
            <w:tcW w:w="5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20" w:type="dxa"/>
            <w:vAlign w:val="bottom"/>
            <w:shd w:val="clear" w:color="auto" w:fill="DCE2EF"/>
          </w:tcPr>
          <w:p>
            <w:pPr>
              <w:ind w:left="120"/>
              <w:spacing w:after="0"/>
              <w:rPr>
                <w:sz w:val="20"/>
                <w:szCs w:val="20"/>
                <w:color w:val="auto"/>
              </w:rPr>
            </w:pPr>
            <w:r>
              <w:rPr>
                <w:rFonts w:ascii="Arial" w:cs="Arial" w:eastAsia="Arial" w:hAnsi="Arial"/>
                <w:sz w:val="15"/>
                <w:szCs w:val="15"/>
                <w:b w:val="1"/>
                <w:bCs w:val="1"/>
                <w:color w:val="auto"/>
              </w:rPr>
              <w:t>Reconciliation of Net Cash Provided by (Used in) Operating</w:t>
            </w:r>
          </w:p>
        </w:tc>
        <w:tc>
          <w:tcPr>
            <w:tcW w:w="520" w:type="dxa"/>
            <w:vAlign w:val="bottom"/>
            <w:shd w:val="clear" w:color="auto" w:fill="DCE2EF"/>
          </w:tcPr>
          <w:p>
            <w:pPr>
              <w:spacing w:after="0"/>
              <w:rPr>
                <w:sz w:val="16"/>
                <w:szCs w:val="16"/>
                <w:color w:val="auto"/>
              </w:rPr>
            </w:pPr>
          </w:p>
        </w:tc>
        <w:tc>
          <w:tcPr>
            <w:tcW w:w="920" w:type="dxa"/>
            <w:vAlign w:val="bottom"/>
            <w:shd w:val="clear" w:color="auto" w:fill="DCE2EF"/>
          </w:tcPr>
          <w:p>
            <w:pPr>
              <w:spacing w:after="0"/>
              <w:rPr>
                <w:sz w:val="16"/>
                <w:szCs w:val="16"/>
                <w:color w:val="auto"/>
              </w:rPr>
            </w:pPr>
          </w:p>
        </w:tc>
        <w:tc>
          <w:tcPr>
            <w:tcW w:w="220" w:type="dxa"/>
            <w:vAlign w:val="bottom"/>
            <w:shd w:val="clear" w:color="auto" w:fill="DCE2EF"/>
          </w:tcPr>
          <w:p>
            <w:pPr>
              <w:spacing w:after="0"/>
              <w:rPr>
                <w:sz w:val="16"/>
                <w:szCs w:val="16"/>
                <w:color w:val="auto"/>
              </w:rPr>
            </w:pPr>
          </w:p>
        </w:tc>
        <w:tc>
          <w:tcPr>
            <w:tcW w:w="960" w:type="dxa"/>
            <w:vAlign w:val="bottom"/>
            <w:shd w:val="clear" w:color="auto" w:fill="DCE2EF"/>
          </w:tcPr>
          <w:p>
            <w:pPr>
              <w:spacing w:after="0"/>
              <w:rPr>
                <w:sz w:val="16"/>
                <w:szCs w:val="16"/>
                <w:color w:val="auto"/>
              </w:rPr>
            </w:pPr>
          </w:p>
        </w:tc>
        <w:tc>
          <w:tcPr>
            <w:tcW w:w="440" w:type="dxa"/>
            <w:vAlign w:val="bottom"/>
            <w:shd w:val="clear" w:color="auto" w:fill="DCE2EF"/>
          </w:tcPr>
          <w:p>
            <w:pPr>
              <w:spacing w:after="0"/>
              <w:rPr>
                <w:sz w:val="16"/>
                <w:szCs w:val="16"/>
                <w:color w:val="auto"/>
              </w:rPr>
            </w:pPr>
          </w:p>
        </w:tc>
        <w:tc>
          <w:tcPr>
            <w:tcW w:w="220" w:type="dxa"/>
            <w:vAlign w:val="bottom"/>
            <w:shd w:val="clear" w:color="auto" w:fill="DCE2EF"/>
          </w:tcPr>
          <w:p>
            <w:pPr>
              <w:spacing w:after="0"/>
              <w:rPr>
                <w:sz w:val="16"/>
                <w:szCs w:val="16"/>
                <w:color w:val="auto"/>
              </w:rPr>
            </w:pPr>
          </w:p>
        </w:tc>
        <w:tc>
          <w:tcPr>
            <w:tcW w:w="480" w:type="dxa"/>
            <w:vAlign w:val="bottom"/>
            <w:shd w:val="clear" w:color="auto" w:fill="DCE2EF"/>
          </w:tcPr>
          <w:p>
            <w:pPr>
              <w:spacing w:after="0"/>
              <w:rPr>
                <w:sz w:val="16"/>
                <w:szCs w:val="16"/>
                <w:color w:val="auto"/>
              </w:rPr>
            </w:pPr>
          </w:p>
        </w:tc>
        <w:tc>
          <w:tcPr>
            <w:tcW w:w="840" w:type="dxa"/>
            <w:vAlign w:val="bottom"/>
            <w:shd w:val="clear" w:color="auto" w:fill="DCE2EF"/>
          </w:tcPr>
          <w:p>
            <w:pPr>
              <w:spacing w:after="0"/>
              <w:rPr>
                <w:sz w:val="16"/>
                <w:szCs w:val="16"/>
                <w:color w:val="auto"/>
              </w:rPr>
            </w:pPr>
          </w:p>
        </w:tc>
        <w:tc>
          <w:tcPr>
            <w:tcW w:w="220" w:type="dxa"/>
            <w:vAlign w:val="bottom"/>
            <w:shd w:val="clear" w:color="auto" w:fill="DCE2EF"/>
          </w:tcPr>
          <w:p>
            <w:pPr>
              <w:spacing w:after="0"/>
              <w:rPr>
                <w:sz w:val="16"/>
                <w:szCs w:val="16"/>
                <w:color w:val="auto"/>
              </w:rPr>
            </w:pPr>
          </w:p>
        </w:tc>
        <w:tc>
          <w:tcPr>
            <w:tcW w:w="460" w:type="dxa"/>
            <w:vAlign w:val="bottom"/>
            <w:shd w:val="clear" w:color="auto" w:fill="DCE2EF"/>
          </w:tcPr>
          <w:p>
            <w:pPr>
              <w:spacing w:after="0"/>
              <w:rPr>
                <w:sz w:val="16"/>
                <w:szCs w:val="16"/>
                <w:color w:val="auto"/>
              </w:rPr>
            </w:pPr>
          </w:p>
        </w:tc>
        <w:tc>
          <w:tcPr>
            <w:tcW w:w="84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120" w:type="dxa"/>
            <w:vAlign w:val="bottom"/>
            <w:tcBorders>
              <w:bottom w:val="single" w:sz="8" w:color="DCE2EF"/>
            </w:tcBorders>
            <w:shd w:val="clear" w:color="auto" w:fill="DCE2EF"/>
          </w:tcPr>
          <w:p>
            <w:pPr>
              <w:ind w:left="120"/>
              <w:spacing w:after="0"/>
              <w:rPr>
                <w:sz w:val="20"/>
                <w:szCs w:val="20"/>
                <w:color w:val="auto"/>
              </w:rPr>
            </w:pPr>
            <w:r>
              <w:rPr>
                <w:rFonts w:ascii="Arial" w:cs="Arial" w:eastAsia="Arial" w:hAnsi="Arial"/>
                <w:sz w:val="15"/>
                <w:szCs w:val="15"/>
                <w:b w:val="1"/>
                <w:bCs w:val="1"/>
                <w:color w:val="auto"/>
              </w:rPr>
              <w:t>Activities to Free Cash Flow</w:t>
            </w:r>
          </w:p>
        </w:tc>
        <w:tc>
          <w:tcPr>
            <w:tcW w:w="520" w:type="dxa"/>
            <w:vAlign w:val="bottom"/>
            <w:tcBorders>
              <w:bottom w:val="single" w:sz="8" w:color="DCE2EF"/>
            </w:tcBorders>
            <w:shd w:val="clear" w:color="auto" w:fill="DCE2EF"/>
          </w:tcPr>
          <w:p>
            <w:pPr>
              <w:spacing w:after="0"/>
              <w:rPr>
                <w:sz w:val="18"/>
                <w:szCs w:val="18"/>
                <w:color w:val="auto"/>
              </w:rPr>
            </w:pPr>
          </w:p>
        </w:tc>
        <w:tc>
          <w:tcPr>
            <w:tcW w:w="920" w:type="dxa"/>
            <w:vAlign w:val="bottom"/>
            <w:tcBorders>
              <w:bottom w:val="single" w:sz="8" w:color="DCE2EF"/>
            </w:tcBorders>
            <w:shd w:val="clear" w:color="auto" w:fill="DCE2EF"/>
          </w:tcPr>
          <w:p>
            <w:pPr>
              <w:spacing w:after="0"/>
              <w:rPr>
                <w:sz w:val="18"/>
                <w:szCs w:val="18"/>
                <w:color w:val="auto"/>
              </w:rPr>
            </w:pPr>
          </w:p>
        </w:tc>
        <w:tc>
          <w:tcPr>
            <w:tcW w:w="220" w:type="dxa"/>
            <w:vAlign w:val="bottom"/>
            <w:tcBorders>
              <w:bottom w:val="single" w:sz="8" w:color="DCE2EF"/>
            </w:tcBorders>
            <w:shd w:val="clear" w:color="auto" w:fill="DCE2EF"/>
          </w:tcPr>
          <w:p>
            <w:pPr>
              <w:spacing w:after="0"/>
              <w:rPr>
                <w:sz w:val="18"/>
                <w:szCs w:val="18"/>
                <w:color w:val="auto"/>
              </w:rPr>
            </w:pPr>
          </w:p>
        </w:tc>
        <w:tc>
          <w:tcPr>
            <w:tcW w:w="960" w:type="dxa"/>
            <w:vAlign w:val="bottom"/>
            <w:tcBorders>
              <w:bottom w:val="single" w:sz="8" w:color="DCE2EF"/>
            </w:tcBorders>
            <w:shd w:val="clear" w:color="auto" w:fill="DCE2EF"/>
          </w:tcPr>
          <w:p>
            <w:pPr>
              <w:spacing w:after="0"/>
              <w:rPr>
                <w:sz w:val="18"/>
                <w:szCs w:val="18"/>
                <w:color w:val="auto"/>
              </w:rPr>
            </w:pPr>
          </w:p>
        </w:tc>
        <w:tc>
          <w:tcPr>
            <w:tcW w:w="440" w:type="dxa"/>
            <w:vAlign w:val="bottom"/>
            <w:tcBorders>
              <w:bottom w:val="single" w:sz="8" w:color="DCE2EF"/>
            </w:tcBorders>
            <w:shd w:val="clear" w:color="auto" w:fill="DCE2EF"/>
          </w:tcPr>
          <w:p>
            <w:pPr>
              <w:spacing w:after="0"/>
              <w:rPr>
                <w:sz w:val="18"/>
                <w:szCs w:val="18"/>
                <w:color w:val="auto"/>
              </w:rPr>
            </w:pPr>
          </w:p>
        </w:tc>
        <w:tc>
          <w:tcPr>
            <w:tcW w:w="220" w:type="dxa"/>
            <w:vAlign w:val="bottom"/>
            <w:tcBorders>
              <w:bottom w:val="single" w:sz="8" w:color="DCE2EF"/>
            </w:tcBorders>
            <w:shd w:val="clear" w:color="auto" w:fill="DCE2EF"/>
          </w:tcPr>
          <w:p>
            <w:pPr>
              <w:spacing w:after="0"/>
              <w:rPr>
                <w:sz w:val="18"/>
                <w:szCs w:val="18"/>
                <w:color w:val="auto"/>
              </w:rPr>
            </w:pPr>
          </w:p>
        </w:tc>
        <w:tc>
          <w:tcPr>
            <w:tcW w:w="480" w:type="dxa"/>
            <w:vAlign w:val="bottom"/>
            <w:tcBorders>
              <w:bottom w:val="single" w:sz="8" w:color="DCE2EF"/>
            </w:tcBorders>
            <w:shd w:val="clear" w:color="auto" w:fill="DCE2EF"/>
          </w:tcPr>
          <w:p>
            <w:pPr>
              <w:spacing w:after="0"/>
              <w:rPr>
                <w:sz w:val="18"/>
                <w:szCs w:val="18"/>
                <w:color w:val="auto"/>
              </w:rPr>
            </w:pPr>
          </w:p>
        </w:tc>
        <w:tc>
          <w:tcPr>
            <w:tcW w:w="840" w:type="dxa"/>
            <w:vAlign w:val="bottom"/>
            <w:tcBorders>
              <w:bottom w:val="single" w:sz="8" w:color="DCE2EF"/>
            </w:tcBorders>
            <w:shd w:val="clear" w:color="auto" w:fill="DCE2EF"/>
          </w:tcPr>
          <w:p>
            <w:pPr>
              <w:spacing w:after="0"/>
              <w:rPr>
                <w:sz w:val="18"/>
                <w:szCs w:val="18"/>
                <w:color w:val="auto"/>
              </w:rPr>
            </w:pPr>
          </w:p>
        </w:tc>
        <w:tc>
          <w:tcPr>
            <w:tcW w:w="220" w:type="dxa"/>
            <w:vAlign w:val="bottom"/>
            <w:tcBorders>
              <w:bottom w:val="single" w:sz="8" w:color="DCE2EF"/>
            </w:tcBorders>
            <w:shd w:val="clear" w:color="auto" w:fill="DCE2EF"/>
          </w:tcPr>
          <w:p>
            <w:pPr>
              <w:spacing w:after="0"/>
              <w:rPr>
                <w:sz w:val="18"/>
                <w:szCs w:val="18"/>
                <w:color w:val="auto"/>
              </w:rPr>
            </w:pPr>
          </w:p>
        </w:tc>
        <w:tc>
          <w:tcPr>
            <w:tcW w:w="460" w:type="dxa"/>
            <w:vAlign w:val="bottom"/>
            <w:tcBorders>
              <w:bottom w:val="single" w:sz="8" w:color="DCE2EF"/>
            </w:tcBorders>
            <w:shd w:val="clear" w:color="auto" w:fill="DCE2EF"/>
          </w:tcPr>
          <w:p>
            <w:pPr>
              <w:spacing w:after="0"/>
              <w:rPr>
                <w:sz w:val="18"/>
                <w:szCs w:val="18"/>
                <w:color w:val="auto"/>
              </w:rPr>
            </w:pPr>
          </w:p>
        </w:tc>
        <w:tc>
          <w:tcPr>
            <w:tcW w:w="840" w:type="dxa"/>
            <w:vAlign w:val="bottom"/>
            <w:tcBorders>
              <w:bottom w:val="single" w:sz="8" w:color="DCE2EF"/>
            </w:tcBorders>
            <w:shd w:val="clear" w:color="auto" w:fill="DCE2EF"/>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5120" w:type="dxa"/>
            <w:vAlign w:val="bottom"/>
          </w:tcPr>
          <w:p>
            <w:pPr>
              <w:ind w:left="120"/>
              <w:spacing w:after="0"/>
              <w:rPr>
                <w:sz w:val="20"/>
                <w:szCs w:val="20"/>
                <w:color w:val="auto"/>
              </w:rPr>
            </w:pPr>
            <w:r>
              <w:rPr>
                <w:rFonts w:ascii="Arial" w:cs="Arial" w:eastAsia="Arial" w:hAnsi="Arial"/>
                <w:sz w:val="15"/>
                <w:szCs w:val="15"/>
                <w:color w:val="auto"/>
              </w:rPr>
              <w:t>Net cash provided by (used in) operating activities</w:t>
            </w:r>
            <w:r>
              <w:rPr>
                <w:rFonts w:ascii="Arial" w:cs="Arial" w:eastAsia="Arial" w:hAnsi="Arial"/>
                <w:sz w:val="20"/>
                <w:szCs w:val="20"/>
                <w:color w:val="auto"/>
                <w:vertAlign w:val="superscript"/>
              </w:rPr>
              <w:t>(h)</w:t>
            </w: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24"/>
              <w:spacing w:after="0"/>
              <w:rPr>
                <w:sz w:val="20"/>
                <w:szCs w:val="20"/>
                <w:color w:val="auto"/>
              </w:rPr>
            </w:pPr>
            <w:r>
              <w:rPr>
                <w:rFonts w:ascii="Arial" w:cs="Arial" w:eastAsia="Arial" w:hAnsi="Arial"/>
                <w:sz w:val="15"/>
                <w:szCs w:val="15"/>
                <w:color w:val="auto"/>
              </w:rPr>
              <w:t>117.0</w:t>
            </w:r>
          </w:p>
        </w:tc>
        <w:tc>
          <w:tcPr>
            <w:tcW w:w="1180" w:type="dxa"/>
            <w:vAlign w:val="bottom"/>
            <w:gridSpan w:val="2"/>
            <w:vMerge w:val="restart"/>
          </w:tcPr>
          <w:p>
            <w:pPr>
              <w:jc w:val="right"/>
              <w:ind w:right="480"/>
              <w:spacing w:after="0"/>
              <w:rPr>
                <w:sz w:val="20"/>
                <w:szCs w:val="20"/>
                <w:color w:val="auto"/>
              </w:rPr>
            </w:pPr>
            <w:r>
              <w:rPr>
                <w:rFonts w:ascii="Arial" w:cs="Arial" w:eastAsia="Arial" w:hAnsi="Arial"/>
                <w:sz w:val="15"/>
                <w:szCs w:val="15"/>
                <w:color w:val="auto"/>
              </w:rPr>
              <w:t>$</w:t>
            </w:r>
          </w:p>
        </w:tc>
        <w:tc>
          <w:tcPr>
            <w:tcW w:w="440" w:type="dxa"/>
            <w:vAlign w:val="bottom"/>
            <w:vMerge w:val="restart"/>
          </w:tcPr>
          <w:p>
            <w:pPr>
              <w:jc w:val="right"/>
              <w:ind w:right="24"/>
              <w:spacing w:after="0"/>
              <w:rPr>
                <w:sz w:val="20"/>
                <w:szCs w:val="20"/>
                <w:color w:val="auto"/>
              </w:rPr>
            </w:pPr>
            <w:r>
              <w:rPr>
                <w:rFonts w:ascii="Arial" w:cs="Arial" w:eastAsia="Arial" w:hAnsi="Arial"/>
                <w:sz w:val="15"/>
                <w:szCs w:val="15"/>
                <w:color w:val="auto"/>
              </w:rPr>
              <w:t>26.0</w:t>
            </w:r>
          </w:p>
        </w:tc>
        <w:tc>
          <w:tcPr>
            <w:tcW w:w="700" w:type="dxa"/>
            <w:vAlign w:val="bottom"/>
            <w:gridSpan w:val="2"/>
            <w:vMerge w:val="restart"/>
          </w:tcPr>
          <w:p>
            <w:pPr>
              <w:jc w:val="right"/>
              <w:spacing w:after="0"/>
              <w:rPr>
                <w:sz w:val="20"/>
                <w:szCs w:val="20"/>
                <w:color w:val="auto"/>
              </w:rPr>
            </w:pPr>
            <w:r>
              <w:rPr>
                <w:rFonts w:ascii="Arial" w:cs="Arial" w:eastAsia="Arial" w:hAnsi="Arial"/>
                <w:sz w:val="15"/>
                <w:szCs w:val="15"/>
                <w:color w:val="auto"/>
              </w:rPr>
              <w:t>$</w:t>
            </w:r>
          </w:p>
        </w:tc>
        <w:tc>
          <w:tcPr>
            <w:tcW w:w="840" w:type="dxa"/>
            <w:vAlign w:val="bottom"/>
            <w:vMerge w:val="restart"/>
          </w:tcPr>
          <w:p>
            <w:pPr>
              <w:jc w:val="right"/>
              <w:ind w:right="24"/>
              <w:spacing w:after="0"/>
              <w:rPr>
                <w:sz w:val="20"/>
                <w:szCs w:val="20"/>
                <w:color w:val="auto"/>
              </w:rPr>
            </w:pPr>
            <w:r>
              <w:rPr>
                <w:rFonts w:ascii="Arial" w:cs="Arial" w:eastAsia="Arial" w:hAnsi="Arial"/>
                <w:sz w:val="15"/>
                <w:szCs w:val="15"/>
                <w:color w:val="auto"/>
              </w:rPr>
              <w:t>116.9</w:t>
            </w:r>
          </w:p>
        </w:tc>
        <w:tc>
          <w:tcPr>
            <w:tcW w:w="680" w:type="dxa"/>
            <w:vAlign w:val="bottom"/>
            <w:gridSpan w:val="2"/>
            <w:vMerge w:val="restart"/>
          </w:tcPr>
          <w:p>
            <w:pPr>
              <w:jc w:val="right"/>
              <w:spacing w:after="0"/>
              <w:rPr>
                <w:sz w:val="20"/>
                <w:szCs w:val="20"/>
                <w:color w:val="auto"/>
              </w:rPr>
            </w:pPr>
            <w:r>
              <w:rPr>
                <w:rFonts w:ascii="Arial" w:cs="Arial" w:eastAsia="Arial" w:hAnsi="Arial"/>
                <w:sz w:val="15"/>
                <w:szCs w:val="15"/>
                <w:color w:val="auto"/>
              </w:rPr>
              <w:t>$</w:t>
            </w:r>
          </w:p>
        </w:tc>
        <w:tc>
          <w:tcPr>
            <w:tcW w:w="840" w:type="dxa"/>
            <w:vAlign w:val="bottom"/>
            <w:vMerge w:val="restart"/>
          </w:tcPr>
          <w:p>
            <w:pPr>
              <w:jc w:val="right"/>
              <w:ind w:right="24"/>
              <w:spacing w:after="0"/>
              <w:rPr>
                <w:sz w:val="20"/>
                <w:szCs w:val="20"/>
                <w:color w:val="auto"/>
              </w:rPr>
            </w:pPr>
            <w:r>
              <w:rPr>
                <w:rFonts w:ascii="Arial" w:cs="Arial" w:eastAsia="Arial" w:hAnsi="Arial"/>
                <w:sz w:val="15"/>
                <w:szCs w:val="15"/>
                <w:color w:val="auto"/>
              </w:rPr>
              <w:t>(45.0)</w:t>
            </w:r>
          </w:p>
        </w:tc>
        <w:tc>
          <w:tcPr>
            <w:tcW w:w="0" w:type="dxa"/>
            <w:vAlign w:val="bottom"/>
          </w:tcPr>
          <w:p>
            <w:pPr>
              <w:spacing w:after="0"/>
              <w:rPr>
                <w:sz w:val="1"/>
                <w:szCs w:val="1"/>
                <w:color w:val="auto"/>
              </w:rPr>
            </w:pPr>
          </w:p>
        </w:tc>
      </w:tr>
      <w:tr>
        <w:trPr>
          <w:trHeight w:val="58"/>
        </w:trPr>
        <w:tc>
          <w:tcPr>
            <w:tcW w:w="51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4"/>
        </w:trPr>
        <w:tc>
          <w:tcPr>
            <w:tcW w:w="5120" w:type="dxa"/>
            <w:vAlign w:val="bottom"/>
            <w:shd w:val="clear" w:color="auto" w:fill="DCE2EF"/>
          </w:tcPr>
          <w:p>
            <w:pPr>
              <w:ind w:left="120"/>
              <w:spacing w:after="0"/>
              <w:rPr>
                <w:sz w:val="20"/>
                <w:szCs w:val="20"/>
                <w:color w:val="auto"/>
              </w:rPr>
            </w:pPr>
            <w:r>
              <w:rPr>
                <w:rFonts w:ascii="Arial" w:cs="Arial" w:eastAsia="Arial" w:hAnsi="Arial"/>
                <w:sz w:val="15"/>
                <w:szCs w:val="15"/>
                <w:color w:val="auto"/>
              </w:rPr>
              <w:t>Additions to property, plant and equipment</w:t>
            </w:r>
          </w:p>
        </w:tc>
        <w:tc>
          <w:tcPr>
            <w:tcW w:w="520" w:type="dxa"/>
            <w:vAlign w:val="bottom"/>
            <w:shd w:val="clear" w:color="auto" w:fill="DCE2EF"/>
          </w:tcPr>
          <w:p>
            <w:pPr>
              <w:spacing w:after="0"/>
              <w:rPr>
                <w:sz w:val="23"/>
                <w:szCs w:val="23"/>
                <w:color w:val="auto"/>
              </w:rPr>
            </w:pPr>
          </w:p>
        </w:tc>
        <w:tc>
          <w:tcPr>
            <w:tcW w:w="920" w:type="dxa"/>
            <w:vAlign w:val="bottom"/>
            <w:vMerge w:val="restart"/>
            <w:shd w:val="clear" w:color="auto" w:fill="DCE2EF"/>
          </w:tcPr>
          <w:p>
            <w:pPr>
              <w:jc w:val="right"/>
              <w:ind w:right="24"/>
              <w:spacing w:after="0"/>
              <w:rPr>
                <w:sz w:val="20"/>
                <w:szCs w:val="20"/>
                <w:color w:val="auto"/>
              </w:rPr>
            </w:pPr>
            <w:r>
              <w:rPr>
                <w:rFonts w:ascii="Arial" w:cs="Arial" w:eastAsia="Arial" w:hAnsi="Arial"/>
                <w:sz w:val="15"/>
                <w:szCs w:val="15"/>
                <w:color w:val="auto"/>
              </w:rPr>
              <w:t>(15.6)</w:t>
            </w:r>
          </w:p>
        </w:tc>
        <w:tc>
          <w:tcPr>
            <w:tcW w:w="220" w:type="dxa"/>
            <w:vAlign w:val="bottom"/>
            <w:shd w:val="clear" w:color="auto" w:fill="DCE2EF"/>
          </w:tcPr>
          <w:p>
            <w:pPr>
              <w:spacing w:after="0"/>
              <w:rPr>
                <w:sz w:val="23"/>
                <w:szCs w:val="23"/>
                <w:color w:val="auto"/>
              </w:rPr>
            </w:pPr>
          </w:p>
        </w:tc>
        <w:tc>
          <w:tcPr>
            <w:tcW w:w="960" w:type="dxa"/>
            <w:vAlign w:val="bottom"/>
            <w:shd w:val="clear" w:color="auto" w:fill="DCE2EF"/>
          </w:tcPr>
          <w:p>
            <w:pPr>
              <w:spacing w:after="0"/>
              <w:rPr>
                <w:sz w:val="23"/>
                <w:szCs w:val="23"/>
                <w:color w:val="auto"/>
              </w:rPr>
            </w:pPr>
          </w:p>
        </w:tc>
        <w:tc>
          <w:tcPr>
            <w:tcW w:w="440" w:type="dxa"/>
            <w:vAlign w:val="bottom"/>
            <w:vMerge w:val="restart"/>
            <w:shd w:val="clear" w:color="auto" w:fill="DCE2EF"/>
          </w:tcPr>
          <w:p>
            <w:pPr>
              <w:jc w:val="right"/>
              <w:ind w:right="24"/>
              <w:spacing w:after="0"/>
              <w:rPr>
                <w:sz w:val="20"/>
                <w:szCs w:val="20"/>
                <w:color w:val="auto"/>
              </w:rPr>
            </w:pPr>
            <w:r>
              <w:rPr>
                <w:rFonts w:ascii="Arial" w:cs="Arial" w:eastAsia="Arial" w:hAnsi="Arial"/>
                <w:sz w:val="15"/>
                <w:szCs w:val="15"/>
                <w:color w:val="auto"/>
              </w:rPr>
              <w:t>(9.9)</w:t>
            </w:r>
          </w:p>
        </w:tc>
        <w:tc>
          <w:tcPr>
            <w:tcW w:w="220" w:type="dxa"/>
            <w:vAlign w:val="bottom"/>
            <w:shd w:val="clear" w:color="auto" w:fill="DCE2EF"/>
          </w:tcPr>
          <w:p>
            <w:pPr>
              <w:spacing w:after="0"/>
              <w:rPr>
                <w:sz w:val="23"/>
                <w:szCs w:val="23"/>
                <w:color w:val="auto"/>
              </w:rPr>
            </w:pPr>
          </w:p>
        </w:tc>
        <w:tc>
          <w:tcPr>
            <w:tcW w:w="480" w:type="dxa"/>
            <w:vAlign w:val="bottom"/>
            <w:shd w:val="clear" w:color="auto" w:fill="DCE2EF"/>
          </w:tcPr>
          <w:p>
            <w:pPr>
              <w:spacing w:after="0"/>
              <w:rPr>
                <w:sz w:val="23"/>
                <w:szCs w:val="23"/>
                <w:color w:val="auto"/>
              </w:rPr>
            </w:pPr>
          </w:p>
        </w:tc>
        <w:tc>
          <w:tcPr>
            <w:tcW w:w="840" w:type="dxa"/>
            <w:vAlign w:val="bottom"/>
            <w:vMerge w:val="restart"/>
            <w:shd w:val="clear" w:color="auto" w:fill="DCE2EF"/>
          </w:tcPr>
          <w:p>
            <w:pPr>
              <w:jc w:val="right"/>
              <w:ind w:right="24"/>
              <w:spacing w:after="0"/>
              <w:rPr>
                <w:sz w:val="20"/>
                <w:szCs w:val="20"/>
                <w:color w:val="auto"/>
              </w:rPr>
            </w:pPr>
            <w:r>
              <w:rPr>
                <w:rFonts w:ascii="Arial" w:cs="Arial" w:eastAsia="Arial" w:hAnsi="Arial"/>
                <w:sz w:val="15"/>
                <w:szCs w:val="15"/>
                <w:color w:val="auto"/>
              </w:rPr>
              <w:t>(29.1)</w:t>
            </w:r>
          </w:p>
        </w:tc>
        <w:tc>
          <w:tcPr>
            <w:tcW w:w="220" w:type="dxa"/>
            <w:vAlign w:val="bottom"/>
            <w:shd w:val="clear" w:color="auto" w:fill="DCE2EF"/>
          </w:tcPr>
          <w:p>
            <w:pPr>
              <w:spacing w:after="0"/>
              <w:rPr>
                <w:sz w:val="23"/>
                <w:szCs w:val="23"/>
                <w:color w:val="auto"/>
              </w:rPr>
            </w:pPr>
          </w:p>
        </w:tc>
        <w:tc>
          <w:tcPr>
            <w:tcW w:w="460" w:type="dxa"/>
            <w:vAlign w:val="bottom"/>
            <w:shd w:val="clear" w:color="auto" w:fill="DCE2EF"/>
          </w:tcPr>
          <w:p>
            <w:pPr>
              <w:spacing w:after="0"/>
              <w:rPr>
                <w:sz w:val="23"/>
                <w:szCs w:val="23"/>
                <w:color w:val="auto"/>
              </w:rPr>
            </w:pPr>
          </w:p>
        </w:tc>
        <w:tc>
          <w:tcPr>
            <w:tcW w:w="840" w:type="dxa"/>
            <w:vAlign w:val="bottom"/>
            <w:vMerge w:val="restart"/>
            <w:shd w:val="clear" w:color="auto" w:fill="DCE2EF"/>
          </w:tcPr>
          <w:p>
            <w:pPr>
              <w:jc w:val="right"/>
              <w:ind w:right="24"/>
              <w:spacing w:after="0"/>
              <w:rPr>
                <w:sz w:val="20"/>
                <w:szCs w:val="20"/>
                <w:color w:val="auto"/>
              </w:rPr>
            </w:pPr>
            <w:r>
              <w:rPr>
                <w:rFonts w:ascii="Arial" w:cs="Arial" w:eastAsia="Arial" w:hAnsi="Arial"/>
                <w:sz w:val="15"/>
                <w:szCs w:val="15"/>
                <w:color w:val="auto"/>
              </w:rPr>
              <w:t>(23.8)</w:t>
            </w:r>
          </w:p>
        </w:tc>
        <w:tc>
          <w:tcPr>
            <w:tcW w:w="0" w:type="dxa"/>
            <w:vAlign w:val="bottom"/>
          </w:tcPr>
          <w:p>
            <w:pPr>
              <w:spacing w:after="0"/>
              <w:rPr>
                <w:sz w:val="1"/>
                <w:szCs w:val="1"/>
                <w:color w:val="auto"/>
              </w:rPr>
            </w:pPr>
          </w:p>
        </w:tc>
      </w:tr>
      <w:tr>
        <w:trPr>
          <w:trHeight w:val="94"/>
        </w:trPr>
        <w:tc>
          <w:tcPr>
            <w:tcW w:w="5120" w:type="dxa"/>
            <w:vAlign w:val="bottom"/>
            <w:tcBorders>
              <w:bottom w:val="single" w:sz="8" w:color="DCE2EF"/>
            </w:tcBorders>
            <w:shd w:val="clear" w:color="auto" w:fill="DCE2EF"/>
          </w:tcPr>
          <w:p>
            <w:pPr>
              <w:spacing w:after="0"/>
              <w:rPr>
                <w:sz w:val="8"/>
                <w:szCs w:val="8"/>
                <w:color w:val="auto"/>
              </w:rPr>
            </w:pPr>
          </w:p>
        </w:tc>
        <w:tc>
          <w:tcPr>
            <w:tcW w:w="520" w:type="dxa"/>
            <w:vAlign w:val="bottom"/>
            <w:tcBorders>
              <w:bottom w:val="single" w:sz="8" w:color="auto"/>
            </w:tcBorders>
            <w:shd w:val="clear" w:color="auto" w:fill="DCE2EF"/>
          </w:tcPr>
          <w:p>
            <w:pPr>
              <w:spacing w:after="0"/>
              <w:rPr>
                <w:sz w:val="8"/>
                <w:szCs w:val="8"/>
                <w:color w:val="auto"/>
              </w:rPr>
            </w:pPr>
          </w:p>
        </w:tc>
        <w:tc>
          <w:tcPr>
            <w:tcW w:w="920" w:type="dxa"/>
            <w:vAlign w:val="bottom"/>
            <w:tcBorders>
              <w:bottom w:val="single" w:sz="8" w:color="auto"/>
            </w:tcBorders>
            <w:vMerge w:val="continue"/>
            <w:shd w:val="clear" w:color="auto" w:fill="DCE2EF"/>
          </w:tcPr>
          <w:p>
            <w:pPr>
              <w:spacing w:after="0"/>
              <w:rPr>
                <w:sz w:val="8"/>
                <w:szCs w:val="8"/>
                <w:color w:val="auto"/>
              </w:rPr>
            </w:pPr>
          </w:p>
        </w:tc>
        <w:tc>
          <w:tcPr>
            <w:tcW w:w="220" w:type="dxa"/>
            <w:vAlign w:val="bottom"/>
            <w:tcBorders>
              <w:bottom w:val="single" w:sz="8" w:color="auto"/>
            </w:tcBorders>
            <w:shd w:val="clear" w:color="auto" w:fill="DCE2EF"/>
          </w:tcPr>
          <w:p>
            <w:pPr>
              <w:spacing w:after="0"/>
              <w:rPr>
                <w:sz w:val="8"/>
                <w:szCs w:val="8"/>
                <w:color w:val="auto"/>
              </w:rPr>
            </w:pPr>
          </w:p>
        </w:tc>
        <w:tc>
          <w:tcPr>
            <w:tcW w:w="960" w:type="dxa"/>
            <w:vAlign w:val="bottom"/>
            <w:tcBorders>
              <w:bottom w:val="single" w:sz="8" w:color="auto"/>
            </w:tcBorders>
            <w:shd w:val="clear" w:color="auto" w:fill="DCE2EF"/>
          </w:tcPr>
          <w:p>
            <w:pPr>
              <w:spacing w:after="0"/>
              <w:rPr>
                <w:sz w:val="8"/>
                <w:szCs w:val="8"/>
                <w:color w:val="auto"/>
              </w:rPr>
            </w:pPr>
          </w:p>
        </w:tc>
        <w:tc>
          <w:tcPr>
            <w:tcW w:w="440" w:type="dxa"/>
            <w:vAlign w:val="bottom"/>
            <w:tcBorders>
              <w:bottom w:val="single" w:sz="8" w:color="auto"/>
            </w:tcBorders>
            <w:vMerge w:val="continue"/>
            <w:shd w:val="clear" w:color="auto" w:fill="DCE2EF"/>
          </w:tcPr>
          <w:p>
            <w:pPr>
              <w:spacing w:after="0"/>
              <w:rPr>
                <w:sz w:val="8"/>
                <w:szCs w:val="8"/>
                <w:color w:val="auto"/>
              </w:rPr>
            </w:pPr>
          </w:p>
        </w:tc>
        <w:tc>
          <w:tcPr>
            <w:tcW w:w="220" w:type="dxa"/>
            <w:vAlign w:val="bottom"/>
            <w:tcBorders>
              <w:bottom w:val="single" w:sz="8" w:color="DCE2EF"/>
            </w:tcBorders>
            <w:shd w:val="clear" w:color="auto" w:fill="DCE2EF"/>
          </w:tcPr>
          <w:p>
            <w:pPr>
              <w:spacing w:after="0"/>
              <w:rPr>
                <w:sz w:val="8"/>
                <w:szCs w:val="8"/>
                <w:color w:val="auto"/>
              </w:rPr>
            </w:pPr>
          </w:p>
        </w:tc>
        <w:tc>
          <w:tcPr>
            <w:tcW w:w="480" w:type="dxa"/>
            <w:vAlign w:val="bottom"/>
            <w:tcBorders>
              <w:bottom w:val="single" w:sz="8" w:color="auto"/>
            </w:tcBorders>
            <w:shd w:val="clear" w:color="auto" w:fill="DCE2EF"/>
          </w:tcPr>
          <w:p>
            <w:pPr>
              <w:spacing w:after="0"/>
              <w:rPr>
                <w:sz w:val="8"/>
                <w:szCs w:val="8"/>
                <w:color w:val="auto"/>
              </w:rPr>
            </w:pPr>
          </w:p>
        </w:tc>
        <w:tc>
          <w:tcPr>
            <w:tcW w:w="840" w:type="dxa"/>
            <w:vAlign w:val="bottom"/>
            <w:tcBorders>
              <w:bottom w:val="single" w:sz="8" w:color="auto"/>
            </w:tcBorders>
            <w:vMerge w:val="continue"/>
            <w:shd w:val="clear" w:color="auto" w:fill="DCE2EF"/>
          </w:tcPr>
          <w:p>
            <w:pPr>
              <w:spacing w:after="0"/>
              <w:rPr>
                <w:sz w:val="8"/>
                <w:szCs w:val="8"/>
                <w:color w:val="auto"/>
              </w:rPr>
            </w:pPr>
          </w:p>
        </w:tc>
        <w:tc>
          <w:tcPr>
            <w:tcW w:w="220" w:type="dxa"/>
            <w:vAlign w:val="bottom"/>
            <w:tcBorders>
              <w:bottom w:val="single" w:sz="8" w:color="auto"/>
            </w:tcBorders>
            <w:shd w:val="clear" w:color="auto" w:fill="DCE2EF"/>
          </w:tcPr>
          <w:p>
            <w:pPr>
              <w:spacing w:after="0"/>
              <w:rPr>
                <w:sz w:val="8"/>
                <w:szCs w:val="8"/>
                <w:color w:val="auto"/>
              </w:rPr>
            </w:pPr>
          </w:p>
        </w:tc>
        <w:tc>
          <w:tcPr>
            <w:tcW w:w="460" w:type="dxa"/>
            <w:vAlign w:val="bottom"/>
            <w:tcBorders>
              <w:bottom w:val="single" w:sz="8" w:color="auto"/>
            </w:tcBorders>
            <w:shd w:val="clear" w:color="auto" w:fill="DCE2EF"/>
          </w:tcPr>
          <w:p>
            <w:pPr>
              <w:spacing w:after="0"/>
              <w:rPr>
                <w:sz w:val="8"/>
                <w:szCs w:val="8"/>
                <w:color w:val="auto"/>
              </w:rPr>
            </w:pPr>
          </w:p>
        </w:tc>
        <w:tc>
          <w:tcPr>
            <w:tcW w:w="840" w:type="dxa"/>
            <w:vAlign w:val="bottom"/>
            <w:tcBorders>
              <w:bottom w:val="single" w:sz="8" w:color="auto"/>
            </w:tcBorders>
            <w:vMerge w:val="continue"/>
            <w:shd w:val="clear" w:color="auto" w:fill="DCE2EF"/>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120"/>
              <w:spacing w:after="0"/>
              <w:rPr>
                <w:sz w:val="20"/>
                <w:szCs w:val="20"/>
                <w:color w:val="auto"/>
              </w:rPr>
            </w:pPr>
            <w:r>
              <w:rPr>
                <w:rFonts w:ascii="Arial" w:cs="Arial" w:eastAsia="Arial" w:hAnsi="Arial"/>
                <w:sz w:val="15"/>
                <w:szCs w:val="15"/>
                <w:color w:val="auto"/>
              </w:rPr>
              <w:t>Free cash flow</w:t>
            </w: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24"/>
              <w:spacing w:after="0"/>
              <w:rPr>
                <w:sz w:val="20"/>
                <w:szCs w:val="20"/>
                <w:color w:val="auto"/>
              </w:rPr>
            </w:pPr>
            <w:r>
              <w:rPr>
                <w:rFonts w:ascii="Arial" w:cs="Arial" w:eastAsia="Arial" w:hAnsi="Arial"/>
                <w:sz w:val="15"/>
                <w:szCs w:val="15"/>
                <w:color w:val="auto"/>
              </w:rPr>
              <w:t>101.4</w:t>
            </w:r>
          </w:p>
        </w:tc>
        <w:tc>
          <w:tcPr>
            <w:tcW w:w="1180" w:type="dxa"/>
            <w:vAlign w:val="bottom"/>
            <w:gridSpan w:val="2"/>
            <w:vMerge w:val="restart"/>
          </w:tcPr>
          <w:p>
            <w:pPr>
              <w:jc w:val="right"/>
              <w:ind w:right="480"/>
              <w:spacing w:after="0"/>
              <w:rPr>
                <w:sz w:val="20"/>
                <w:szCs w:val="20"/>
                <w:color w:val="auto"/>
              </w:rPr>
            </w:pPr>
            <w:r>
              <w:rPr>
                <w:rFonts w:ascii="Arial" w:cs="Arial" w:eastAsia="Arial" w:hAnsi="Arial"/>
                <w:sz w:val="15"/>
                <w:szCs w:val="15"/>
                <w:color w:val="auto"/>
              </w:rPr>
              <w:t>$</w:t>
            </w:r>
          </w:p>
        </w:tc>
        <w:tc>
          <w:tcPr>
            <w:tcW w:w="440" w:type="dxa"/>
            <w:vAlign w:val="bottom"/>
            <w:vMerge w:val="restart"/>
          </w:tcPr>
          <w:p>
            <w:pPr>
              <w:jc w:val="right"/>
              <w:ind w:right="24"/>
              <w:spacing w:after="0"/>
              <w:rPr>
                <w:sz w:val="20"/>
                <w:szCs w:val="20"/>
                <w:color w:val="auto"/>
              </w:rPr>
            </w:pPr>
            <w:r>
              <w:rPr>
                <w:rFonts w:ascii="Arial" w:cs="Arial" w:eastAsia="Arial" w:hAnsi="Arial"/>
                <w:sz w:val="15"/>
                <w:szCs w:val="15"/>
                <w:color w:val="auto"/>
              </w:rPr>
              <w:t>16.0</w:t>
            </w:r>
          </w:p>
        </w:tc>
        <w:tc>
          <w:tcPr>
            <w:tcW w:w="700" w:type="dxa"/>
            <w:vAlign w:val="bottom"/>
            <w:gridSpan w:val="2"/>
            <w:vMerge w:val="restart"/>
          </w:tcPr>
          <w:p>
            <w:pPr>
              <w:jc w:val="right"/>
              <w:spacing w:after="0"/>
              <w:rPr>
                <w:sz w:val="20"/>
                <w:szCs w:val="20"/>
                <w:color w:val="auto"/>
              </w:rPr>
            </w:pPr>
            <w:r>
              <w:rPr>
                <w:rFonts w:ascii="Arial" w:cs="Arial" w:eastAsia="Arial" w:hAnsi="Arial"/>
                <w:sz w:val="15"/>
                <w:szCs w:val="15"/>
                <w:color w:val="auto"/>
              </w:rPr>
              <w:t>$</w:t>
            </w:r>
          </w:p>
        </w:tc>
        <w:tc>
          <w:tcPr>
            <w:tcW w:w="840" w:type="dxa"/>
            <w:vAlign w:val="bottom"/>
            <w:vMerge w:val="restart"/>
          </w:tcPr>
          <w:p>
            <w:pPr>
              <w:jc w:val="right"/>
              <w:ind w:right="24"/>
              <w:spacing w:after="0"/>
              <w:rPr>
                <w:sz w:val="20"/>
                <w:szCs w:val="20"/>
                <w:color w:val="auto"/>
              </w:rPr>
            </w:pPr>
            <w:r>
              <w:rPr>
                <w:rFonts w:ascii="Arial" w:cs="Arial" w:eastAsia="Arial" w:hAnsi="Arial"/>
                <w:sz w:val="15"/>
                <w:szCs w:val="15"/>
                <w:color w:val="auto"/>
              </w:rPr>
              <w:t>87.7</w:t>
            </w:r>
          </w:p>
        </w:tc>
        <w:tc>
          <w:tcPr>
            <w:tcW w:w="680" w:type="dxa"/>
            <w:vAlign w:val="bottom"/>
            <w:gridSpan w:val="2"/>
            <w:vMerge w:val="restart"/>
          </w:tcPr>
          <w:p>
            <w:pPr>
              <w:jc w:val="right"/>
              <w:spacing w:after="0"/>
              <w:rPr>
                <w:sz w:val="20"/>
                <w:szCs w:val="20"/>
                <w:color w:val="auto"/>
              </w:rPr>
            </w:pPr>
            <w:r>
              <w:rPr>
                <w:rFonts w:ascii="Arial" w:cs="Arial" w:eastAsia="Arial" w:hAnsi="Arial"/>
                <w:sz w:val="15"/>
                <w:szCs w:val="15"/>
                <w:color w:val="auto"/>
              </w:rPr>
              <w:t>$</w:t>
            </w:r>
          </w:p>
        </w:tc>
        <w:tc>
          <w:tcPr>
            <w:tcW w:w="840" w:type="dxa"/>
            <w:vAlign w:val="bottom"/>
            <w:vMerge w:val="restart"/>
          </w:tcPr>
          <w:p>
            <w:pPr>
              <w:jc w:val="right"/>
              <w:ind w:right="24"/>
              <w:spacing w:after="0"/>
              <w:rPr>
                <w:sz w:val="20"/>
                <w:szCs w:val="20"/>
                <w:color w:val="auto"/>
              </w:rPr>
            </w:pPr>
            <w:r>
              <w:rPr>
                <w:rFonts w:ascii="Arial" w:cs="Arial" w:eastAsia="Arial" w:hAnsi="Arial"/>
                <w:sz w:val="15"/>
                <w:szCs w:val="15"/>
                <w:color w:val="auto"/>
              </w:rPr>
              <w:t>(68.8)</w:t>
            </w:r>
          </w:p>
        </w:tc>
        <w:tc>
          <w:tcPr>
            <w:tcW w:w="0" w:type="dxa"/>
            <w:vAlign w:val="bottom"/>
          </w:tcPr>
          <w:p>
            <w:pPr>
              <w:spacing w:after="0"/>
              <w:rPr>
                <w:sz w:val="1"/>
                <w:szCs w:val="1"/>
                <w:color w:val="auto"/>
              </w:rPr>
            </w:pPr>
          </w:p>
        </w:tc>
      </w:tr>
      <w:tr>
        <w:trPr>
          <w:trHeight w:val="81"/>
        </w:trPr>
        <w:tc>
          <w:tcPr>
            <w:tcW w:w="51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-1013460</wp:posOffset>
            </wp:positionV>
            <wp:extent cx="146050" cy="114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-1013460</wp:posOffset>
            </wp:positionV>
            <wp:extent cx="145415" cy="114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45415" cy="1143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-1013460</wp:posOffset>
            </wp:positionV>
            <wp:extent cx="137160" cy="114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-267970</wp:posOffset>
            </wp:positionV>
            <wp:extent cx="145415" cy="114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45415" cy="11430"/>
                    </a:xfrm>
                    <a:prstGeom prst="rect">
                      <a:avLst/>
                    </a:prstGeom>
                    <a:noFill/>
                  </pic:spPr>
                </pic:pic>
              </a:graphicData>
            </a:graphic>
          </wp:anchor>
        </w:drawing>
      </w:r>
    </w:p>
    <w:p>
      <w:pPr>
        <w:spacing w:after="0" w:line="47"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vertAlign w:val="superscript"/>
        </w:rPr>
        <w:t>(a)</w:t>
      </w:r>
      <w:r>
        <w:rPr>
          <w:rFonts w:ascii="Arial" w:cs="Arial" w:eastAsia="Arial" w:hAnsi="Arial"/>
          <w:sz w:val="14"/>
          <w:szCs w:val="14"/>
          <w:color w:val="auto"/>
        </w:rPr>
        <w:t>The Company adjusts income to exclude the impact of certain items that are unusual, non-recurring, or otherwise do not reflect management's views of the underlying operational results and trends of the Company.</w:t>
      </w:r>
    </w:p>
    <w:p>
      <w:pPr>
        <w:spacing w:after="0" w:line="94" w:lineRule="exact"/>
        <w:rPr>
          <w:sz w:val="20"/>
          <w:szCs w:val="20"/>
          <w:color w:val="auto"/>
        </w:rPr>
      </w:pPr>
    </w:p>
    <w:p>
      <w:pPr>
        <w:jc w:val="both"/>
        <w:ind w:firstLine="8"/>
        <w:spacing w:after="0" w:line="311" w:lineRule="auto"/>
        <w:tabs>
          <w:tab w:leader="none" w:pos="144" w:val="left"/>
        </w:tabs>
        <w:numPr>
          <w:ilvl w:val="0"/>
          <w:numId w:val="19"/>
        </w:numPr>
        <w:rPr>
          <w:rFonts w:ascii="Arial" w:cs="Arial" w:eastAsia="Arial" w:hAnsi="Arial"/>
          <w:sz w:val="16"/>
          <w:szCs w:val="16"/>
          <w:color w:val="auto"/>
          <w:vertAlign w:val="superscript"/>
        </w:rPr>
      </w:pPr>
      <w:r>
        <w:rPr>
          <w:rFonts w:ascii="Arial" w:cs="Arial" w:eastAsia="Arial" w:hAnsi="Arial"/>
          <w:sz w:val="12"/>
          <w:szCs w:val="12"/>
          <w:color w:val="auto"/>
        </w:rPr>
        <w:t>Represents the net adjustments to our self-insurance reserve for general liability, workers’ compensation, automobile and medical and dental insurance claims related to prior period accident years. Management believes these prior period reserve changes do not illustrate the performance of the Company’s normal ongoing operations given the current year's insurance expense is estimated by management in conjunction with the Company's outside actuary to take into consideration past history and current costs and regulatory trends. Once the Company develops its best estimate of insurance expense premiums for the year, the Company fully allocates such costs out to the business leaders to hold them accountable for the current year costs within operations. However, since these prior period reserve changes relate to claims that could date back many years, current management has limited ability to influence the ultimate development of the prior year changes. Accordingly, including the prior period reserve changes in the Company's current operational results would not depict how the business is run as the Company holds its management accountable for the current year’s operational performance. The Company believes the exclusion of the self-insurance adjustment from net income is useful to investors by enabling them to better assess our operating performance in the context of current year profitability. For the three and six months ended April 30, 2024, our self-insurance general liability, workers’ compensation, and automobile insurance claims related to prior period accident years increased by $4.3 million and $9.7 million, respectively. For the three and six months ended April 30, 2023, our self-insured medical and dental insurance claims related to prior period increased by $3.5 million.</w:t>
      </w:r>
    </w:p>
    <w:p>
      <w:pPr>
        <w:spacing w:after="0" w:line="206" w:lineRule="exact"/>
        <w:rPr>
          <w:rFonts w:ascii="Arial" w:cs="Arial" w:eastAsia="Arial" w:hAnsi="Arial"/>
          <w:sz w:val="16"/>
          <w:szCs w:val="16"/>
          <w:color w:val="auto"/>
          <w:vertAlign w:val="superscript"/>
        </w:rPr>
      </w:pPr>
    </w:p>
    <w:p>
      <w:pPr>
        <w:ind w:left="200" w:hanging="192"/>
        <w:spacing w:after="0"/>
        <w:tabs>
          <w:tab w:leader="none" w:pos="200"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Represents acquisition and integration related costs primarily associated with Able acquisition.</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type w:val="continuous"/>
        </w:sectPr>
      </w:pPr>
    </w:p>
    <w:bookmarkStart w:id="16" w:name="page17"/>
    <w:bookmarkEnd w:id="16"/>
    <w:p>
      <w:pPr>
        <w:jc w:val="both"/>
        <w:ind w:firstLine="8"/>
        <w:spacing w:after="0" w:line="228" w:lineRule="auto"/>
        <w:tabs>
          <w:tab w:leader="none" w:pos="277"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Represents discrete transformational costs that primarily consists of general and administrative costs for developing technological needs and alternatives, project management, testing, training and data conversion, consulting and professional fees for i) new enterprise resource planning system, ii) client facing technology, iii) workforce management tools and iv) data analytics. These costs are not expected to recur beyond the deployment of these initiatives.</w:t>
      </w:r>
    </w:p>
    <w:p>
      <w:pPr>
        <w:spacing w:after="0" w:line="77" w:lineRule="exact"/>
        <w:rPr>
          <w:rFonts w:ascii="Arial" w:cs="Arial" w:eastAsia="Arial" w:hAnsi="Arial"/>
          <w:sz w:val="19"/>
          <w:szCs w:val="19"/>
          <w:color w:val="auto"/>
          <w:vertAlign w:val="superscript"/>
        </w:rPr>
      </w:pPr>
    </w:p>
    <w:p>
      <w:pPr>
        <w:ind w:left="160" w:hanging="152"/>
        <w:spacing w:after="0"/>
        <w:tabs>
          <w:tab w:leader="none" w:pos="16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Represents an adjustment to the estimate of the fair value of the contingent consideration associated with the RavenVolt acquisition.</w:t>
      </w:r>
    </w:p>
    <w:p>
      <w:pPr>
        <w:spacing w:after="0" w:line="93" w:lineRule="exact"/>
        <w:rPr>
          <w:rFonts w:ascii="Arial" w:cs="Arial" w:eastAsia="Arial" w:hAnsi="Arial"/>
          <w:sz w:val="18"/>
          <w:szCs w:val="18"/>
          <w:color w:val="auto"/>
          <w:vertAlign w:val="superscript"/>
        </w:rPr>
      </w:pPr>
    </w:p>
    <w:p>
      <w:pPr>
        <w:ind w:right="20" w:firstLine="8"/>
        <w:spacing w:after="0" w:line="222" w:lineRule="auto"/>
        <w:tabs>
          <w:tab w:leader="none" w:pos="131"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The Company's tax impact is calculated using the federal and state statutory rate of 28.11% for FY2024 and FY2023. We calculate tax from the underlying whole-dollar amounts, as a result, certain amounts may not recalculate based on reported numbers due to rounding.</w:t>
      </w:r>
    </w:p>
    <w:p>
      <w:pPr>
        <w:spacing w:after="0" w:line="94" w:lineRule="exact"/>
        <w:rPr>
          <w:rFonts w:ascii="Arial" w:cs="Arial" w:eastAsia="Arial" w:hAnsi="Arial"/>
          <w:sz w:val="19"/>
          <w:szCs w:val="19"/>
          <w:color w:val="auto"/>
          <w:vertAlign w:val="superscript"/>
        </w:rPr>
      </w:pPr>
    </w:p>
    <w:p>
      <w:pPr>
        <w:ind w:firstLine="8"/>
        <w:spacing w:after="0" w:line="292" w:lineRule="auto"/>
        <w:tabs>
          <w:tab w:leader="none" w:pos="144" w:val="left"/>
        </w:tabs>
        <w:numPr>
          <w:ilvl w:val="0"/>
          <w:numId w:val="20"/>
        </w:numPr>
        <w:rPr>
          <w:rFonts w:ascii="Arial" w:cs="Arial" w:eastAsia="Arial" w:hAnsi="Arial"/>
          <w:sz w:val="16"/>
          <w:szCs w:val="16"/>
          <w:color w:val="auto"/>
          <w:vertAlign w:val="superscript"/>
        </w:rPr>
      </w:pPr>
      <w:r>
        <w:rPr>
          <w:rFonts w:ascii="Arial" w:cs="Arial" w:eastAsia="Arial" w:hAnsi="Arial"/>
          <w:sz w:val="12"/>
          <w:szCs w:val="12"/>
          <w:color w:val="auto"/>
        </w:rPr>
        <w:t>The six months ended April 30, 2024 include a $0.3 million benefit for uncertain tax positions with expiring statues. The three and six months ended April 30, 2023, include the tax impact of non-taxable change in the fair value of contingent consideration related to RavenVolt.</w:t>
      </w:r>
    </w:p>
    <w:p>
      <w:pPr>
        <w:spacing w:after="0" w:line="37" w:lineRule="exact"/>
        <w:rPr>
          <w:rFonts w:ascii="Arial" w:cs="Arial" w:eastAsia="Arial" w:hAnsi="Arial"/>
          <w:sz w:val="16"/>
          <w:szCs w:val="16"/>
          <w:color w:val="auto"/>
          <w:vertAlign w:val="superscript"/>
        </w:rPr>
      </w:pPr>
    </w:p>
    <w:p>
      <w:pPr>
        <w:ind w:left="160" w:hanging="152"/>
        <w:spacing w:after="0"/>
        <w:tabs>
          <w:tab w:leader="none" w:pos="16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The six months ended April 30, 2023, include a $66 million payment for deferred payroll taxes under the Coronavirus Aid Relief and Economic Security Act (“CARES Act”)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7" w:name="page18"/>
    <w:bookmarkEnd w:id="1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844"/>
    </w:lvl>
  </w:abstractNum>
  <w:abstractNum w:abstractNumId="4">
    <w:nsid w:val="140E0F76"/>
    <w:multiLevelType w:val="hybridMultilevel"/>
    <w:lvl w:ilvl="0">
      <w:lvlJc w:val="left"/>
      <w:lvlText w:val="(%1)"/>
      <w:numFmt w:val="decimal"/>
      <w:start w:val="212"/>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Letter"/>
      <w:start w:val="2"/>
    </w:lvl>
  </w:abstractNum>
  <w:abstractNum w:abstractNumId="19">
    <w:nsid w:val="62BBD95A"/>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2024-06-06T06:04:50Z</dcterms:created>
  <dcterms:modified xsi:type="dcterms:W3CDTF">2024-06-06T06:04:50Z</dcterms:modified>
</cp:coreProperties>
</file>