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260350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167640</wp:posOffset>
            </wp:positionV>
            <wp:extent cx="362775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195580</wp:posOffset>
            </wp:positionV>
            <wp:extent cx="36277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March 8, 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3049270</wp:posOffset>
            </wp:positionH>
            <wp:positionV relativeFrom="paragraph">
              <wp:posOffset>7620</wp:posOffset>
            </wp:positionV>
            <wp:extent cx="4202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187325</wp:posOffset>
            </wp:positionV>
            <wp:extent cx="36277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ABM Industries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31115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176530</wp:posOffset>
            </wp:positionV>
            <wp:extent cx="36277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3"/>
          </w:tcPr>
          <w:p>
            <w:pPr>
              <w:jc w:val="center"/>
              <w:ind w:righ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jc w:val="center"/>
              <w:ind w:righ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1-8929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94-1369354</w:t>
            </w: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(State or other jurisdiction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1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(Commission File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(IRS Employer</w:t>
            </w: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40" w:type="dxa"/>
            <w:vAlign w:val="bottom"/>
            <w:gridSpan w:val="3"/>
          </w:tcPr>
          <w:p>
            <w:pPr>
              <w:jc w:val="center"/>
              <w:ind w:righ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 incorporation)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jc w:val="center"/>
              <w:ind w:righ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Number)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Identification No.)</w:t>
            </w:r>
          </w:p>
        </w:tc>
      </w:tr>
      <w:tr>
        <w:trPr>
          <w:trHeight w:val="4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  <w:gridSpan w:val="3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One Liberty Plaza, 7</w:t>
            </w:r>
            <w:r>
              <w:rPr>
                <w:rFonts w:ascii="Arial" w:cs="Arial" w:eastAsia="Arial" w:hAnsi="Arial"/>
                <w:sz w:val="30"/>
                <w:szCs w:val="30"/>
                <w:b w:val="1"/>
                <w:bCs w:val="1"/>
                <w:color w:val="auto"/>
                <w:w w:val="90"/>
                <w:vertAlign w:val="superscript"/>
              </w:rPr>
              <w:t>th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 xml:space="preserve"> Floor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New York, New York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10006</w:t>
            </w: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40" w:type="dxa"/>
            <w:vAlign w:val="bottom"/>
            <w:gridSpan w:val="3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(Address of principal executive offices)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jc w:val="center"/>
              <w:ind w:right="1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(Zip Code)</w:t>
            </w:r>
          </w:p>
        </w:tc>
      </w:tr>
      <w:tr>
        <w:trPr>
          <w:trHeight w:val="398"/>
        </w:trPr>
        <w:tc>
          <w:tcPr>
            <w:tcW w:w="5160" w:type="dxa"/>
            <w:vAlign w:val="bottom"/>
            <w:gridSpan w:val="4"/>
          </w:tcPr>
          <w:p>
            <w:pPr>
              <w:jc w:val="center"/>
              <w:ind w:righ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Registrant’s telephone number, including area code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(212) 297-0200</w:t>
            </w: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(Former name or former address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-101600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172085</wp:posOffset>
            </wp:positionV>
            <wp:extent cx="362775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186690</wp:posOffset>
            </wp:positionV>
            <wp:extent cx="72466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203835</wp:posOffset>
            </wp:positionV>
            <wp:extent cx="7246620" cy="260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520700</wp:posOffset>
            </wp:positionV>
            <wp:extent cx="724662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679" w:right="2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Submission of Matters to a Vote of Security Holders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Annual Meeting of Shareholders of ABM Industries Incorporated was held on March 8, 2017.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right="260" w:hanging="332"/>
        <w:spacing w:after="0" w:line="277" w:lineRule="auto"/>
        <w:tabs>
          <w:tab w:leader="none" w:pos="34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directors were elected by a vote of shareholders, each to serve for a term ending at the annual meeting of shareholders in the year 2020: Anthony G. Fernandes, Thomas M. Gartland and Winifred Markus Webb.</w:t>
      </w:r>
    </w:p>
    <w:p>
      <w:pPr>
        <w:spacing w:after="0" w:line="17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right="220"/>
        <w:spacing w:after="0" w:line="277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directors remained in office: Linda Chavez, J. Philip Ferguson, Art A. Garcia, Sudhakar Kesavan, Lauralee E. Martin, Filippo Passerini, and Scott Salmirs.</w:t>
      </w:r>
    </w:p>
    <w:p>
      <w:pPr>
        <w:spacing w:after="0" w:line="17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matters were voted upon at the meeting: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1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1 - Election of Directors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200" w:type="dxa"/>
            <w:vAlign w:val="bottom"/>
            <w:vMerge w:val="restart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Nominees</w:t>
            </w: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jc w:val="right"/>
              <w:ind w:righ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jc w:val="right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Broker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Non-Votes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2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Anthony G. Fernandes</w:t>
            </w: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46,146,411</w:t>
            </w:r>
          </w:p>
        </w:tc>
        <w:tc>
          <w:tcPr>
            <w:tcW w:w="1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1,253,342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32,011</w:t>
            </w:r>
          </w:p>
        </w:tc>
        <w:tc>
          <w:tcPr>
            <w:tcW w:w="1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4,284,591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Thomas M. Gartland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47,316,613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62,193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52,958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4,284,591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Winifred Markus Webb</w:t>
            </w:r>
          </w:p>
        </w:tc>
        <w:tc>
          <w:tcPr>
            <w:tcW w:w="220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46,819,271</w:t>
            </w:r>
          </w:p>
        </w:tc>
        <w:tc>
          <w:tcPr>
            <w:tcW w:w="174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591,069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21,424</w:t>
            </w:r>
          </w:p>
        </w:tc>
        <w:tc>
          <w:tcPr>
            <w:tcW w:w="174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4,284,591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Proposal 2</w:t>
            </w:r>
          </w:p>
        </w:tc>
        <w:tc>
          <w:tcPr>
            <w:tcW w:w="47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– Advisory Vote to Approve Executive Compensation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7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2420" w:type="dxa"/>
            <w:vAlign w:val="bottom"/>
            <w:gridSpan w:val="6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Abstain</w:t>
            </w:r>
          </w:p>
        </w:tc>
        <w:tc>
          <w:tcPr>
            <w:tcW w:w="2860" w:type="dxa"/>
            <w:vAlign w:val="bottom"/>
            <w:gridSpan w:val="6"/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1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44,536,412</w:t>
            </w:r>
          </w:p>
        </w:tc>
        <w:tc>
          <w:tcPr>
            <w:tcW w:w="1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2,829,931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auto"/>
            </w:tcBorders>
            <w:gridSpan w:val="5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65,421</w:t>
            </w:r>
          </w:p>
        </w:tc>
        <w:tc>
          <w:tcPr>
            <w:tcW w:w="1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4,284,591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3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Proposal 3</w:t>
            </w:r>
          </w:p>
        </w:tc>
        <w:tc>
          <w:tcPr>
            <w:tcW w:w="71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– Advisory Vote on Frequency of Advisory Vote to Approve Executive Compensation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 Year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2 Years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 Years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Broker Non-Votes</w:t>
            </w:r>
          </w:p>
        </w:tc>
      </w:tr>
      <w:tr>
        <w:trPr>
          <w:trHeight w:val="21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36,959,441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300,758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2"/>
            <w:shd w:val="clear" w:color="auto" w:fill="CCEEFF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10,101,979</w:t>
            </w:r>
          </w:p>
        </w:tc>
        <w:tc>
          <w:tcPr>
            <w:tcW w:w="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69,586</w:t>
            </w:r>
          </w:p>
        </w:tc>
        <w:tc>
          <w:tcPr>
            <w:tcW w:w="6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4,284,591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3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Proposal 4</w:t>
            </w:r>
          </w:p>
        </w:tc>
        <w:tc>
          <w:tcPr>
            <w:tcW w:w="71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– Ratification of the Selection of KPMG LLP as Independent Registered Public Accounting Firm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50,063,104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center"/>
              <w:ind w:left="6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1,612,898</w:t>
            </w:r>
          </w:p>
        </w:tc>
        <w:tc>
          <w:tcPr>
            <w:tcW w:w="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40,353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567"/>
        </w:trPr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796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00" w:firstLine="981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560" w:type="dxa"/>
            <w:vAlign w:val="bottom"/>
            <w:gridSpan w:val="2"/>
          </w:tcPr>
          <w:p>
            <w:pPr>
              <w:ind w:left="3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ABM INDUSTRIES INCORPORATED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  March 8, 2017</w:t>
            </w:r>
          </w:p>
        </w:tc>
        <w:tc>
          <w:tcPr>
            <w:tcW w:w="8560" w:type="dxa"/>
            <w:vAlign w:val="bottom"/>
            <w:gridSpan w:val="2"/>
          </w:tcPr>
          <w:p>
            <w:pPr>
              <w:ind w:left="3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Barbara L. Smithers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top w:val="single" w:sz="8" w:color="auto"/>
            </w:tcBorders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Barbara L. Smithers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Vice President, Deputy General Counsel and Assistant Secretary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67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79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1"/>
    </w:lvl>
    <w:lvl w:ilvl="1">
      <w:lvlJc w:val="left"/>
      <w:lvlText w:val="(%2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2019-12-05T12:46:06Z</dcterms:created>
  <dcterms:modified xsi:type="dcterms:W3CDTF">2019-12-05T12:46:06Z</dcterms:modified>
</cp:coreProperties>
</file>