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86" w:lineRule="exact"/>
        <w:rPr>
          <w:sz w:val="20"/>
          <w:szCs w:val="20"/>
          <w:color w:val="auto"/>
        </w:rPr>
      </w:pPr>
    </w:p>
    <w:p>
      <w:pPr>
        <w:ind w:left="1380" w:right="280" w:hanging="1061"/>
        <w:spacing w:after="0" w:line="261"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4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2008</w:t>
      </w:r>
    </w:p>
    <w:p>
      <w:pPr>
        <w:spacing w:after="0" w:line="108" w:lineRule="exact"/>
        <w:rPr>
          <w:sz w:val="20"/>
          <w:szCs w:val="20"/>
          <w:color w:val="auto"/>
        </w:rPr>
      </w:pPr>
    </w:p>
    <w:p>
      <w:pPr>
        <w:ind w:left="1380" w:right="360" w:hanging="1021"/>
        <w:spacing w:after="0" w:line="261"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0"/>
          <w:szCs w:val="20"/>
          <w:color w:val="auto"/>
        </w:rPr>
      </w:pPr>
    </w:p>
    <w:p>
      <w:pPr>
        <w:ind w:left="1380"/>
        <w:spacing w:after="0"/>
        <w:tabs>
          <w:tab w:leader="none" w:pos="5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6000" w:type="dxa"/>
            <w:vAlign w:val="bottom"/>
            <w:gridSpan w:val="2"/>
          </w:tcPr>
          <w:p>
            <w:pPr>
              <w:jc w:val="right"/>
              <w:ind w:right="2150"/>
              <w:spacing w:after="0"/>
              <w:rPr>
                <w:sz w:val="20"/>
                <w:szCs w:val="20"/>
                <w:color w:val="auto"/>
              </w:rPr>
            </w:pPr>
            <w:r>
              <w:rPr>
                <w:rFonts w:ascii="Arial" w:cs="Arial" w:eastAsia="Arial" w:hAnsi="Arial"/>
                <w:sz w:val="18"/>
                <w:szCs w:val="18"/>
                <w:color w:val="auto"/>
              </w:rPr>
              <w:t>94-1369354</w:t>
            </w:r>
          </w:p>
        </w:tc>
      </w:tr>
      <w:tr>
        <w:trPr>
          <w:trHeight w:val="223"/>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551 Fifth Avenue, Suite 300, New York, New York 10176</w:t>
      </w: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212/297-0200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4" w:lineRule="exact"/>
        <w:rPr>
          <w:sz w:val="20"/>
          <w:szCs w:val="20"/>
          <w:color w:val="auto"/>
        </w:rPr>
      </w:pPr>
    </w:p>
    <w:p>
      <w:pPr>
        <w:jc w:val="both"/>
        <w:ind w:right="140" w:firstLine="25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8" w:lineRule="exact"/>
        <w:rPr>
          <w:sz w:val="20"/>
          <w:szCs w:val="20"/>
          <w:color w:val="auto"/>
        </w:rPr>
      </w:pPr>
    </w:p>
    <w:p>
      <w:pPr>
        <w:jc w:val="both"/>
        <w:ind w:right="60" w:firstLine="250"/>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p>
      <w:pPr>
        <w:ind w:left="3300" w:hanging="5010"/>
        <w:spacing w:after="0" w:line="219" w:lineRule="exact"/>
        <w:tabs>
          <w:tab w:leader="none" w:pos="32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48" w:lineRule="exact"/>
        <w:rPr>
          <w:sz w:val="20"/>
          <w:szCs w:val="20"/>
          <w:color w:val="auto"/>
        </w:rPr>
      </w:pPr>
    </w:p>
    <w:p>
      <w:pPr>
        <w:ind w:left="260" w:right="1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May 30, 2008: 50,500,748.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ABM INDUSTRIES INCORPORATED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jc w:val="center"/>
        <w:ind w:right="-99"/>
        <w:spacing w:after="0"/>
        <w:rPr>
          <w:sz w:val="20"/>
          <w:szCs w:val="20"/>
          <w:color w:val="auto"/>
        </w:rPr>
      </w:pPr>
      <w:r>
        <w:rPr>
          <w:rFonts w:ascii="Arial" w:cs="Arial" w:eastAsia="Arial" w:hAnsi="Arial"/>
          <w:sz w:val="18"/>
          <w:szCs w:val="18"/>
          <w:b w:val="1"/>
          <w:bCs w:val="1"/>
          <w:color w:val="auto"/>
        </w:rPr>
        <w:t>For the three and six months ended April 30, 2008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4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20"/>
                <w:szCs w:val="20"/>
                <w:color w:val="auto"/>
              </w:rPr>
            </w:pPr>
          </w:p>
        </w:tc>
      </w:tr>
      <w:tr>
        <w:trPr>
          <w:trHeight w:val="365"/>
        </w:trPr>
        <w:tc>
          <w:tcPr>
            <w:tcW w:w="966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1.</w:t>
              </w:r>
            </w:hyperlink>
          </w:p>
        </w:tc>
        <w:tc>
          <w:tcPr>
            <w:tcW w:w="560" w:type="dxa"/>
            <w:vAlign w:val="bottom"/>
            <w:tcBorders>
              <w:top w:val="single" w:sz="8" w:color="0000EE"/>
            </w:tcBorders>
            <w:gridSpan w:val="2"/>
          </w:tcPr>
          <w:p>
            <w:pPr>
              <w:spacing w:after="0"/>
              <w:rPr>
                <w:sz w:val="24"/>
                <w:szCs w:val="24"/>
                <w:color w:val="auto"/>
              </w:rPr>
            </w:pPr>
          </w:p>
        </w:tc>
        <w:tc>
          <w:tcPr>
            <w:tcW w:w="1840" w:type="dxa"/>
            <w:vAlign w:val="bottom"/>
            <w:tcBorders>
              <w:top w:val="single" w:sz="8" w:color="0000EE"/>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70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50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w:t>
              </w:r>
            </w:hyperlink>
          </w:p>
        </w:tc>
        <w:tc>
          <w:tcPr>
            <w:tcW w:w="560" w:type="dxa"/>
            <w:vAlign w:val="bottom"/>
            <w:gridSpan w:val="2"/>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3.</w:t>
              </w:r>
            </w:hyperlink>
          </w:p>
        </w:tc>
        <w:tc>
          <w:tcPr>
            <w:tcW w:w="560" w:type="dxa"/>
            <w:vAlign w:val="bottom"/>
            <w:gridSpan w:val="2"/>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4.</w:t>
              </w:r>
            </w:hyperlink>
          </w:p>
        </w:tc>
        <w:tc>
          <w:tcPr>
            <w:tcW w:w="560" w:type="dxa"/>
            <w:vAlign w:val="bottom"/>
            <w:gridSpan w:val="2"/>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268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PART II. OTHER INFORMATION</w:t>
              </w:r>
            </w:hyperlink>
          </w:p>
        </w:tc>
        <w:tc>
          <w:tcPr>
            <w:tcW w:w="698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1.</w:t>
              </w:r>
            </w:hyperlink>
          </w:p>
        </w:tc>
        <w:tc>
          <w:tcPr>
            <w:tcW w:w="560" w:type="dxa"/>
            <w:vAlign w:val="bottom"/>
            <w:gridSpan w:val="2"/>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68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1A.</w:t>
              </w:r>
            </w:hyperlink>
          </w:p>
        </w:tc>
        <w:tc>
          <w:tcPr>
            <w:tcW w:w="440" w:type="dxa"/>
            <w:vAlign w:val="bottom"/>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4.</w:t>
              </w:r>
            </w:hyperlink>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80" w:type="dxa"/>
            <w:vAlign w:val="bottom"/>
            <w:gridSpan w:val="8"/>
            <w:shd w:val="clear" w:color="auto" w:fill="0000EE"/>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560" w:type="dxa"/>
            <w:vAlign w:val="bottom"/>
            <w:gridSpan w:val="2"/>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Item 6.</w:t>
              </w:r>
            </w:hyperlink>
          </w:p>
        </w:tc>
        <w:tc>
          <w:tcPr>
            <w:tcW w:w="560" w:type="dxa"/>
            <w:vAlign w:val="bottom"/>
            <w:gridSpan w:val="2"/>
          </w:tcPr>
          <w:p>
            <w:pPr>
              <w:spacing w:after="0"/>
              <w:rPr>
                <w:sz w:val="24"/>
                <w:szCs w:val="24"/>
                <w:color w:val="auto"/>
              </w:rPr>
            </w:pPr>
          </w:p>
        </w:tc>
        <w:tc>
          <w:tcPr>
            <w:tcW w:w="854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118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SIGNATURES</w:t>
              </w:r>
            </w:hyperlink>
          </w:p>
        </w:tc>
        <w:tc>
          <w:tcPr>
            <w:tcW w:w="848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5"/>
        </w:trPr>
        <w:tc>
          <w:tcPr>
            <w:tcW w:w="132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EXHIBIT INDEX</w:t>
              </w:r>
            </w:hyperlink>
          </w:p>
        </w:tc>
        <w:tc>
          <w:tcPr>
            <w:tcW w:w="834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83"/>
        </w:trPr>
        <w:tc>
          <w:tcPr>
            <w:tcW w:w="60" w:type="dxa"/>
            <w:vAlign w:val="bottom"/>
          </w:tcPr>
          <w:p>
            <w:pPr>
              <w:spacing w:after="0"/>
              <w:rPr>
                <w:sz w:val="15"/>
                <w:szCs w:val="15"/>
                <w:color w:val="auto"/>
              </w:rPr>
            </w:pPr>
          </w:p>
        </w:tc>
        <w:tc>
          <w:tcPr>
            <w:tcW w:w="112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EXHIBIT 18.1</w:t>
            </w:r>
          </w:p>
        </w:tc>
        <w:tc>
          <w:tcPr>
            <w:tcW w:w="8480" w:type="dxa"/>
            <w:vAlign w:val="bottom"/>
            <w:gridSpan w:val="13"/>
          </w:tcPr>
          <w:p>
            <w:pPr>
              <w:spacing w:after="0"/>
              <w:rPr>
                <w:sz w:val="15"/>
                <w:szCs w:val="15"/>
                <w:color w:val="auto"/>
              </w:rPr>
            </w:pPr>
          </w:p>
        </w:tc>
        <w:tc>
          <w:tcPr>
            <w:tcW w:w="1660" w:type="dxa"/>
            <w:vAlign w:val="bottom"/>
          </w:tcPr>
          <w:p>
            <w:pPr>
              <w:spacing w:after="0"/>
              <w:rPr>
                <w:sz w:val="15"/>
                <w:szCs w:val="15"/>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ind w:left="60"/>
        <w:spacing w:after="0" w:line="234" w:lineRule="auto"/>
        <w:rPr>
          <w:sz w:val="20"/>
          <w:szCs w:val="20"/>
          <w:color w:val="auto"/>
        </w:rPr>
      </w:pPr>
      <w:r>
        <w:rPr>
          <w:rFonts w:ascii="Arial" w:cs="Arial" w:eastAsia="Arial" w:hAnsi="Arial"/>
          <w:sz w:val="18"/>
          <w:szCs w:val="18"/>
          <w:u w:val="single" w:color="auto"/>
          <w:color w:val="0000EE"/>
        </w:rPr>
        <w:t>EXHIBIT 31.2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4"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jc w:val="center"/>
              <w:ind w:right="433"/>
              <w:spacing w:after="0"/>
              <w:rPr>
                <w:sz w:val="20"/>
                <w:szCs w:val="20"/>
                <w:color w:val="auto"/>
              </w:rPr>
            </w:pPr>
            <w:r>
              <w:rPr>
                <w:rFonts w:ascii="Arial" w:cs="Arial" w:eastAsia="Arial" w:hAnsi="Arial"/>
                <w:sz w:val="14"/>
                <w:szCs w:val="14"/>
                <w:b w:val="1"/>
                <w:bCs w:val="1"/>
                <w:color w:val="auto"/>
              </w:rPr>
              <w:t>April 30,</w:t>
            </w:r>
          </w:p>
        </w:tc>
        <w:tc>
          <w:tcPr>
            <w:tcW w:w="600" w:type="dxa"/>
            <w:vAlign w:val="bottom"/>
          </w:tcPr>
          <w:p>
            <w:pPr>
              <w:spacing w:after="0"/>
              <w:rPr>
                <w:sz w:val="14"/>
                <w:szCs w:val="14"/>
                <w:color w:val="auto"/>
              </w:rPr>
            </w:pPr>
          </w:p>
        </w:tc>
        <w:tc>
          <w:tcPr>
            <w:tcW w:w="110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580" w:type="dxa"/>
            <w:vAlign w:val="bottom"/>
          </w:tcPr>
          <w:p>
            <w:pPr>
              <w:spacing w:after="0"/>
              <w:rPr>
                <w:sz w:val="15"/>
                <w:szCs w:val="15"/>
                <w:color w:val="auto"/>
              </w:rPr>
            </w:pPr>
          </w:p>
        </w:tc>
        <w:tc>
          <w:tcPr>
            <w:tcW w:w="1300" w:type="dxa"/>
            <w:vAlign w:val="bottom"/>
          </w:tcPr>
          <w:p>
            <w:pPr>
              <w:jc w:val="center"/>
              <w:ind w:right="453"/>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433"/>
              <w:spacing w:after="0"/>
              <w:rPr>
                <w:sz w:val="20"/>
                <w:szCs w:val="20"/>
                <w:color w:val="auto"/>
              </w:rPr>
            </w:pPr>
            <w:r>
              <w:rPr>
                <w:rFonts w:ascii="Arial" w:cs="Arial" w:eastAsia="Arial" w:hAnsi="Arial"/>
                <w:sz w:val="14"/>
                <w:szCs w:val="14"/>
                <w:color w:val="auto"/>
              </w:rPr>
              <w:t>(Unaudited)</w:t>
            </w:r>
          </w:p>
        </w:tc>
        <w:tc>
          <w:tcPr>
            <w:tcW w:w="6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17,405</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136,192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200"/>
              <w:spacing w:after="0" w:line="201" w:lineRule="exact"/>
              <w:rPr>
                <w:sz w:val="20"/>
                <w:szCs w:val="20"/>
                <w:color w:val="auto"/>
              </w:rPr>
            </w:pPr>
            <w:r>
              <w:rPr>
                <w:rFonts w:ascii="Arial" w:cs="Arial" w:eastAsia="Arial" w:hAnsi="Arial"/>
                <w:sz w:val="18"/>
                <w:szCs w:val="18"/>
                <w:color w:val="auto"/>
              </w:rPr>
              <w:t>Trade accounts receivable, net of allowances of $10,365 and $6,891 at April 30, 2008 and</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400"/>
              <w:spacing w:after="0" w:line="203" w:lineRule="exact"/>
              <w:rPr>
                <w:sz w:val="20"/>
                <w:szCs w:val="20"/>
                <w:color w:val="auto"/>
              </w:rPr>
            </w:pPr>
            <w:r>
              <w:rPr>
                <w:rFonts w:ascii="Arial" w:cs="Arial" w:eastAsia="Arial" w:hAnsi="Arial"/>
                <w:sz w:val="18"/>
                <w:szCs w:val="18"/>
                <w:color w:val="auto"/>
              </w:rPr>
              <w:t>October 31, 2007, respectively</w:t>
            </w:r>
          </w:p>
        </w:tc>
        <w:tc>
          <w:tcPr>
            <w:tcW w:w="580" w:type="dxa"/>
            <w:vAlign w:val="bottom"/>
          </w:tcPr>
          <w:p>
            <w:pPr>
              <w:spacing w:after="0"/>
              <w:rPr>
                <w:sz w:val="17"/>
                <w:szCs w:val="17"/>
                <w:color w:val="auto"/>
              </w:rPr>
            </w:pPr>
          </w:p>
        </w:tc>
        <w:tc>
          <w:tcPr>
            <w:tcW w:w="1300" w:type="dxa"/>
            <w:vAlign w:val="bottom"/>
          </w:tcPr>
          <w:p>
            <w:pPr>
              <w:jc w:val="right"/>
              <w:ind w:right="413"/>
              <w:spacing w:after="0" w:line="203" w:lineRule="exact"/>
              <w:rPr>
                <w:sz w:val="20"/>
                <w:szCs w:val="20"/>
                <w:color w:val="auto"/>
              </w:rPr>
            </w:pPr>
            <w:r>
              <w:rPr>
                <w:rFonts w:ascii="Arial" w:cs="Arial" w:eastAsia="Arial" w:hAnsi="Arial"/>
                <w:sz w:val="18"/>
                <w:szCs w:val="18"/>
                <w:color w:val="auto"/>
              </w:rPr>
              <w:t>498,408</w:t>
            </w:r>
          </w:p>
        </w:tc>
        <w:tc>
          <w:tcPr>
            <w:tcW w:w="60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370,493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 net</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19,117</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20,350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7"/>
                <w:szCs w:val="17"/>
                <w:color w:val="auto"/>
              </w:rPr>
            </w:pPr>
          </w:p>
        </w:tc>
        <w:tc>
          <w:tcPr>
            <w:tcW w:w="130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60,124</w:t>
            </w:r>
          </w:p>
        </w:tc>
        <w:tc>
          <w:tcPr>
            <w:tcW w:w="6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39,827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82,970</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68,577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580" w:type="dxa"/>
            <w:vAlign w:val="bottom"/>
          </w:tcPr>
          <w:p>
            <w:pPr>
              <w:spacing w:after="0"/>
              <w:rPr>
                <w:sz w:val="17"/>
                <w:szCs w:val="17"/>
                <w:color w:val="auto"/>
              </w:rPr>
            </w:pPr>
          </w:p>
        </w:tc>
        <w:tc>
          <w:tcPr>
            <w:tcW w:w="130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6,200</w:t>
            </w:r>
          </w:p>
        </w:tc>
        <w:tc>
          <w:tcPr>
            <w:tcW w:w="6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5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1,896</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686,120</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642,890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in auction rate securities</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23,540</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Insurance deposits</w:t>
            </w:r>
          </w:p>
        </w:tc>
        <w:tc>
          <w:tcPr>
            <w:tcW w:w="580" w:type="dxa"/>
            <w:vAlign w:val="bottom"/>
          </w:tcPr>
          <w:p>
            <w:pPr>
              <w:spacing w:after="0"/>
              <w:rPr>
                <w:sz w:val="17"/>
                <w:szCs w:val="17"/>
                <w:color w:val="auto"/>
              </w:rPr>
            </w:pPr>
          </w:p>
        </w:tc>
        <w:tc>
          <w:tcPr>
            <w:tcW w:w="130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42,486</w:t>
            </w:r>
          </w:p>
        </w:tc>
        <w:tc>
          <w:tcPr>
            <w:tcW w:w="6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investments and long-term receivables</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9,175</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 $94,825 and $92,437 at</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3" w:lineRule="exact"/>
              <w:rPr>
                <w:sz w:val="20"/>
                <w:szCs w:val="20"/>
                <w:color w:val="auto"/>
              </w:rPr>
            </w:pPr>
            <w:r>
              <w:rPr>
                <w:rFonts w:ascii="Arial" w:cs="Arial" w:eastAsia="Arial" w:hAnsi="Arial"/>
                <w:sz w:val="18"/>
                <w:szCs w:val="18"/>
                <w:color w:val="auto"/>
              </w:rPr>
              <w:t>April 30, 2008 and October 31, 2007, respectively</w:t>
            </w:r>
          </w:p>
        </w:tc>
        <w:tc>
          <w:tcPr>
            <w:tcW w:w="580" w:type="dxa"/>
            <w:vAlign w:val="bottom"/>
          </w:tcPr>
          <w:p>
            <w:pPr>
              <w:spacing w:after="0"/>
              <w:rPr>
                <w:sz w:val="17"/>
                <w:szCs w:val="17"/>
                <w:color w:val="auto"/>
              </w:rPr>
            </w:pPr>
          </w:p>
        </w:tc>
        <w:tc>
          <w:tcPr>
            <w:tcW w:w="1300" w:type="dxa"/>
            <w:vAlign w:val="bottom"/>
          </w:tcPr>
          <w:p>
            <w:pPr>
              <w:jc w:val="right"/>
              <w:ind w:right="413"/>
              <w:spacing w:after="0" w:line="203" w:lineRule="exact"/>
              <w:rPr>
                <w:sz w:val="20"/>
                <w:szCs w:val="20"/>
                <w:color w:val="auto"/>
              </w:rPr>
            </w:pPr>
            <w:r>
              <w:rPr>
                <w:rFonts w:ascii="Arial" w:cs="Arial" w:eastAsia="Arial" w:hAnsi="Arial"/>
                <w:sz w:val="18"/>
                <w:szCs w:val="18"/>
                <w:color w:val="auto"/>
              </w:rPr>
              <w:t>57,542</w:t>
            </w:r>
          </w:p>
        </w:tc>
        <w:tc>
          <w:tcPr>
            <w:tcW w:w="60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38,945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553,886</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252,179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spacing w:after="0" w:line="201" w:lineRule="exact"/>
              <w:rPr>
                <w:sz w:val="20"/>
                <w:szCs w:val="20"/>
                <w:color w:val="auto"/>
              </w:rPr>
            </w:pPr>
            <w:r>
              <w:rPr>
                <w:rFonts w:ascii="Arial" w:cs="Arial" w:eastAsia="Arial" w:hAnsi="Arial"/>
                <w:sz w:val="18"/>
                <w:szCs w:val="18"/>
                <w:color w:val="auto"/>
              </w:rPr>
              <w:t>Other intangible assets, net of accumulated amortization of $25,761 and $20,836 at April 30,</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3" w:lineRule="exact"/>
              <w:rPr>
                <w:sz w:val="20"/>
                <w:szCs w:val="20"/>
                <w:color w:val="auto"/>
              </w:rPr>
            </w:pPr>
            <w:r>
              <w:rPr>
                <w:rFonts w:ascii="Arial" w:cs="Arial" w:eastAsia="Arial" w:hAnsi="Arial"/>
                <w:sz w:val="18"/>
                <w:szCs w:val="18"/>
                <w:color w:val="auto"/>
              </w:rPr>
              <w:t>2008 and October 31, 2007, respectively</w:t>
            </w:r>
          </w:p>
        </w:tc>
        <w:tc>
          <w:tcPr>
            <w:tcW w:w="580" w:type="dxa"/>
            <w:vAlign w:val="bottom"/>
          </w:tcPr>
          <w:p>
            <w:pPr>
              <w:spacing w:after="0"/>
              <w:rPr>
                <w:sz w:val="17"/>
                <w:szCs w:val="17"/>
                <w:color w:val="auto"/>
              </w:rPr>
            </w:pPr>
          </w:p>
        </w:tc>
        <w:tc>
          <w:tcPr>
            <w:tcW w:w="1300" w:type="dxa"/>
            <w:vAlign w:val="bottom"/>
          </w:tcPr>
          <w:p>
            <w:pPr>
              <w:jc w:val="right"/>
              <w:ind w:right="413"/>
              <w:spacing w:after="0" w:line="203" w:lineRule="exact"/>
              <w:rPr>
                <w:sz w:val="20"/>
                <w:szCs w:val="20"/>
                <w:color w:val="auto"/>
              </w:rPr>
            </w:pPr>
            <w:r>
              <w:rPr>
                <w:rFonts w:ascii="Arial" w:cs="Arial" w:eastAsia="Arial" w:hAnsi="Arial"/>
                <w:sz w:val="18"/>
                <w:szCs w:val="18"/>
                <w:color w:val="auto"/>
              </w:rPr>
              <w:t>54,459</w:t>
            </w:r>
          </w:p>
        </w:tc>
        <w:tc>
          <w:tcPr>
            <w:tcW w:w="60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24,573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97,568</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43,899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Insurance recoverables</w:t>
            </w:r>
          </w:p>
        </w:tc>
        <w:tc>
          <w:tcPr>
            <w:tcW w:w="580" w:type="dxa"/>
            <w:vAlign w:val="bottom"/>
          </w:tcPr>
          <w:p>
            <w:pPr>
              <w:spacing w:after="0"/>
              <w:rPr>
                <w:sz w:val="17"/>
                <w:szCs w:val="17"/>
                <w:color w:val="auto"/>
              </w:rPr>
            </w:pPr>
          </w:p>
        </w:tc>
        <w:tc>
          <w:tcPr>
            <w:tcW w:w="130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57,751</w:t>
            </w:r>
          </w:p>
        </w:tc>
        <w:tc>
          <w:tcPr>
            <w:tcW w:w="6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51,480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39,587</w:t>
            </w: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7"/>
              </w:rPr>
              <w:t>1,622,114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7"/>
              </w:rPr>
              <w:t>1,120,673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center"/>
              <w:ind w:right="452"/>
              <w:spacing w:after="0"/>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4"/>
                <w:szCs w:val="14"/>
                <w:color w:val="auto"/>
              </w:rPr>
            </w:pPr>
          </w:p>
        </w:tc>
        <w:tc>
          <w:tcPr>
            <w:tcW w:w="110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75"/>
        </w:trPr>
        <w:tc>
          <w:tcPr>
            <w:tcW w:w="76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800" w:type="dxa"/>
            <w:vAlign w:val="bottom"/>
          </w:tcPr>
          <w:p>
            <w:pPr>
              <w:spacing w:after="0"/>
              <w:rPr>
                <w:sz w:val="15"/>
                <w:szCs w:val="15"/>
                <w:color w:val="auto"/>
              </w:rPr>
            </w:pPr>
          </w:p>
        </w:tc>
        <w:tc>
          <w:tcPr>
            <w:tcW w:w="1320" w:type="dxa"/>
            <w:vAlign w:val="bottom"/>
          </w:tcPr>
          <w:p>
            <w:pPr>
              <w:jc w:val="center"/>
              <w:ind w:right="47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452"/>
              <w:spacing w:after="0"/>
              <w:rPr>
                <w:sz w:val="20"/>
                <w:szCs w:val="20"/>
                <w:color w:val="auto"/>
              </w:rPr>
            </w:pPr>
            <w:r>
              <w:rPr>
                <w:rFonts w:ascii="Arial" w:cs="Arial" w:eastAsia="Arial" w:hAnsi="Arial"/>
                <w:sz w:val="14"/>
                <w:szCs w:val="14"/>
                <w:color w:val="auto"/>
              </w:rPr>
              <w:t>(Unaudited)</w:t>
            </w:r>
          </w:p>
        </w:tc>
        <w:tc>
          <w:tcPr>
            <w:tcW w:w="5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80,122</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69,781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2,481</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00"/>
              <w:spacing w:after="0" w:line="202" w:lineRule="exact"/>
              <w:rPr>
                <w:sz w:val="20"/>
                <w:szCs w:val="20"/>
                <w:color w:val="auto"/>
              </w:rPr>
            </w:pPr>
            <w:r>
              <w:rPr>
                <w:rFonts w:ascii="Arial" w:cs="Arial" w:eastAsia="Arial" w:hAnsi="Arial"/>
                <w:sz w:val="18"/>
                <w:szCs w:val="18"/>
                <w:color w:val="auto"/>
              </w:rPr>
              <w:t>Compensation</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106,849</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84,124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24,371</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19,181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86,945</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63,427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88,579</w:t>
            </w: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51,671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current liabilities</w:t>
            </w: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389,347</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289,744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Line of credit</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301,500</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46,830</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8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264,016</w:t>
            </w: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197,616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7"/>
              </w:rPr>
              <w:t>1,001,693</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514,915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100,000,000 shares authorized; 57,505,470 and</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57,047,837 shares issued at April 30, 2008 and October 31, 2007, respectively</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575</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273,236</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261,182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(729)</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80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469,677</w:t>
            </w:r>
          </w:p>
        </w:tc>
        <w:tc>
          <w:tcPr>
            <w:tcW w:w="58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465,463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treasury stock (7,028,500 shares at both April 30, 2008 and October 31, 2007)</w:t>
            </w:r>
          </w:p>
        </w:tc>
        <w:tc>
          <w:tcPr>
            <w:tcW w:w="8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(122,338)</w:t>
            </w: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(122,338)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620,421</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605,758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1,622,114</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7"/>
              </w:rPr>
              <w:t>1,120,673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400" w:type="dxa"/>
            <w:vAlign w:val="bottom"/>
            <w:gridSpan w:val="2"/>
          </w:tcPr>
          <w:p>
            <w:pPr>
              <w:jc w:val="center"/>
              <w:ind w:left="2910"/>
              <w:spacing w:after="0"/>
              <w:rPr>
                <w:sz w:val="20"/>
                <w:szCs w:val="20"/>
                <w:color w:val="auto"/>
              </w:rPr>
            </w:pPr>
            <w:r>
              <w:rPr>
                <w:rFonts w:ascii="Arial" w:cs="Arial" w:eastAsia="Arial" w:hAnsi="Arial"/>
                <w:sz w:val="18"/>
                <w:szCs w:val="18"/>
                <w:color w:val="auto"/>
              </w:rPr>
              <w:t>See accompanying notes of the consolidated financial statements.</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20" w:type="dxa"/>
            <w:vAlign w:val="bottom"/>
            <w:gridSpan w:val="2"/>
          </w:tcPr>
          <w:p>
            <w:pPr>
              <w:jc w:val="right"/>
              <w:ind w:right="177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3"/>
                <w:szCs w:val="13"/>
                <w:color w:val="auto"/>
              </w:rPr>
            </w:pPr>
          </w:p>
        </w:tc>
        <w:tc>
          <w:tcPr>
            <w:tcW w:w="76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3"/>
                <w:szCs w:val="13"/>
                <w:color w:val="auto"/>
              </w:rPr>
            </w:pPr>
          </w:p>
        </w:tc>
        <w:tc>
          <w:tcPr>
            <w:tcW w:w="78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3"/>
                <w:szCs w:val="13"/>
                <w:color w:val="auto"/>
              </w:rPr>
            </w:pPr>
          </w:p>
        </w:tc>
        <w:tc>
          <w:tcPr>
            <w:tcW w:w="106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4"/>
          </w:tcPr>
          <w:p>
            <w:pPr>
              <w:jc w:val="right"/>
              <w:ind w:right="752"/>
              <w:spacing w:after="0"/>
              <w:rPr>
                <w:sz w:val="20"/>
                <w:szCs w:val="20"/>
                <w:color w:val="auto"/>
              </w:rPr>
            </w:pPr>
            <w:r>
              <w:rPr>
                <w:rFonts w:ascii="Arial" w:cs="Arial" w:eastAsia="Arial" w:hAnsi="Arial"/>
                <w:sz w:val="14"/>
                <w:szCs w:val="14"/>
                <w:color w:val="auto"/>
              </w:rPr>
              <w:t>(Unaudited)</w:t>
            </w:r>
          </w:p>
        </w:tc>
        <w:tc>
          <w:tcPr>
            <w:tcW w:w="8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Sales and other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938,534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697,851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1,861,170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w w:val="97"/>
              </w:rPr>
              <w:t>1,401,400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Operating expenses and cost of goods sold</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833,317</w:t>
            </w:r>
          </w:p>
        </w:tc>
        <w:tc>
          <w:tcPr>
            <w:tcW w:w="840" w:type="dxa"/>
            <w:vAlign w:val="bottom"/>
          </w:tcPr>
          <w:p>
            <w:pPr>
              <w:spacing w:after="0"/>
              <w:rPr>
                <w:sz w:val="17"/>
                <w:szCs w:val="17"/>
                <w:color w:val="auto"/>
              </w:rPr>
            </w:pPr>
          </w:p>
        </w:tc>
        <w:tc>
          <w:tcPr>
            <w:tcW w:w="78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8"/>
              </w:rPr>
              <w:t>619,313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7"/>
              </w:rPr>
              <w:t>1,666,239</w:t>
            </w:r>
          </w:p>
        </w:tc>
        <w:tc>
          <w:tcPr>
            <w:tcW w:w="86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7"/>
              </w:rPr>
              <w:t>1,249,418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74,441</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51,601</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146,441</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110,214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w:t>
            </w:r>
          </w:p>
        </w:tc>
        <w:tc>
          <w:tcPr>
            <w:tcW w:w="840" w:type="dxa"/>
            <w:vAlign w:val="bottom"/>
          </w:tcPr>
          <w:p>
            <w:pPr>
              <w:spacing w:after="0"/>
              <w:rPr>
                <w:sz w:val="17"/>
                <w:szCs w:val="17"/>
                <w:color w:val="auto"/>
              </w:rPr>
            </w:pPr>
          </w:p>
        </w:tc>
        <w:tc>
          <w:tcPr>
            <w:tcW w:w="7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4,500</w:t>
            </w:r>
          </w:p>
        </w:tc>
        <w:tc>
          <w:tcPr>
            <w:tcW w:w="86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2,544</w:t>
            </w:r>
          </w:p>
        </w:tc>
        <w:tc>
          <w:tcPr>
            <w:tcW w:w="8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1,331</w:t>
            </w:r>
          </w:p>
        </w:tc>
        <w:tc>
          <w:tcPr>
            <w:tcW w:w="1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4,925</w:t>
            </w:r>
          </w:p>
        </w:tc>
        <w:tc>
          <w:tcPr>
            <w:tcW w:w="8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914,802</w:t>
            </w: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672,245</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1,822,105</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7"/>
              </w:rPr>
              <w:t>1,362,303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23,732</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25,606</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39,065</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39,097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3,858</w:t>
            </w: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109</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8,590</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19,874</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25,497</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30,475</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38,855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8,802</w:t>
            </w: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8,775</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13,039</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11,072</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16,722</w:t>
            </w:r>
          </w:p>
        </w:tc>
        <w:tc>
          <w:tcPr>
            <w:tcW w:w="8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17,436</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0.22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0.34</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Weighted-average common and common equivalent</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shares outstanding</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50,424</w:t>
            </w:r>
          </w:p>
        </w:tc>
        <w:tc>
          <w:tcPr>
            <w:tcW w:w="840" w:type="dxa"/>
            <w:vAlign w:val="bottom"/>
          </w:tcPr>
          <w:p>
            <w:pPr>
              <w:spacing w:after="0"/>
              <w:rPr>
                <w:sz w:val="17"/>
                <w:szCs w:val="17"/>
                <w:color w:val="auto"/>
              </w:rPr>
            </w:pPr>
          </w:p>
        </w:tc>
        <w:tc>
          <w:tcPr>
            <w:tcW w:w="7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49,385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50,268</w:t>
            </w:r>
          </w:p>
        </w:tc>
        <w:tc>
          <w:tcPr>
            <w:tcW w:w="860" w:type="dxa"/>
            <w:vAlign w:val="bottom"/>
          </w:tcPr>
          <w:p>
            <w:pPr>
              <w:spacing w:after="0"/>
              <w:rPr>
                <w:sz w:val="17"/>
                <w:szCs w:val="17"/>
                <w:color w:val="auto"/>
              </w:rPr>
            </w:pPr>
          </w:p>
        </w:tc>
        <w:tc>
          <w:tcPr>
            <w:tcW w:w="10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49,075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51,299</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50,754</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51,105</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50,245</w:t>
            </w:r>
          </w:p>
        </w:tc>
        <w:tc>
          <w:tcPr>
            <w:tcW w:w="0" w:type="dxa"/>
            <w:vAlign w:val="bottom"/>
          </w:tcPr>
          <w:p>
            <w:pPr>
              <w:spacing w:after="0"/>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0.125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8600" w:type="dxa"/>
            <w:vAlign w:val="bottom"/>
            <w:gridSpan w:val="8"/>
          </w:tcPr>
          <w:p>
            <w:pPr>
              <w:ind w:left="3060"/>
              <w:spacing w:after="0"/>
              <w:rPr>
                <w:sz w:val="20"/>
                <w:szCs w:val="20"/>
                <w:color w:val="auto"/>
              </w:rPr>
            </w:pPr>
            <w:r>
              <w:rPr>
                <w:rFonts w:ascii="Arial" w:cs="Arial" w:eastAsia="Arial" w:hAnsi="Arial"/>
                <w:sz w:val="18"/>
                <w:szCs w:val="18"/>
                <w:color w:val="auto"/>
              </w:rPr>
              <w:t>See accompanying notes of the consolidated financial statements.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32"/>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April 30,</w:t>
            </w:r>
          </w:p>
        </w:tc>
        <w:tc>
          <w:tcPr>
            <w:tcW w:w="1020" w:type="dxa"/>
            <w:vAlign w:val="bottom"/>
            <w:tcBorders>
              <w:bottom w:val="single" w:sz="8" w:color="auto"/>
            </w:tcBorders>
          </w:tcPr>
          <w:p>
            <w:pPr>
              <w:spacing w:after="0"/>
              <w:rPr>
                <w:sz w:val="15"/>
                <w:szCs w:val="15"/>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3"/>
                <w:szCs w:val="13"/>
                <w:color w:val="auto"/>
              </w:rPr>
            </w:pPr>
          </w:p>
        </w:tc>
        <w:tc>
          <w:tcPr>
            <w:tcW w:w="84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2008</w:t>
            </w:r>
          </w:p>
        </w:tc>
        <w:tc>
          <w:tcPr>
            <w:tcW w:w="1020" w:type="dxa"/>
            <w:vAlign w:val="bottom"/>
          </w:tcPr>
          <w:p>
            <w:pPr>
              <w:spacing w:after="0"/>
              <w:rPr>
                <w:sz w:val="13"/>
                <w:szCs w:val="13"/>
                <w:color w:val="auto"/>
              </w:rPr>
            </w:pPr>
          </w:p>
        </w:tc>
        <w:tc>
          <w:tcPr>
            <w:tcW w:w="1020" w:type="dxa"/>
            <w:vAlign w:val="bottom"/>
          </w:tcPr>
          <w:p>
            <w:pPr>
              <w:jc w:val="right"/>
              <w:ind w:right="410"/>
              <w:spacing w:after="0" w:line="155" w:lineRule="exact"/>
              <w:rPr>
                <w:sz w:val="20"/>
                <w:szCs w:val="20"/>
                <w:color w:val="auto"/>
              </w:rPr>
            </w:pPr>
            <w:r>
              <w:rPr>
                <w:rFonts w:ascii="Arial" w:cs="Arial" w:eastAsia="Arial" w:hAnsi="Arial"/>
                <w:sz w:val="14"/>
                <w:szCs w:val="14"/>
                <w:b w:val="1"/>
                <w:bCs w:val="1"/>
                <w:color w:val="auto"/>
              </w:rPr>
              <w:t>2007</w:t>
            </w:r>
          </w:p>
        </w:tc>
      </w:tr>
      <w:tr>
        <w:trPr>
          <w:trHeight w:val="169"/>
        </w:trPr>
        <w:tc>
          <w:tcPr>
            <w:tcW w:w="20" w:type="dxa"/>
            <w:vAlign w:val="bottom"/>
          </w:tcPr>
          <w:p>
            <w:pPr>
              <w:spacing w:after="0"/>
              <w:rPr>
                <w:sz w:val="14"/>
                <w:szCs w:val="14"/>
                <w:color w:val="auto"/>
              </w:rPr>
            </w:pPr>
          </w:p>
        </w:tc>
        <w:tc>
          <w:tcPr>
            <w:tcW w:w="8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color w:val="auto"/>
              </w:rPr>
              <w:t>(Unaudited)</w:t>
            </w:r>
          </w:p>
        </w:tc>
        <w:tc>
          <w:tcPr>
            <w:tcW w:w="1020" w:type="dxa"/>
            <w:vAlign w:val="bottom"/>
            <w:tcBorders>
              <w:top w:val="single" w:sz="8" w:color="auto"/>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17,436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25,426</w:t>
            </w:r>
          </w:p>
        </w:tc>
      </w:tr>
      <w:tr>
        <w:trPr>
          <w:trHeight w:val="180"/>
        </w:trPr>
        <w:tc>
          <w:tcPr>
            <w:tcW w:w="20" w:type="dxa"/>
            <w:vAlign w:val="bottom"/>
          </w:tcPr>
          <w:p>
            <w:pPr>
              <w:spacing w:after="0"/>
              <w:rPr>
                <w:sz w:val="15"/>
                <w:szCs w:val="15"/>
                <w:color w:val="auto"/>
              </w:rPr>
            </w:pPr>
          </w:p>
        </w:tc>
        <w:tc>
          <w:tcPr>
            <w:tcW w:w="822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Adjustments to reconcile net income to net cash provided by (used in) operating</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12,839</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9,898</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3,391</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5,810</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1,782</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4,500</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Discount accretion on insurance claims</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1,000</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Changes in assets and liabilities, net of effects of acquisitions: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(32,925)</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7,387</w:t>
            </w:r>
          </w:p>
        </w:tc>
      </w:tr>
      <w:tr>
        <w:trPr>
          <w:trHeight w:val="203"/>
        </w:trPr>
        <w:tc>
          <w:tcPr>
            <w:tcW w:w="20" w:type="dxa"/>
            <w:vAlign w:val="bottom"/>
          </w:tcPr>
          <w:p>
            <w:pPr>
              <w:spacing w:after="0"/>
              <w:rPr>
                <w:sz w:val="17"/>
                <w:szCs w:val="17"/>
                <w:color w:val="auto"/>
              </w:rPr>
            </w:pPr>
          </w:p>
        </w:tc>
        <w:tc>
          <w:tcPr>
            <w:tcW w:w="822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1,233</w:t>
            </w:r>
          </w:p>
        </w:tc>
        <w:tc>
          <w:tcPr>
            <w:tcW w:w="102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(520)</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2,046</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(1,851)</w:t>
            </w:r>
          </w:p>
        </w:tc>
      </w:tr>
      <w:tr>
        <w:trPr>
          <w:trHeight w:val="203"/>
        </w:trPr>
        <w:tc>
          <w:tcPr>
            <w:tcW w:w="20" w:type="dxa"/>
            <w:vAlign w:val="bottom"/>
          </w:tcPr>
          <w:p>
            <w:pPr>
              <w:spacing w:after="0"/>
              <w:rPr>
                <w:sz w:val="17"/>
                <w:szCs w:val="17"/>
                <w:color w:val="auto"/>
              </w:rPr>
            </w:pPr>
          </w:p>
        </w:tc>
        <w:tc>
          <w:tcPr>
            <w:tcW w:w="822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(2,003)</w:t>
            </w:r>
          </w:p>
        </w:tc>
        <w:tc>
          <w:tcPr>
            <w:tcW w:w="102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(20,553)</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(310)</w:t>
            </w:r>
          </w:p>
        </w:tc>
      </w:tr>
      <w:tr>
        <w:trPr>
          <w:trHeight w:val="203"/>
        </w:trPr>
        <w:tc>
          <w:tcPr>
            <w:tcW w:w="20" w:type="dxa"/>
            <w:vAlign w:val="bottom"/>
          </w:tcPr>
          <w:p>
            <w:pPr>
              <w:spacing w:after="0"/>
              <w:rPr>
                <w:sz w:val="17"/>
                <w:szCs w:val="17"/>
                <w:color w:val="auto"/>
              </w:rPr>
            </w:pPr>
          </w:p>
        </w:tc>
        <w:tc>
          <w:tcPr>
            <w:tcW w:w="8220" w:type="dxa"/>
            <w:vAlign w:val="bottom"/>
          </w:tcPr>
          <w:p>
            <w:pPr>
              <w:ind w:left="400"/>
              <w:spacing w:after="0" w:line="202" w:lineRule="exact"/>
              <w:rPr>
                <w:sz w:val="20"/>
                <w:szCs w:val="20"/>
                <w:color w:val="auto"/>
              </w:rPr>
            </w:pPr>
            <w:r>
              <w:rPr>
                <w:rFonts w:ascii="Arial" w:cs="Arial" w:eastAsia="Arial" w:hAnsi="Arial"/>
                <w:sz w:val="18"/>
                <w:szCs w:val="18"/>
                <w:color w:val="auto"/>
              </w:rPr>
              <w:t>Other assets and long-term receivables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102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(3,970)</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2,239</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(35,503)</w:t>
            </w:r>
          </w:p>
        </w:tc>
      </w:tr>
      <w:tr>
        <w:trPr>
          <w:trHeight w:val="203"/>
        </w:trPr>
        <w:tc>
          <w:tcPr>
            <w:tcW w:w="20" w:type="dxa"/>
            <w:vAlign w:val="bottom"/>
          </w:tcPr>
          <w:p>
            <w:pPr>
              <w:spacing w:after="0"/>
              <w:rPr>
                <w:sz w:val="17"/>
                <w:szCs w:val="17"/>
                <w:color w:val="auto"/>
              </w:rPr>
            </w:pPr>
          </w:p>
        </w:tc>
        <w:tc>
          <w:tcPr>
            <w:tcW w:w="8220" w:type="dxa"/>
            <w:vAlign w:val="bottom"/>
          </w:tcPr>
          <w:p>
            <w:pPr>
              <w:ind w:left="400"/>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(1,441)</w:t>
            </w:r>
          </w:p>
        </w:tc>
        <w:tc>
          <w:tcPr>
            <w:tcW w:w="102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(378)</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(2,836)</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1,452</w:t>
            </w:r>
          </w:p>
        </w:tc>
      </w:tr>
      <w:tr>
        <w:trPr>
          <w:trHeight w:val="210"/>
        </w:trPr>
        <w:tc>
          <w:tcPr>
            <w:tcW w:w="20" w:type="dxa"/>
            <w:vAlign w:val="bottom"/>
          </w:tcPr>
          <w:p>
            <w:pPr>
              <w:spacing w:after="0"/>
              <w:rPr>
                <w:sz w:val="18"/>
                <w:szCs w:val="18"/>
                <w:color w:val="auto"/>
              </w:rPr>
            </w:pPr>
          </w:p>
        </w:tc>
        <w:tc>
          <w:tcPr>
            <w:tcW w:w="822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Trade accounts payable and other accrued liabilities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12,679</w:t>
            </w: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(15,858)</w:t>
            </w: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20,957</w:t>
            </w:r>
          </w:p>
        </w:tc>
        <w:tc>
          <w:tcPr>
            <w:tcW w:w="10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(28,965)</w:t>
            </w: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(17,810)</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(7,103)</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1,289</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2,088</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businesses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(419,940)</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(10,086)</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Investment in auction rate securities</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5"/>
              </w:rPr>
              <w:t>(296,750)</w:t>
            </w: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auction rate securities</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296,750</w:t>
            </w:r>
          </w:p>
        </w:tc>
      </w:tr>
      <w:tr>
        <w:trPr>
          <w:trHeight w:val="217"/>
        </w:trPr>
        <w:tc>
          <w:tcPr>
            <w:tcW w:w="8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(436,461)</w:t>
            </w:r>
          </w:p>
        </w:tc>
        <w:tc>
          <w:tcPr>
            <w:tcW w:w="10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(15,101)</w:t>
            </w:r>
          </w:p>
        </w:tc>
      </w:tr>
      <w:tr>
        <w:trPr>
          <w:trHeight w:val="203"/>
        </w:trPr>
        <w:tc>
          <w:tcPr>
            <w:tcW w:w="20" w:type="dxa"/>
            <w:vAlign w:val="bottom"/>
          </w:tcPr>
          <w:p>
            <w:pPr>
              <w:spacing w:after="0"/>
              <w:rPr>
                <w:sz w:val="17"/>
                <w:szCs w:val="17"/>
                <w:color w:val="auto"/>
              </w:rPr>
            </w:pPr>
          </w:p>
        </w:tc>
        <w:tc>
          <w:tcPr>
            <w:tcW w:w="82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Common stock issued</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7,788</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20,568</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(12,571)</w:t>
            </w: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(11,818)</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Borrowings from line of credit</w:t>
            </w:r>
          </w:p>
        </w:tc>
        <w:tc>
          <w:tcPr>
            <w:tcW w:w="3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585,000</w:t>
            </w:r>
          </w:p>
        </w:tc>
        <w:tc>
          <w:tcPr>
            <w:tcW w:w="1020" w:type="dxa"/>
            <w:vAlign w:val="bottom"/>
          </w:tcPr>
          <w:p>
            <w:pPr>
              <w:spacing w:after="0"/>
              <w:rPr>
                <w:sz w:val="17"/>
                <w:szCs w:val="17"/>
                <w:color w:val="auto"/>
              </w:rPr>
            </w:pP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Repayment of borrowings from line of credit</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(283,500)</w:t>
            </w:r>
          </w:p>
        </w:tc>
        <w:tc>
          <w:tcPr>
            <w:tcW w:w="10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17"/>
        </w:trPr>
        <w:tc>
          <w:tcPr>
            <w:tcW w:w="82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296,717</w:t>
            </w:r>
          </w:p>
        </w:tc>
        <w:tc>
          <w:tcPr>
            <w:tcW w:w="102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8,750</w:t>
            </w:r>
          </w:p>
        </w:tc>
      </w:tr>
      <w:tr>
        <w:trPr>
          <w:trHeight w:val="203"/>
        </w:trPr>
        <w:tc>
          <w:tcPr>
            <w:tcW w:w="20" w:type="dxa"/>
            <w:vAlign w:val="bottom"/>
          </w:tcPr>
          <w:p>
            <w:pPr>
              <w:spacing w:after="0"/>
              <w:rPr>
                <w:sz w:val="17"/>
                <w:szCs w:val="17"/>
                <w:color w:val="auto"/>
              </w:rPr>
            </w:pPr>
          </w:p>
        </w:tc>
        <w:tc>
          <w:tcPr>
            <w:tcW w:w="82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(118,787)</w:t>
            </w:r>
          </w:p>
        </w:tc>
        <w:tc>
          <w:tcPr>
            <w:tcW w:w="10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(35,316)</w:t>
            </w:r>
          </w:p>
        </w:tc>
      </w:tr>
      <w:tr>
        <w:trPr>
          <w:trHeight w:val="210"/>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136,192</w:t>
            </w: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134,001</w:t>
            </w: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17,405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98,685</w:t>
            </w:r>
          </w:p>
        </w:tc>
      </w:tr>
      <w:tr>
        <w:trPr>
          <w:trHeight w:val="20"/>
        </w:trPr>
        <w:tc>
          <w:tcPr>
            <w:tcW w:w="8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Supplemental Data:</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8,410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47,120</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Tax benefit from exercise of options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683</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3,663</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received from exercise of options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7,105</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16,905</w:t>
            </w: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Interest paid on line of credit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7,161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Common stock issued for business acquired</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621</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491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8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6" w:lineRule="exact"/>
        <w:rPr>
          <w:sz w:val="20"/>
          <w:szCs w:val="20"/>
          <w:color w:val="auto"/>
        </w:rPr>
      </w:pPr>
    </w:p>
    <w:p>
      <w:pPr>
        <w:ind w:right="120" w:firstLine="247"/>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by ABM Industries Incorporated (ABM, and together with its subsidiaries, the Company), in accordance with accounting principles generally accepted in the United States of America and pursuant to the rules and regulations of the Securities and Exchange Commission (the SEC or the Commission) and, in the opinion of management, include all adjustments (all of which were of a normal and recurring nature) necessary for a fair statement of the information for each period contained therein.</w:t>
      </w:r>
    </w:p>
    <w:p>
      <w:pPr>
        <w:spacing w:after="0" w:line="95" w:lineRule="exact"/>
        <w:rPr>
          <w:sz w:val="20"/>
          <w:szCs w:val="20"/>
          <w:color w:val="auto"/>
        </w:rPr>
      </w:pPr>
    </w:p>
    <w:p>
      <w:pPr>
        <w:ind w:right="140" w:firstLine="250"/>
        <w:spacing w:after="0"/>
        <w:rPr>
          <w:sz w:val="20"/>
          <w:szCs w:val="20"/>
          <w:color w:val="auto"/>
        </w:rPr>
      </w:pPr>
      <w:r>
        <w:rPr>
          <w:rFonts w:ascii="Arial" w:cs="Arial" w:eastAsia="Arial" w:hAnsi="Arial"/>
          <w:sz w:val="18"/>
          <w:szCs w:val="18"/>
          <w:color w:val="auto"/>
        </w:rPr>
        <w:t>Certain reclassifications have been made to prior periods to conform to the current period presentation. Beginning in fiscal 2008, interest expense is no longer included in operating profit due to the significance of the increase in interest expense attributable to increased borrowing against the Company’s line of credit resulting from the acquisition of OneSource Services, Inc. (OneSource) on November 14, 2007.</w:t>
      </w:r>
    </w:p>
    <w:p>
      <w:pPr>
        <w:spacing w:after="0" w:line="95" w:lineRule="exact"/>
        <w:rPr>
          <w:sz w:val="20"/>
          <w:szCs w:val="20"/>
          <w:color w:val="auto"/>
        </w:rPr>
      </w:pPr>
    </w:p>
    <w:p>
      <w:pPr>
        <w:ind w:firstLine="247"/>
        <w:spacing w:after="0" w:line="239"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revenues and expenses during the reporting period. These estimates are based on information available as of the date of these financial statements. Actual results could differ materially from those estimates.</w:t>
      </w:r>
    </w:p>
    <w:p>
      <w:pPr>
        <w:spacing w:after="0" w:line="94" w:lineRule="exact"/>
        <w:rPr>
          <w:sz w:val="20"/>
          <w:szCs w:val="20"/>
          <w:color w:val="auto"/>
        </w:rPr>
      </w:pPr>
    </w:p>
    <w:p>
      <w:pPr>
        <w:ind w:right="140" w:firstLine="247"/>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Management’s Discussion and Analysis of Financial Condition and Results of Operations and the consolidated financial statements and the notes thereto included in the Company’s Annual Report on Form 10-K for the fiscal year ended October 31, 2007. All references to years are to the Company’s fiscal year, which ends on October 31, and all references to the three- and six-month periods are to the three- and six-month periods, which end on April 30.</w:t>
      </w:r>
    </w:p>
    <w:p>
      <w:pPr>
        <w:spacing w:after="0" w:line="94" w:lineRule="exact"/>
        <w:rPr>
          <w:sz w:val="20"/>
          <w:szCs w:val="20"/>
          <w:color w:val="auto"/>
        </w:rPr>
      </w:pPr>
    </w:p>
    <w:p>
      <w:pPr>
        <w:ind w:right="60" w:firstLine="250"/>
        <w:spacing w:after="0"/>
        <w:rPr>
          <w:sz w:val="20"/>
          <w:szCs w:val="20"/>
          <w:color w:val="auto"/>
        </w:rPr>
      </w:pPr>
      <w:r>
        <w:rPr>
          <w:rFonts w:ascii="Arial" w:cs="Arial" w:eastAsia="Arial" w:hAnsi="Arial"/>
          <w:sz w:val="18"/>
          <w:szCs w:val="18"/>
          <w:color w:val="auto"/>
        </w:rPr>
        <w:t>During May 2008, the Company changed the timing of its annual goodwill impairment testing from the end of the fourth quarter (October 31) to the beginning of the fourth quarter (August 1). This change allows the Company to complete its annual goodwill impairment testing in advance of its year-end closing. Accordingly, management believes that this accounting change is preferable under the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Adoption of New Accounting Standards</w:t>
      </w:r>
    </w:p>
    <w:p>
      <w:pPr>
        <w:spacing w:after="0" w:line="126"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Taxes” (FIN 48). FIN 48 prescribes a consistent recognition threshold and measurement standard, as well as clear criteria for subsequently recognizing, derecognizing, classifying and measuring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 of basic and diluted net income per common share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612"/>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April 30,</w:t>
            </w:r>
          </w:p>
        </w:tc>
        <w:tc>
          <w:tcPr>
            <w:tcW w:w="7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April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c>
          <w:tcPr>
            <w:tcW w:w="920" w:type="dxa"/>
            <w:vAlign w:val="bottom"/>
          </w:tcPr>
          <w:p>
            <w:pPr>
              <w:spacing w:after="0"/>
              <w:rPr>
                <w:sz w:val="12"/>
                <w:szCs w:val="12"/>
                <w:color w:val="auto"/>
              </w:rPr>
            </w:pPr>
          </w:p>
        </w:tc>
        <w:tc>
          <w:tcPr>
            <w:tcW w:w="78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c>
          <w:tcPr>
            <w:tcW w:w="920" w:type="dxa"/>
            <w:vAlign w:val="bottom"/>
          </w:tcPr>
          <w:p>
            <w:pPr>
              <w:spacing w:after="0"/>
              <w:rPr>
                <w:sz w:val="12"/>
                <w:szCs w:val="12"/>
                <w:color w:val="auto"/>
              </w:rPr>
            </w:pPr>
          </w:p>
        </w:tc>
        <w:tc>
          <w:tcPr>
            <w:tcW w:w="80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11,072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16,722</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17,436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7"/>
              </w:rPr>
              <w:t>25,426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30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50,424</w:t>
            </w:r>
          </w:p>
        </w:tc>
        <w:tc>
          <w:tcPr>
            <w:tcW w:w="92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49,385</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50,268</w:t>
            </w:r>
          </w:p>
        </w:tc>
        <w:tc>
          <w:tcPr>
            <w:tcW w:w="92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49,075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9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1,289</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654</w:t>
            </w:r>
          </w:p>
        </w:tc>
        <w:tc>
          <w:tcPr>
            <w:tcW w:w="92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120</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Performance shares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w:t>
            </w:r>
          </w:p>
        </w:tc>
        <w:tc>
          <w:tcPr>
            <w:tcW w:w="9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63</w:t>
            </w: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shares outstanding — Diluted</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51,299</w:t>
            </w:r>
          </w:p>
        </w:tc>
        <w:tc>
          <w:tcPr>
            <w:tcW w:w="9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50,754</w:t>
            </w: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51,105</w:t>
            </w:r>
          </w:p>
        </w:tc>
        <w:tc>
          <w:tcPr>
            <w:tcW w:w="9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7"/>
              </w:rPr>
              <w:t>50,245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0.22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0.33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0.34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diluted net income per common share excludes certain stock options and restricted stock units since the effect of including these stock options and restricted stock units would have been anti-dilutive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April 30,</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April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800" w:type="dxa"/>
            <w:vAlign w:val="bottom"/>
          </w:tcPr>
          <w:p>
            <w:pPr>
              <w:jc w:val="right"/>
              <w:ind w:right="1101"/>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jc w:val="center"/>
              <w:ind w:right="196"/>
              <w:spacing w:after="0" w:line="142" w:lineRule="exact"/>
              <w:rPr>
                <w:sz w:val="20"/>
                <w:szCs w:val="20"/>
                <w:color w:val="auto"/>
              </w:rPr>
            </w:pPr>
            <w:r>
              <w:rPr>
                <w:rFonts w:ascii="Arial" w:cs="Arial" w:eastAsia="Arial" w:hAnsi="Arial"/>
                <w:sz w:val="14"/>
                <w:szCs w:val="14"/>
                <w:color w:val="auto"/>
                <w:w w:val="89"/>
              </w:rPr>
              <w:t>2007</w:t>
            </w:r>
          </w:p>
        </w:tc>
        <w:tc>
          <w:tcPr>
            <w:tcW w:w="540" w:type="dxa"/>
            <w:vAlign w:val="bottom"/>
          </w:tcPr>
          <w:p>
            <w:pPr>
              <w:spacing w:after="0"/>
              <w:rPr>
                <w:sz w:val="12"/>
                <w:szCs w:val="12"/>
                <w:color w:val="auto"/>
              </w:rPr>
            </w:pPr>
          </w:p>
        </w:tc>
        <w:tc>
          <w:tcPr>
            <w:tcW w:w="1860" w:type="dxa"/>
            <w:vAlign w:val="bottom"/>
          </w:tcPr>
          <w:p>
            <w:pPr>
              <w:jc w:val="right"/>
              <w:ind w:right="1128"/>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jc w:val="right"/>
              <w:ind w:right="236"/>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Stock options</w:t>
            </w:r>
          </w:p>
        </w:tc>
        <w:tc>
          <w:tcPr>
            <w:tcW w:w="1800" w:type="dxa"/>
            <w:vAlign w:val="bottom"/>
            <w:tcBorders>
              <w:top w:val="single" w:sz="8" w:color="auto"/>
            </w:tcBorders>
          </w:tcPr>
          <w:p>
            <w:pPr>
              <w:jc w:val="right"/>
              <w:ind w:right="1101"/>
              <w:spacing w:after="0"/>
              <w:rPr>
                <w:sz w:val="20"/>
                <w:szCs w:val="20"/>
                <w:color w:val="auto"/>
              </w:rPr>
            </w:pPr>
            <w:r>
              <w:rPr>
                <w:rFonts w:ascii="Arial" w:cs="Arial" w:eastAsia="Arial" w:hAnsi="Arial"/>
                <w:sz w:val="18"/>
                <w:szCs w:val="18"/>
                <w:color w:val="auto"/>
              </w:rPr>
              <w:t>845</w:t>
            </w:r>
          </w:p>
        </w:tc>
        <w:tc>
          <w:tcPr>
            <w:tcW w:w="560" w:type="dxa"/>
            <w:vAlign w:val="bottom"/>
            <w:tcBorders>
              <w:top w:val="single" w:sz="8" w:color="auto"/>
            </w:tcBorders>
          </w:tcPr>
          <w:p>
            <w:pPr>
              <w:jc w:val="center"/>
              <w:ind w:right="176"/>
              <w:spacing w:after="0"/>
              <w:rPr>
                <w:sz w:val="20"/>
                <w:szCs w:val="20"/>
                <w:color w:val="auto"/>
              </w:rPr>
            </w:pPr>
            <w:r>
              <w:rPr>
                <w:rFonts w:ascii="Arial" w:cs="Arial" w:eastAsia="Arial" w:hAnsi="Arial"/>
                <w:sz w:val="18"/>
                <w:szCs w:val="18"/>
                <w:color w:val="auto"/>
                <w:w w:val="89"/>
              </w:rPr>
              <w:t>93</w:t>
            </w:r>
          </w:p>
        </w:tc>
        <w:tc>
          <w:tcPr>
            <w:tcW w:w="2400" w:type="dxa"/>
            <w:vAlign w:val="bottom"/>
            <w:tcBorders>
              <w:top w:val="single" w:sz="8" w:color="auto"/>
            </w:tcBorders>
            <w:gridSpan w:val="2"/>
          </w:tcPr>
          <w:p>
            <w:pPr>
              <w:jc w:val="right"/>
              <w:ind w:right="1068"/>
              <w:spacing w:after="0"/>
              <w:rPr>
                <w:sz w:val="20"/>
                <w:szCs w:val="20"/>
                <w:color w:val="auto"/>
              </w:rPr>
            </w:pPr>
            <w:r>
              <w:rPr>
                <w:rFonts w:ascii="Arial" w:cs="Arial" w:eastAsia="Arial" w:hAnsi="Arial"/>
                <w:sz w:val="18"/>
                <w:szCs w:val="18"/>
                <w:color w:val="auto"/>
              </w:rPr>
              <w:t>1,006</w:t>
            </w:r>
          </w:p>
        </w:tc>
        <w:tc>
          <w:tcPr>
            <w:tcW w:w="66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800" w:type="dxa"/>
            <w:vAlign w:val="bottom"/>
          </w:tcPr>
          <w:p>
            <w:pPr>
              <w:jc w:val="right"/>
              <w:ind w:right="1101"/>
              <w:spacing w:after="0"/>
              <w:rPr>
                <w:sz w:val="20"/>
                <w:szCs w:val="20"/>
                <w:color w:val="auto"/>
              </w:rPr>
            </w:pPr>
            <w:r>
              <w:rPr>
                <w:rFonts w:ascii="Arial" w:cs="Arial" w:eastAsia="Arial" w:hAnsi="Arial"/>
                <w:sz w:val="18"/>
                <w:szCs w:val="18"/>
                <w:color w:val="auto"/>
              </w:rPr>
              <w:t>30</w:t>
            </w:r>
          </w:p>
        </w:tc>
        <w:tc>
          <w:tcPr>
            <w:tcW w:w="560" w:type="dxa"/>
            <w:vAlign w:val="bottom"/>
          </w:tcPr>
          <w:p>
            <w:pPr>
              <w:jc w:val="center"/>
              <w:ind w:right="176"/>
              <w:spacing w:after="0"/>
              <w:rPr>
                <w:sz w:val="20"/>
                <w:szCs w:val="20"/>
                <w:color w:val="auto"/>
              </w:rPr>
            </w:pPr>
            <w:r>
              <w:rPr>
                <w:rFonts w:ascii="Arial" w:cs="Arial" w:eastAsia="Arial" w:hAnsi="Arial"/>
                <w:sz w:val="18"/>
                <w:szCs w:val="18"/>
                <w:color w:val="auto"/>
                <w:w w:val="89"/>
              </w:rPr>
              <w:t>90</w:t>
            </w:r>
          </w:p>
        </w:tc>
        <w:tc>
          <w:tcPr>
            <w:tcW w:w="2400" w:type="dxa"/>
            <w:vAlign w:val="bottom"/>
            <w:gridSpan w:val="2"/>
          </w:tcPr>
          <w:p>
            <w:pPr>
              <w:jc w:val="right"/>
              <w:ind w:right="1068"/>
              <w:spacing w:after="0"/>
              <w:rPr>
                <w:sz w:val="20"/>
                <w:szCs w:val="20"/>
                <w:color w:val="auto"/>
              </w:rPr>
            </w:pPr>
            <w:r>
              <w:rPr>
                <w:rFonts w:ascii="Arial" w:cs="Arial" w:eastAsia="Arial" w:hAnsi="Arial"/>
                <w:sz w:val="18"/>
                <w:szCs w:val="18"/>
                <w:color w:val="auto"/>
              </w:rPr>
              <w:t>168</w:t>
            </w:r>
          </w:p>
        </w:tc>
        <w:tc>
          <w:tcPr>
            <w:tcW w:w="660" w:type="dxa"/>
            <w:vAlign w:val="bottom"/>
          </w:tcPr>
          <w:p>
            <w:pPr>
              <w:jc w:val="right"/>
              <w:ind w:right="23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 Plans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Share-based compensation expense was $2.3 million and $2.8 million for the three months ended April 30, 2008 and 2007, respectively, and $3.4 million and $5.8 million for the six months ended April 30, 2008 and 2007, respectively.</w:t>
      </w:r>
    </w:p>
    <w:p>
      <w:pPr>
        <w:spacing w:after="0" w:line="62"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Share-based compensation expense included $1.9 million of additional expense attributable to the accelerated vesting of stock options for 452,566 shares during the three months ended April 30, 2007, under the Price-Vested Performance Stock Option Plan and $3.9 million for 934,204 shares during the six months ended April 30, 2007, in each case as a result of ABM’s stock price achieving certain target prices in a specified period.</w:t>
      </w:r>
    </w:p>
    <w:p>
      <w:pPr>
        <w:spacing w:after="0" w:line="5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estimates forfeiture rates based on historical data and adjusts the rates annually or as needed. The adjustment of the forfeiture rate may result in a cumulative adjustment in any period the forfeiture rate estimate is changed. In the three months ended April 30, 2008, the Company adjusted its forfeiture rate to align the estimate with expected forfeitures, which resulted in additional share-based compensation expense of $0.4 million for the three and six months ended April 30,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Parking Revenue Presentation</w:t>
      </w:r>
    </w:p>
    <w:p>
      <w:pPr>
        <w:spacing w:after="0" w:line="121"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in accordance with Emerging Issues Task Force (EITF) Issue No. 01-14, “Income Statement Characterization of Reimbursements Received for Out-of-Pocket Expenses Incurred.” Parking sales related solely to the reimbursement of expenses totaled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$70.1 million and $68.0 million for the three months ended April 30, 2008 and 2007, respectively, and $140.9 million and $139.2 million for the six months ended April 30,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Insurance</w:t>
      </w:r>
    </w:p>
    <w:p>
      <w:pPr>
        <w:spacing w:after="0" w:line="121"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In connection with the purchase accounting for the OneSource acquisition, OneSource insurance claims liabilities were recorded at their fair values at the purchase date of November 14, 2007, which is based on the present value of the expected future cash flows. These discounted liabilities are being accreted to interest expense as the recorded values are brought to an undiscounted amount consistent with the accounting for the Company’s other insurance claims liabilities. The method of accretion approximates the effective interest yield method using the rate a market participant would use in determining the current fair value of the insurance claims liabilities. Included in interest expense in the three and six months ended April 30, 2008 was $0.5 million and $1.0 million, respectively, of interest accretion related to OneSource insurance claims liabilities. Any future changes in assumptions will be recognized prospectively.</w:t>
      </w:r>
    </w:p>
    <w:p>
      <w:pPr>
        <w:spacing w:after="0" w:line="5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Evaluations covering the Company’s prior years’ workers’ compensation, general liability and auto liability claims, excluding claims acquired from OneSource, as of January 31, 2008 resulted in a $7.2 million reduction of the Company’s self-insurance reserves recorded in the three months ended April 30, 2008. Comparable January 31, 2007 evaluations resulted in a $4.2 million reduction recorded in the three months ended January 31, 2007.</w:t>
      </w:r>
    </w:p>
    <w:p>
      <w:pPr>
        <w:spacing w:after="0" w:line="57"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Company includes in its reported self-insurance liabilities the liabilities in excess of its self-insurance retention limits and records corresponding receivables for the amounts to be recovered from the excess insurance providers. The total estimated liability for claims incurred at April 30, 2008 and October 31, 2007 was $351.0 million and $261.0 million, respectively.</w:t>
      </w:r>
    </w:p>
    <w:p>
      <w:pPr>
        <w:spacing w:after="0" w:line="73"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connection with certain self-insurance programs, the Company had standby letters of credit, insurance deposits and surety bonds supporting estimated unpaid liabilities. At April 30, 2008 and October 31, 2007, the Company had $112.2 million and $102.3 million in standby letters of credit, $42.5 million and $0.0 million in insurance deposits, and $124.9 million and $62.8 million in surety bonds, respectively, supporting estimated unpaid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12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November 14, 2007, the Company acquired OneSource, a janitorial facility services company, formed under the laws of Belize, with US operations headquartered in Atlanta, Georgia. OneSource was a provider of janitorial and related services, including landscaping, commercial, industrial, institutional and retail accounts in the United States and Puerto Rico, as well as in British Columbia, Canada. The consideration was $365.0 million, which was paid by a combination of current cash and borrowings from the Company’s line of credit. In addition, following the closing, the Company paid in full the $21.5 million outstanding under OneSource’s then-existing line of credit. The Company also incurred $4.0 million in direct acquisition costs. The OneSource acquisition was accounted for using the purchase method of accounting.</w:t>
      </w:r>
    </w:p>
    <w:p>
      <w:pPr>
        <w:spacing w:after="0" w:line="85"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Under the purchase method of accounting, the purchase price of OneSource was preliminarily allocated to the underlying assets acquired, including identified intangible assets, and liabilities assumed based on their respective estimated fair values as of November 14, 2007. The excess of the cost of the acquisition over the amounts assigned to the net assets acquired was allocated to goodwill. The amount allocated to goodwill is reflective of the Company’s objective of achieving operating margins for the OneSource business that are consistent with other operations in the Janitorial segment and increasing operating efficiencies by reducing duplicative positions and back office functions, consolidating facilities and eliminating professional fees and other services.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preliminary purchase price allocation was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Paid to OneSource shareholders</w:t>
            </w:r>
          </w:p>
        </w:tc>
        <w:tc>
          <w:tcPr>
            <w:tcW w:w="42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Payment of OneSource’s pre-existing line of credit</w:t>
            </w:r>
          </w:p>
        </w:tc>
        <w:tc>
          <w:tcPr>
            <w:tcW w:w="4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Acquisition costs</w:t>
            </w:r>
          </w:p>
        </w:tc>
        <w:tc>
          <w:tcPr>
            <w:tcW w:w="42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Total cash consideration</w:t>
            </w:r>
          </w:p>
        </w:tc>
        <w:tc>
          <w:tcPr>
            <w:tcW w:w="4240" w:type="dxa"/>
            <w:vAlign w:val="bottom"/>
          </w:tcPr>
          <w:p>
            <w:pPr>
              <w:jc w:val="right"/>
              <w:ind w:right="230"/>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auto"/>
              <w:bottom w:val="single" w:sz="8" w:color="auto"/>
            </w:tcBorders>
          </w:tcPr>
          <w:p>
            <w:pPr>
              <w:spacing w:after="0" w:line="20" w:lineRule="exact"/>
              <w:rPr>
                <w:sz w:val="1"/>
                <w:szCs w:val="1"/>
                <w:color w:val="auto"/>
              </w:rPr>
            </w:pPr>
          </w:p>
        </w:tc>
        <w:tc>
          <w:tcPr>
            <w:tcW w:w="4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Allocated to:</w:t>
            </w: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180" w:type="dxa"/>
            <w:vAlign w:val="bottom"/>
            <w:gridSpan w:val="2"/>
          </w:tcPr>
          <w:p>
            <w:pPr>
              <w:spacing w:after="0"/>
              <w:rPr>
                <w:sz w:val="20"/>
                <w:szCs w:val="20"/>
                <w:color w:val="auto"/>
              </w:rPr>
            </w:pPr>
            <w:r>
              <w:rPr>
                <w:rFonts w:ascii="Arial" w:cs="Arial" w:eastAsia="Arial" w:hAnsi="Arial"/>
                <w:sz w:val="18"/>
                <w:szCs w:val="18"/>
                <w:color w:val="auto"/>
              </w:rPr>
              <w:t>Trade accounts receivable, net</w:t>
            </w:r>
          </w:p>
        </w:tc>
        <w:tc>
          <w:tcPr>
            <w:tcW w:w="4240" w:type="dxa"/>
            <w:vAlign w:val="bottom"/>
          </w:tcPr>
          <w:p>
            <w:pPr>
              <w:jc w:val="right"/>
              <w:ind w:right="230"/>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42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Insurance recoverables</w:t>
            </w:r>
          </w:p>
        </w:tc>
        <w:tc>
          <w:tcPr>
            <w:tcW w:w="4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deposits</w:t>
            </w:r>
          </w:p>
        </w:tc>
        <w:tc>
          <w:tcPr>
            <w:tcW w:w="42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42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Net deferred income tax assets</w:t>
            </w:r>
          </w:p>
        </w:tc>
        <w:tc>
          <w:tcPr>
            <w:tcW w:w="42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76,012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42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(62,336)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reserves</w:t>
            </w:r>
          </w:p>
        </w:tc>
        <w:tc>
          <w:tcPr>
            <w:tcW w:w="4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(91,754)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4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Minority interest</w:t>
            </w:r>
          </w:p>
        </w:tc>
        <w:tc>
          <w:tcPr>
            <w:tcW w:w="4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Goodwill</w:t>
            </w:r>
          </w:p>
        </w:tc>
        <w:tc>
          <w:tcPr>
            <w:tcW w:w="42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278,586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42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During the three months ended April 30, 2008, the Company made the following subsequent adjustments to the preliminary purchase price allocation to the assets acquired and liabilities assumed as of November 14, 2007:</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Preliminary goodwill allocation at November 14, 2007</w:t>
            </w:r>
          </w:p>
        </w:tc>
        <w:tc>
          <w:tcPr>
            <w:tcW w:w="41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$278,586</w:t>
            </w:r>
          </w:p>
        </w:tc>
      </w:tr>
      <w:tr>
        <w:trPr>
          <w:trHeight w:val="203"/>
        </w:trPr>
        <w:tc>
          <w:tcPr>
            <w:tcW w:w="2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41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900</w:t>
            </w: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1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2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Net deferred income tax assets</w:t>
            </w:r>
          </w:p>
        </w:tc>
        <w:tc>
          <w:tcPr>
            <w:tcW w:w="41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228</w:t>
            </w:r>
          </w:p>
        </w:tc>
      </w:tr>
      <w:tr>
        <w:trPr>
          <w:trHeight w:val="203"/>
        </w:trPr>
        <w:tc>
          <w:tcPr>
            <w:tcW w:w="20" w:type="dxa"/>
            <w:vAlign w:val="bottom"/>
          </w:tcPr>
          <w:p>
            <w:pPr>
              <w:spacing w:after="0"/>
              <w:rPr>
                <w:sz w:val="17"/>
                <w:szCs w:val="17"/>
                <w:color w:val="auto"/>
              </w:rPr>
            </w:pPr>
          </w:p>
        </w:tc>
        <w:tc>
          <w:tcPr>
            <w:tcW w:w="7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41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2,257</w:t>
            </w:r>
          </w:p>
        </w:tc>
      </w:tr>
      <w:tr>
        <w:trPr>
          <w:trHeight w:val="210"/>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Goodwill allocation at April 30, 2008</w:t>
            </w:r>
          </w:p>
        </w:tc>
        <w:tc>
          <w:tcPr>
            <w:tcW w:w="4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$282,152</w:t>
            </w: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0" w:firstLine="240"/>
        <w:spacing w:after="0" w:line="239" w:lineRule="auto"/>
        <w:rPr>
          <w:sz w:val="20"/>
          <w:szCs w:val="20"/>
          <w:color w:val="auto"/>
        </w:rPr>
      </w:pPr>
      <w:r>
        <w:rPr>
          <w:rFonts w:ascii="Arial" w:cs="Arial" w:eastAsia="Arial" w:hAnsi="Arial"/>
          <w:sz w:val="18"/>
          <w:szCs w:val="18"/>
          <w:color w:val="auto"/>
        </w:rPr>
        <w:t>As of April 30, 2008, the Company had not completed the allocation of the purchase price of the acquisition. Accordingly, further changes to the fair values of the assets acquired (including, but not limited to goodwill, net deferred tax assets, property, plant and equipment, trade accounts receivable, net and other identifiable intangible assets) and liabilities assumed (including, but not limited to insurance claims and other liabilities) will be recorded as the valuation and purchase price allocations are finalized during the remainder of the fiscal year 2008.</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results of operations for OneSource are included in the Company’s Janitorial segment results beginning November 14, 2007.</w:t>
      </w:r>
    </w:p>
    <w:p>
      <w:pPr>
        <w:spacing w:after="0" w:line="104" w:lineRule="exact"/>
        <w:rPr>
          <w:sz w:val="20"/>
          <w:szCs w:val="20"/>
          <w:color w:val="auto"/>
        </w:rPr>
      </w:pPr>
    </w:p>
    <w:p>
      <w:pPr>
        <w:ind w:right="60" w:firstLine="247"/>
        <w:spacing w:after="0" w:line="238" w:lineRule="auto"/>
        <w:rPr>
          <w:sz w:val="20"/>
          <w:szCs w:val="20"/>
          <w:color w:val="auto"/>
        </w:rPr>
      </w:pPr>
      <w:r>
        <w:rPr>
          <w:rFonts w:ascii="Arial" w:cs="Arial" w:eastAsia="Arial" w:hAnsi="Arial"/>
          <w:sz w:val="18"/>
          <w:szCs w:val="18"/>
          <w:color w:val="auto"/>
        </w:rPr>
        <w:t>The following unaudited pro forma financial information shows the combined results of operations of the Company, including OneSource, as if the acquisition had occurred as of the beginning of the periods presented. The unaudited pro forma financial information is not intended to represent or be indicative of the Company’s consolidated financial results of operations that would have been reported had the business combination been completed as of the beginning of the periods presented and should not be taken as indicative of the Company’s future consolidated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3"/>
          </w:tcPr>
          <w:p>
            <w:pPr>
              <w:jc w:val="right"/>
              <w:ind w:right="634"/>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3"/>
          </w:tcPr>
          <w:p>
            <w:pPr>
              <w:jc w:val="right"/>
              <w:ind w:right="874"/>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April 30,</w:t>
            </w:r>
          </w:p>
        </w:tc>
        <w:tc>
          <w:tcPr>
            <w:tcW w:w="9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April 30,</w:t>
            </w:r>
          </w:p>
        </w:tc>
        <w:tc>
          <w:tcPr>
            <w:tcW w:w="1060" w:type="dxa"/>
            <w:vAlign w:val="bottom"/>
            <w:tcBorders>
              <w:bottom w:val="single" w:sz="8" w:color="auto"/>
            </w:tcBorders>
          </w:tcPr>
          <w:p>
            <w:pPr>
              <w:spacing w:after="0"/>
              <w:rPr>
                <w:sz w:val="13"/>
                <w:szCs w:val="13"/>
                <w:color w:val="auto"/>
              </w:rPr>
            </w:pPr>
          </w:p>
        </w:tc>
      </w:tr>
      <w:tr>
        <w:trPr>
          <w:trHeight w:val="163"/>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4"/>
                <w:szCs w:val="14"/>
                <w:color w:val="auto"/>
              </w:rPr>
            </w:pPr>
          </w:p>
        </w:tc>
        <w:tc>
          <w:tcPr>
            <w:tcW w:w="760" w:type="dxa"/>
            <w:vAlign w:val="bottom"/>
          </w:tcPr>
          <w:p>
            <w:pPr>
              <w:jc w:val="right"/>
              <w:ind w:right="196"/>
              <w:spacing w:after="0" w:line="155"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4"/>
                <w:szCs w:val="14"/>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76"/>
              <w:spacing w:after="0" w:line="155"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4"/>
                <w:szCs w:val="14"/>
                <w:color w:val="auto"/>
              </w:rPr>
            </w:pPr>
          </w:p>
        </w:tc>
        <w:tc>
          <w:tcPr>
            <w:tcW w:w="1060" w:type="dxa"/>
            <w:vAlign w:val="bottom"/>
          </w:tcPr>
          <w:p>
            <w:pPr>
              <w:jc w:val="right"/>
              <w:ind w:right="414"/>
              <w:spacing w:after="0" w:line="155" w:lineRule="exact"/>
              <w:rPr>
                <w:sz w:val="20"/>
                <w:szCs w:val="20"/>
                <w:color w:val="auto"/>
              </w:rPr>
            </w:pPr>
            <w:r>
              <w:rPr>
                <w:rFonts w:ascii="Arial" w:cs="Arial" w:eastAsia="Arial" w:hAnsi="Arial"/>
                <w:sz w:val="14"/>
                <w:szCs w:val="14"/>
                <w:color w:val="auto"/>
              </w:rPr>
              <w:t>2007</w:t>
            </w:r>
          </w:p>
        </w:tc>
      </w:tr>
      <w:tr>
        <w:trPr>
          <w:trHeight w:val="203"/>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8"/>
              </w:rPr>
              <w:t>938,534</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w w:val="98"/>
              </w:rPr>
              <w:t>903,718</w:t>
            </w:r>
          </w:p>
        </w:tc>
        <w:tc>
          <w:tcPr>
            <w:tcW w:w="6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1,891,032</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w w:val="97"/>
              </w:rPr>
              <w:t>1,789,544</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11,072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8,341</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17,048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12,909</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0.22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0.17</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0.34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0.26</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0.22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0.33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0.26</w:t>
            </w:r>
          </w:p>
        </w:tc>
      </w:tr>
    </w:tbl>
    <w:p>
      <w:pPr>
        <w:spacing w:after="0" w:line="107" w:lineRule="exact"/>
        <w:rPr>
          <w:sz w:val="20"/>
          <w:szCs w:val="20"/>
          <w:color w:val="auto"/>
        </w:rPr>
      </w:pPr>
    </w:p>
    <w:p>
      <w:pPr>
        <w:ind w:right="60" w:firstLine="247"/>
        <w:spacing w:after="0" w:line="239" w:lineRule="auto"/>
        <w:rPr>
          <w:sz w:val="20"/>
          <w:szCs w:val="20"/>
          <w:color w:val="auto"/>
        </w:rPr>
      </w:pPr>
      <w:r>
        <w:rPr>
          <w:rFonts w:ascii="Arial" w:cs="Arial" w:eastAsia="Arial" w:hAnsi="Arial"/>
          <w:sz w:val="18"/>
          <w:szCs w:val="18"/>
          <w:color w:val="auto"/>
        </w:rPr>
        <w:t>The reduction in reported diluted net income per common share for the three and six months ended April 30, 2007 from $0.33 and $0.51, respectively, on the consolidated statements of income to $0.17 and $ 0.26, respectively, in the pro forma above is primarily due to the inclusion of pro forma financing interest expense and the absence from the pro forma results of operating cost synergies that were obtained from the integration of OneSource’s operations.</w:t>
      </w:r>
    </w:p>
    <w:p>
      <w:pPr>
        <w:spacing w:after="0" w:line="94"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On January 4, 2008, the Company acquired the remaining equity of Southern Management Company (Southern Management), a facility services company based in Chattanooga, Tennessee, for $24.4 million, which includes direct acquisition costs of $0.4 million. OneSource owned 50% of Southern Management’s equity when OneSource was acquired by the Company. OneSource consolidated the results of operations of Southern Management while it owned the 50% equity interest in Southern Management. At closing, $ 16.8 million was paid to the other shareholders of Southern Management and the remaining $7.2 million was deposited into an escrow account pending confirmation of Southern Management’s 2007 results of operations. In the second quarter of 2008, this $7.2 million was paid to the other shareholders of Southern Management. Of the $24.4 million payment, $18.7 million was allocated to goodwill and the remaining $5.7 million eliminated the minority interest. An additional $2.9 million was paid in March 2008 to the other shareholders of Southern Management with respect to undistributed 2007 earnings. This amount was allocated to goodwill. Southern Management was a provider of janitorial and related services to commercial, institutional and industrial facilities and schools throughout the Southern United States. Southern Management’s operations are included in the Janitorial segment.</w:t>
      </w:r>
    </w:p>
    <w:p>
      <w:pPr>
        <w:spacing w:after="0" w:line="98" w:lineRule="exact"/>
        <w:rPr>
          <w:sz w:val="20"/>
          <w:szCs w:val="20"/>
          <w:color w:val="auto"/>
        </w:rPr>
      </w:pPr>
    </w:p>
    <w:p>
      <w:pPr>
        <w:ind w:right="200" w:firstLine="247"/>
        <w:spacing w:after="0" w:line="246" w:lineRule="auto"/>
        <w:rPr>
          <w:sz w:val="20"/>
          <w:szCs w:val="20"/>
          <w:color w:val="auto"/>
        </w:rPr>
      </w:pPr>
      <w:r>
        <w:rPr>
          <w:rFonts w:ascii="Arial" w:cs="Arial" w:eastAsia="Arial" w:hAnsi="Arial"/>
          <w:sz w:val="18"/>
          <w:szCs w:val="18"/>
          <w:color w:val="auto"/>
        </w:rPr>
        <w:t>Total additional consideration during the six months ended April 30, 2008 for other earlier acquisitions was $2.7 million, which represented contingent amounts based on subsequent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six months ended April 30, 2008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Goodwill Related to</w:t>
            </w: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Initial</w:t>
            </w:r>
          </w:p>
        </w:tc>
        <w:tc>
          <w:tcPr>
            <w:tcW w:w="1780" w:type="dxa"/>
            <w:vAlign w:val="bottom"/>
          </w:tcPr>
          <w:p>
            <w:pPr>
              <w:jc w:val="center"/>
              <w:ind w:left="37"/>
              <w:spacing w:after="0"/>
              <w:rPr>
                <w:sz w:val="20"/>
                <w:szCs w:val="20"/>
                <w:color w:val="auto"/>
              </w:rPr>
            </w:pPr>
            <w:r>
              <w:rPr>
                <w:rFonts w:ascii="Arial" w:cs="Arial" w:eastAsia="Arial" w:hAnsi="Arial"/>
                <w:sz w:val="14"/>
                <w:szCs w:val="14"/>
                <w:color w:val="auto"/>
              </w:rPr>
              <w:t>Contingent</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0" w:type="dxa"/>
            <w:vAlign w:val="bottom"/>
          </w:tcPr>
          <w:p>
            <w:pPr>
              <w:jc w:val="right"/>
              <w:ind w:right="634"/>
              <w:spacing w:after="0"/>
              <w:rPr>
                <w:sz w:val="20"/>
                <w:szCs w:val="20"/>
                <w:color w:val="auto"/>
              </w:rPr>
            </w:pPr>
            <w:r>
              <w:rPr>
                <w:rFonts w:ascii="Arial" w:cs="Arial" w:eastAsia="Arial" w:hAnsi="Arial"/>
                <w:sz w:val="14"/>
                <w:szCs w:val="14"/>
                <w:color w:val="auto"/>
              </w:rPr>
              <w:t>Balance as of</w:t>
            </w:r>
          </w:p>
        </w:tc>
        <w:tc>
          <w:tcPr>
            <w:tcW w:w="1340" w:type="dxa"/>
            <w:vAlign w:val="bottom"/>
          </w:tcPr>
          <w:p>
            <w:pPr>
              <w:jc w:val="center"/>
              <w:spacing w:after="0"/>
              <w:rPr>
                <w:sz w:val="20"/>
                <w:szCs w:val="20"/>
                <w:color w:val="auto"/>
              </w:rPr>
            </w:pPr>
            <w:r>
              <w:rPr>
                <w:rFonts w:ascii="Arial" w:cs="Arial" w:eastAsia="Arial" w:hAnsi="Arial"/>
                <w:sz w:val="14"/>
                <w:szCs w:val="14"/>
                <w:color w:val="auto"/>
              </w:rPr>
              <w:t>Payments for</w:t>
            </w:r>
          </w:p>
        </w:tc>
        <w:tc>
          <w:tcPr>
            <w:tcW w:w="1780" w:type="dxa"/>
            <w:vAlign w:val="bottom"/>
          </w:tcPr>
          <w:p>
            <w:pPr>
              <w:jc w:val="center"/>
              <w:ind w:left="57"/>
              <w:spacing w:after="0"/>
              <w:rPr>
                <w:sz w:val="20"/>
                <w:szCs w:val="20"/>
                <w:color w:val="auto"/>
              </w:rPr>
            </w:pPr>
            <w:r>
              <w:rPr>
                <w:rFonts w:ascii="Arial" w:cs="Arial" w:eastAsia="Arial" w:hAnsi="Arial"/>
                <w:sz w:val="14"/>
                <w:szCs w:val="14"/>
                <w:color w:val="auto"/>
              </w:rPr>
              <w:t>Amounts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jc w:val="right"/>
              <w:ind w:right="194"/>
              <w:spacing w:after="0"/>
              <w:rPr>
                <w:sz w:val="20"/>
                <w:szCs w:val="20"/>
                <w:color w:val="auto"/>
              </w:rPr>
            </w:pPr>
            <w:r>
              <w:rPr>
                <w:rFonts w:ascii="Arial" w:cs="Arial" w:eastAsia="Arial" w:hAnsi="Arial"/>
                <w:sz w:val="14"/>
                <w:szCs w:val="14"/>
                <w:color w:val="auto"/>
              </w:rPr>
              <w:t>Balance as of</w:t>
            </w:r>
          </w:p>
        </w:tc>
      </w:tr>
      <w:tr>
        <w:trPr>
          <w:trHeight w:val="164"/>
        </w:trPr>
        <w:tc>
          <w:tcPr>
            <w:tcW w:w="22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000" w:type="dxa"/>
            <w:vAlign w:val="bottom"/>
          </w:tcPr>
          <w:p>
            <w:pPr>
              <w:jc w:val="right"/>
              <w:ind w:right="514"/>
              <w:spacing w:after="0" w:line="157" w:lineRule="exact"/>
              <w:rPr>
                <w:sz w:val="20"/>
                <w:szCs w:val="20"/>
                <w:color w:val="auto"/>
              </w:rPr>
            </w:pPr>
            <w:r>
              <w:rPr>
                <w:rFonts w:ascii="Arial" w:cs="Arial" w:eastAsia="Arial" w:hAnsi="Arial"/>
                <w:sz w:val="14"/>
                <w:szCs w:val="14"/>
                <w:color w:val="auto"/>
              </w:rPr>
              <w:t>October 31, 2007</w:t>
            </w:r>
          </w:p>
        </w:tc>
        <w:tc>
          <w:tcPr>
            <w:tcW w:w="1340" w:type="dxa"/>
            <w:vAlign w:val="bottom"/>
          </w:tcPr>
          <w:p>
            <w:pPr>
              <w:jc w:val="center"/>
              <w:spacing w:after="0" w:line="157" w:lineRule="exact"/>
              <w:rPr>
                <w:sz w:val="20"/>
                <w:szCs w:val="20"/>
                <w:color w:val="auto"/>
              </w:rPr>
            </w:pPr>
            <w:r>
              <w:rPr>
                <w:rFonts w:ascii="Arial" w:cs="Arial" w:eastAsia="Arial" w:hAnsi="Arial"/>
                <w:sz w:val="14"/>
                <w:szCs w:val="14"/>
                <w:color w:val="auto"/>
              </w:rPr>
              <w:t>Acquisitions</w:t>
            </w:r>
          </w:p>
        </w:tc>
        <w:tc>
          <w:tcPr>
            <w:tcW w:w="1780" w:type="dxa"/>
            <w:vAlign w:val="bottom"/>
          </w:tcPr>
          <w:p>
            <w:pPr>
              <w:jc w:val="center"/>
              <w:ind w:left="37"/>
              <w:spacing w:after="0" w:line="157" w:lineRule="exact"/>
              <w:rPr>
                <w:sz w:val="20"/>
                <w:szCs w:val="20"/>
                <w:color w:val="auto"/>
              </w:rPr>
            </w:pPr>
            <w:r>
              <w:rPr>
                <w:rFonts w:ascii="Arial" w:cs="Arial" w:eastAsia="Arial" w:hAnsi="Arial"/>
                <w:sz w:val="14"/>
                <w:szCs w:val="14"/>
                <w:color w:val="auto"/>
              </w:rPr>
              <w:t>&amp; Other</w:t>
            </w:r>
          </w:p>
        </w:tc>
        <w:tc>
          <w:tcPr>
            <w:tcW w:w="1280" w:type="dxa"/>
            <w:vAlign w:val="bottom"/>
            <w:gridSpan w:val="2"/>
          </w:tcPr>
          <w:p>
            <w:pPr>
              <w:ind w:left="320"/>
              <w:spacing w:after="0" w:line="157" w:lineRule="exact"/>
              <w:rPr>
                <w:sz w:val="20"/>
                <w:szCs w:val="20"/>
                <w:color w:val="auto"/>
              </w:rPr>
            </w:pPr>
            <w:r>
              <w:rPr>
                <w:rFonts w:ascii="Arial" w:cs="Arial" w:eastAsia="Arial" w:hAnsi="Arial"/>
                <w:sz w:val="14"/>
                <w:szCs w:val="14"/>
                <w:color w:val="auto"/>
              </w:rPr>
              <w:t>Impairment</w:t>
            </w:r>
          </w:p>
        </w:tc>
        <w:tc>
          <w:tcPr>
            <w:tcW w:w="1760" w:type="dxa"/>
            <w:vAlign w:val="bottom"/>
          </w:tcPr>
          <w:p>
            <w:pPr>
              <w:jc w:val="right"/>
              <w:ind w:right="174"/>
              <w:spacing w:after="0" w:line="157" w:lineRule="exact"/>
              <w:rPr>
                <w:sz w:val="20"/>
                <w:szCs w:val="20"/>
                <w:color w:val="auto"/>
              </w:rPr>
            </w:pPr>
            <w:r>
              <w:rPr>
                <w:rFonts w:ascii="Arial" w:cs="Arial" w:eastAsia="Arial" w:hAnsi="Arial"/>
                <w:sz w:val="14"/>
                <w:szCs w:val="14"/>
                <w:color w:val="auto"/>
              </w:rPr>
              <w:t>April 30, 2008</w:t>
            </w:r>
          </w:p>
        </w:tc>
      </w:tr>
      <w:tr>
        <w:trPr>
          <w:trHeight w:val="203"/>
        </w:trPr>
        <w:tc>
          <w:tcPr>
            <w:tcW w:w="20" w:type="dxa"/>
            <w:vAlign w:val="bottom"/>
          </w:tcPr>
          <w:p>
            <w:pPr>
              <w:spacing w:after="0"/>
              <w:rPr>
                <w:sz w:val="17"/>
                <w:szCs w:val="17"/>
                <w:color w:val="auto"/>
              </w:rPr>
            </w:pPr>
          </w:p>
        </w:tc>
        <w:tc>
          <w:tcPr>
            <w:tcW w:w="22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3000" w:type="dxa"/>
            <w:vAlign w:val="bottom"/>
            <w:tcBorders>
              <w:top w:val="single" w:sz="8" w:color="auto"/>
            </w:tcBorders>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$156,725</w:t>
            </w:r>
          </w:p>
        </w:tc>
        <w:tc>
          <w:tcPr>
            <w:tcW w:w="1340" w:type="dxa"/>
            <w:vAlign w:val="bottom"/>
            <w:tcBorders>
              <w:top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$303,827</w:t>
            </w:r>
          </w:p>
        </w:tc>
        <w:tc>
          <w:tcPr>
            <w:tcW w:w="1780" w:type="dxa"/>
            <w:vAlign w:val="bottom"/>
            <w:tcBorders>
              <w:top w:val="single" w:sz="8" w:color="auto"/>
            </w:tcBorders>
            <w:shd w:val="clear" w:color="auto" w:fill="CCEEFF"/>
          </w:tcPr>
          <w:p>
            <w:pPr>
              <w:jc w:val="right"/>
              <w:ind w:right="517"/>
              <w:spacing w:after="0" w:line="202" w:lineRule="exact"/>
              <w:rPr>
                <w:sz w:val="20"/>
                <w:szCs w:val="20"/>
                <w:color w:val="auto"/>
              </w:rPr>
            </w:pPr>
            <w:r>
              <w:rPr>
                <w:rFonts w:ascii="Arial" w:cs="Arial" w:eastAsia="Arial" w:hAnsi="Arial"/>
                <w:sz w:val="18"/>
                <w:szCs w:val="18"/>
                <w:color w:val="auto"/>
              </w:rPr>
              <w:t>$ 1,862</w:t>
            </w:r>
          </w:p>
        </w:tc>
        <w:tc>
          <w:tcPr>
            <w:tcW w:w="420" w:type="dxa"/>
            <w:vAlign w:val="bottom"/>
            <w:tcBorders>
              <w:top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$462,414</w:t>
            </w:r>
          </w:p>
        </w:tc>
      </w:tr>
      <w:tr>
        <w:trPr>
          <w:trHeight w:val="203"/>
        </w:trPr>
        <w:tc>
          <w:tcPr>
            <w:tcW w:w="2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3000" w:type="dxa"/>
            <w:vAlign w:val="bottom"/>
          </w:tcPr>
          <w:p>
            <w:pPr>
              <w:jc w:val="right"/>
              <w:ind w:right="734"/>
              <w:spacing w:after="0" w:line="202" w:lineRule="exact"/>
              <w:rPr>
                <w:sz w:val="20"/>
                <w:szCs w:val="20"/>
                <w:color w:val="auto"/>
              </w:rPr>
            </w:pPr>
            <w:r>
              <w:rPr>
                <w:rFonts w:ascii="Arial" w:cs="Arial" w:eastAsia="Arial" w:hAnsi="Arial"/>
                <w:sz w:val="18"/>
                <w:szCs w:val="18"/>
                <w:color w:val="auto"/>
              </w:rPr>
              <w:t>31,143</w:t>
            </w:r>
          </w:p>
        </w:tc>
        <w:tc>
          <w:tcPr>
            <w:tcW w:w="13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457"/>
              <w:spacing w:after="0" w:line="202" w:lineRule="exact"/>
              <w:rPr>
                <w:sz w:val="20"/>
                <w:szCs w:val="20"/>
                <w:color w:val="auto"/>
              </w:rPr>
            </w:pPr>
            <w:r>
              <w:rPr>
                <w:rFonts w:ascii="Arial" w:cs="Arial" w:eastAsia="Arial" w:hAnsi="Arial"/>
                <w:sz w:val="18"/>
                <w:szCs w:val="18"/>
                <w:color w:val="auto"/>
              </w:rPr>
              <w:t>(100)</w:t>
            </w:r>
          </w:p>
        </w:tc>
        <w:tc>
          <w:tcPr>
            <w:tcW w:w="420" w:type="dxa"/>
            <w:vAlign w:val="bottom"/>
          </w:tcPr>
          <w:p>
            <w:pPr>
              <w:spacing w:after="0"/>
              <w:rPr>
                <w:sz w:val="17"/>
                <w:szCs w:val="17"/>
                <w:color w:val="auto"/>
              </w:rPr>
            </w:pPr>
          </w:p>
        </w:tc>
        <w:tc>
          <w:tcPr>
            <w:tcW w:w="8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31,043</w:t>
            </w: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3000" w:type="dxa"/>
            <w:vAlign w:val="bottom"/>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44,135</w:t>
            </w:r>
          </w:p>
        </w:tc>
        <w:tc>
          <w:tcPr>
            <w:tcW w:w="134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17"/>
              <w:spacing w:after="0" w:line="202" w:lineRule="exact"/>
              <w:rPr>
                <w:sz w:val="20"/>
                <w:szCs w:val="20"/>
                <w:color w:val="auto"/>
              </w:rPr>
            </w:pPr>
            <w:r>
              <w:rPr>
                <w:rFonts w:ascii="Arial" w:cs="Arial" w:eastAsia="Arial" w:hAnsi="Arial"/>
                <w:sz w:val="18"/>
                <w:szCs w:val="18"/>
                <w:color w:val="auto"/>
              </w:rPr>
              <w:t>618</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44,753</w:t>
            </w:r>
          </w:p>
        </w:tc>
      </w:tr>
      <w:tr>
        <w:trPr>
          <w:trHeight w:val="203"/>
        </w:trPr>
        <w:tc>
          <w:tcPr>
            <w:tcW w:w="2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3000" w:type="dxa"/>
            <w:vAlign w:val="bottom"/>
          </w:tcPr>
          <w:p>
            <w:pPr>
              <w:jc w:val="right"/>
              <w:ind w:right="734"/>
              <w:spacing w:after="0" w:line="202" w:lineRule="exact"/>
              <w:rPr>
                <w:sz w:val="20"/>
                <w:szCs w:val="20"/>
                <w:color w:val="auto"/>
              </w:rPr>
            </w:pPr>
            <w:r>
              <w:rPr>
                <w:rFonts w:ascii="Arial" w:cs="Arial" w:eastAsia="Arial" w:hAnsi="Arial"/>
                <w:sz w:val="18"/>
                <w:szCs w:val="18"/>
                <w:color w:val="auto"/>
              </w:rPr>
              <w:t>2,174</w:t>
            </w:r>
          </w:p>
        </w:tc>
        <w:tc>
          <w:tcPr>
            <w:tcW w:w="13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2,174</w:t>
            </w:r>
          </w:p>
        </w:tc>
      </w:tr>
      <w:tr>
        <w:trPr>
          <w:trHeight w:val="203"/>
        </w:trPr>
        <w:tc>
          <w:tcPr>
            <w:tcW w:w="20" w:type="dxa"/>
            <w:vAlign w:val="bottom"/>
          </w:tcPr>
          <w:p>
            <w:pPr>
              <w:spacing w:after="0"/>
              <w:rPr>
                <w:sz w:val="17"/>
                <w:szCs w:val="17"/>
                <w:color w:val="auto"/>
              </w:rPr>
            </w:pPr>
          </w:p>
        </w:tc>
        <w:tc>
          <w:tcPr>
            <w:tcW w:w="2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Lighting</w:t>
            </w:r>
          </w:p>
        </w:tc>
        <w:tc>
          <w:tcPr>
            <w:tcW w:w="3000" w:type="dxa"/>
            <w:vAlign w:val="bottom"/>
            <w:tcBorders>
              <w:bottom w:val="single" w:sz="8" w:color="auto"/>
            </w:tcBorders>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18,002</w:t>
            </w:r>
          </w:p>
        </w:tc>
        <w:tc>
          <w:tcPr>
            <w:tcW w:w="1340" w:type="dxa"/>
            <w:vAlign w:val="bottom"/>
            <w:tcBorders>
              <w:bottom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8"/>
              </w:rPr>
              <w:t>(4,500)</w:t>
            </w:r>
          </w:p>
        </w:tc>
        <w:tc>
          <w:tcPr>
            <w:tcW w:w="1760" w:type="dxa"/>
            <w:vAlign w:val="bottom"/>
            <w:tcBorders>
              <w:bottom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13,502</w:t>
            </w:r>
          </w:p>
        </w:tc>
      </w:tr>
      <w:tr>
        <w:trPr>
          <w:trHeight w:val="210"/>
        </w:trPr>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0" w:type="dxa"/>
            <w:vAlign w:val="bottom"/>
          </w:tcPr>
          <w:p>
            <w:pPr>
              <w:jc w:val="right"/>
              <w:ind w:right="734"/>
              <w:spacing w:after="0"/>
              <w:rPr>
                <w:sz w:val="20"/>
                <w:szCs w:val="20"/>
                <w:color w:val="auto"/>
              </w:rPr>
            </w:pPr>
            <w:r>
              <w:rPr>
                <w:rFonts w:ascii="Arial" w:cs="Arial" w:eastAsia="Arial" w:hAnsi="Arial"/>
                <w:sz w:val="18"/>
                <w:szCs w:val="18"/>
                <w:color w:val="auto"/>
              </w:rPr>
              <w:t>$252,179</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$303,827</w:t>
            </w: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$2,380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w w:val="98"/>
              </w:rPr>
              <w:t>(4,500)</w:t>
            </w:r>
          </w:p>
        </w:tc>
        <w:tc>
          <w:tcPr>
            <w:tcW w:w="1760" w:type="dxa"/>
            <w:vAlign w:val="bottom"/>
          </w:tcPr>
          <w:p>
            <w:pPr>
              <w:jc w:val="right"/>
              <w:ind w:right="294"/>
              <w:spacing w:after="0"/>
              <w:rPr>
                <w:sz w:val="20"/>
                <w:szCs w:val="20"/>
                <w:color w:val="auto"/>
              </w:rPr>
            </w:pPr>
            <w:r>
              <w:rPr>
                <w:rFonts w:ascii="Arial" w:cs="Arial" w:eastAsia="Arial" w:hAnsi="Arial"/>
                <w:sz w:val="18"/>
                <w:szCs w:val="18"/>
                <w:color w:val="auto"/>
              </w:rPr>
              <w:t>$553,886</w:t>
            </w: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40" w:type="dxa"/>
            <w:vAlign w:val="bottom"/>
          </w:tcPr>
          <w:p>
            <w:pPr>
              <w:jc w:val="right"/>
              <w:ind w:right="695"/>
              <w:spacing w:after="0"/>
              <w:rPr>
                <w:sz w:val="20"/>
                <w:szCs w:val="20"/>
                <w:color w:val="auto"/>
              </w:rPr>
            </w:pPr>
            <w:r>
              <w:rPr>
                <w:rFonts w:ascii="Arial" w:cs="Arial" w:eastAsia="Arial" w:hAnsi="Arial"/>
                <w:sz w:val="18"/>
                <w:szCs w:val="18"/>
                <w:color w:val="auto"/>
              </w:rPr>
              <w:t>11</w:t>
            </w: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250"/>
        <w:spacing w:after="0" w:line="246" w:lineRule="auto"/>
        <w:rPr>
          <w:sz w:val="20"/>
          <w:szCs w:val="20"/>
          <w:color w:val="auto"/>
        </w:rPr>
      </w:pPr>
      <w:r>
        <w:rPr>
          <w:rFonts w:ascii="Arial" w:cs="Arial" w:eastAsia="Arial" w:hAnsi="Arial"/>
          <w:sz w:val="18"/>
          <w:szCs w:val="18"/>
          <w:color w:val="auto"/>
        </w:rPr>
        <w:t>Of the $ 553.9 million carrying amount of goodwill as of April 30, 2008, $346.6 million was not amortizable for income tax purposes because the related businesses were purchased through a tax-free exchange or stock acquisition or were acquired prior to 1991.</w:t>
      </w:r>
    </w:p>
    <w:p>
      <w:pPr>
        <w:spacing w:after="0" w:line="67" w:lineRule="exact"/>
        <w:rPr>
          <w:sz w:val="20"/>
          <w:szCs w:val="20"/>
          <w:color w:val="auto"/>
        </w:rPr>
      </w:pPr>
    </w:p>
    <w:p>
      <w:pPr>
        <w:ind w:right="260" w:firstLine="250"/>
        <w:spacing w:after="0" w:line="271" w:lineRule="auto"/>
        <w:rPr>
          <w:sz w:val="20"/>
          <w:szCs w:val="20"/>
          <w:color w:val="auto"/>
        </w:rPr>
      </w:pPr>
      <w:r>
        <w:rPr>
          <w:rFonts w:ascii="Arial" w:cs="Arial" w:eastAsia="Arial" w:hAnsi="Arial"/>
          <w:sz w:val="18"/>
          <w:szCs w:val="18"/>
          <w:b w:val="1"/>
          <w:bCs w:val="1"/>
          <w:color w:val="auto"/>
        </w:rPr>
        <w:t>Other Intangibles</w:t>
      </w:r>
      <w:r>
        <w:rPr>
          <w:rFonts w:ascii="Arial" w:cs="Arial" w:eastAsia="Arial" w:hAnsi="Arial"/>
          <w:sz w:val="18"/>
          <w:szCs w:val="18"/>
          <w:color w:val="auto"/>
        </w:rPr>
        <w:t>. The changes in the gross carrying amount and accumulated amortization of intangibles other than goodwill for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April 30, 2008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color w:val="auto"/>
              </w:rPr>
              <w:t>Gross Carrying Amount</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color w:val="auto"/>
              </w:rPr>
              <w:t>Accumulated Amortization</w:t>
            </w:r>
          </w:p>
        </w:tc>
        <w:tc>
          <w:tcPr>
            <w:tcW w:w="114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80" w:type="dxa"/>
            <w:vAlign w:val="bottom"/>
          </w:tcPr>
          <w:p>
            <w:pPr>
              <w:jc w:val="right"/>
              <w:ind w:right="216"/>
              <w:spacing w:after="0"/>
              <w:rPr>
                <w:sz w:val="20"/>
                <w:szCs w:val="20"/>
                <w:color w:val="auto"/>
              </w:rPr>
            </w:pPr>
            <w:r>
              <w:rPr>
                <w:rFonts w:ascii="Arial" w:cs="Arial" w:eastAsia="Arial" w:hAnsi="Arial"/>
                <w:sz w:val="14"/>
                <w:szCs w:val="14"/>
                <w:color w:val="auto"/>
              </w:rPr>
              <w:t>October 31,</w:t>
            </w:r>
          </w:p>
        </w:tc>
        <w:tc>
          <w:tcPr>
            <w:tcW w:w="1160" w:type="dxa"/>
            <w:vAlign w:val="bottom"/>
          </w:tcPr>
          <w:p>
            <w:pPr>
              <w:spacing w:after="0"/>
              <w:rPr>
                <w:sz w:val="13"/>
                <w:szCs w:val="13"/>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color w:val="auto"/>
              </w:rPr>
              <w:t>Retirements</w:t>
            </w:r>
          </w:p>
        </w:tc>
        <w:tc>
          <w:tcPr>
            <w:tcW w:w="1060" w:type="dxa"/>
            <w:vAlign w:val="bottom"/>
          </w:tcPr>
          <w:p>
            <w:pPr>
              <w:jc w:val="right"/>
              <w:ind w:right="156"/>
              <w:spacing w:after="0"/>
              <w:rPr>
                <w:sz w:val="20"/>
                <w:szCs w:val="20"/>
                <w:color w:val="auto"/>
              </w:rPr>
            </w:pPr>
            <w:r>
              <w:rPr>
                <w:rFonts w:ascii="Arial" w:cs="Arial" w:eastAsia="Arial" w:hAnsi="Arial"/>
                <w:sz w:val="14"/>
                <w:szCs w:val="14"/>
                <w:color w:val="auto"/>
              </w:rPr>
              <w:t>April 30,</w:t>
            </w:r>
          </w:p>
        </w:tc>
        <w:tc>
          <w:tcPr>
            <w:tcW w:w="200" w:type="dxa"/>
            <w:vAlign w:val="bottom"/>
          </w:tcPr>
          <w:p>
            <w:pPr>
              <w:spacing w:after="0"/>
              <w:rPr>
                <w:sz w:val="13"/>
                <w:szCs w:val="13"/>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October 31,</w:t>
            </w:r>
          </w:p>
        </w:tc>
        <w:tc>
          <w:tcPr>
            <w:tcW w:w="114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Arial" w:cs="Arial" w:eastAsia="Arial" w:hAnsi="Arial"/>
                <w:sz w:val="14"/>
                <w:szCs w:val="14"/>
                <w:color w:val="auto"/>
              </w:rPr>
              <w:t>Retirements</w:t>
            </w:r>
          </w:p>
        </w:tc>
        <w:tc>
          <w:tcPr>
            <w:tcW w:w="1140" w:type="dxa"/>
            <w:vAlign w:val="bottom"/>
          </w:tcPr>
          <w:p>
            <w:pPr>
              <w:jc w:val="right"/>
              <w:ind w:right="196"/>
              <w:spacing w:after="0"/>
              <w:rPr>
                <w:sz w:val="20"/>
                <w:szCs w:val="20"/>
                <w:color w:val="auto"/>
              </w:rPr>
            </w:pPr>
            <w:r>
              <w:rPr>
                <w:rFonts w:ascii="Arial" w:cs="Arial" w:eastAsia="Arial" w:hAnsi="Arial"/>
                <w:sz w:val="14"/>
                <w:szCs w:val="14"/>
                <w:color w:val="auto"/>
              </w:rPr>
              <w:t>April 30,</w:t>
            </w:r>
          </w:p>
        </w:tc>
      </w:tr>
      <w:tr>
        <w:trPr>
          <w:trHeight w:val="164"/>
        </w:trPr>
        <w:tc>
          <w:tcPr>
            <w:tcW w:w="19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280" w:type="dxa"/>
            <w:vAlign w:val="bottom"/>
          </w:tcPr>
          <w:p>
            <w:pPr>
              <w:jc w:val="right"/>
              <w:ind w:right="416"/>
              <w:spacing w:after="0" w:line="157" w:lineRule="exact"/>
              <w:rPr>
                <w:sz w:val="20"/>
                <w:szCs w:val="20"/>
                <w:color w:val="auto"/>
              </w:rPr>
            </w:pPr>
            <w:r>
              <w:rPr>
                <w:rFonts w:ascii="Arial" w:cs="Arial" w:eastAsia="Arial" w:hAnsi="Arial"/>
                <w:sz w:val="14"/>
                <w:szCs w:val="14"/>
                <w:color w:val="auto"/>
              </w:rPr>
              <w:t>2007</w:t>
            </w:r>
          </w:p>
        </w:tc>
        <w:tc>
          <w:tcPr>
            <w:tcW w:w="1160" w:type="dxa"/>
            <w:vAlign w:val="bottom"/>
          </w:tcPr>
          <w:p>
            <w:pPr>
              <w:jc w:val="right"/>
              <w:ind w:right="136"/>
              <w:spacing w:after="0" w:line="157" w:lineRule="exact"/>
              <w:rPr>
                <w:sz w:val="20"/>
                <w:szCs w:val="20"/>
                <w:color w:val="auto"/>
              </w:rPr>
            </w:pPr>
            <w:r>
              <w:rPr>
                <w:rFonts w:ascii="Arial" w:cs="Arial" w:eastAsia="Arial" w:hAnsi="Arial"/>
                <w:sz w:val="14"/>
                <w:szCs w:val="14"/>
                <w:color w:val="auto"/>
              </w:rPr>
              <w:t>Additions</w:t>
            </w:r>
          </w:p>
        </w:tc>
        <w:tc>
          <w:tcPr>
            <w:tcW w:w="1180" w:type="dxa"/>
            <w:vAlign w:val="bottom"/>
          </w:tcPr>
          <w:p>
            <w:pPr>
              <w:jc w:val="right"/>
              <w:ind w:right="156"/>
              <w:spacing w:after="0" w:line="157" w:lineRule="exact"/>
              <w:rPr>
                <w:sz w:val="20"/>
                <w:szCs w:val="20"/>
                <w:color w:val="auto"/>
              </w:rPr>
            </w:pPr>
            <w:r>
              <w:rPr>
                <w:rFonts w:ascii="Arial" w:cs="Arial" w:eastAsia="Arial" w:hAnsi="Arial"/>
                <w:sz w:val="14"/>
                <w:szCs w:val="14"/>
                <w:color w:val="auto"/>
              </w:rPr>
              <w:t>and Other</w:t>
            </w:r>
          </w:p>
        </w:tc>
        <w:tc>
          <w:tcPr>
            <w:tcW w:w="1060" w:type="dxa"/>
            <w:vAlign w:val="bottom"/>
          </w:tcPr>
          <w:p>
            <w:pPr>
              <w:jc w:val="right"/>
              <w:ind w:right="256"/>
              <w:spacing w:after="0" w:line="157" w:lineRule="exact"/>
              <w:rPr>
                <w:sz w:val="20"/>
                <w:szCs w:val="20"/>
                <w:color w:val="auto"/>
              </w:rPr>
            </w:pPr>
            <w:r>
              <w:rPr>
                <w:rFonts w:ascii="Arial" w:cs="Arial" w:eastAsia="Arial" w:hAnsi="Arial"/>
                <w:sz w:val="14"/>
                <w:szCs w:val="14"/>
                <w:color w:val="auto"/>
              </w:rPr>
              <w:t>2008</w:t>
            </w:r>
          </w:p>
        </w:tc>
        <w:tc>
          <w:tcPr>
            <w:tcW w:w="1340" w:type="dxa"/>
            <w:vAlign w:val="bottom"/>
            <w:gridSpan w:val="2"/>
          </w:tcPr>
          <w:p>
            <w:pPr>
              <w:jc w:val="right"/>
              <w:ind w:right="388"/>
              <w:spacing w:after="0" w:line="157" w:lineRule="exact"/>
              <w:rPr>
                <w:sz w:val="20"/>
                <w:szCs w:val="20"/>
                <w:color w:val="auto"/>
              </w:rPr>
            </w:pPr>
            <w:r>
              <w:rPr>
                <w:rFonts w:ascii="Arial" w:cs="Arial" w:eastAsia="Arial" w:hAnsi="Arial"/>
                <w:sz w:val="14"/>
                <w:szCs w:val="14"/>
                <w:color w:val="auto"/>
              </w:rPr>
              <w:t>2007</w:t>
            </w:r>
          </w:p>
        </w:tc>
        <w:tc>
          <w:tcPr>
            <w:tcW w:w="1140" w:type="dxa"/>
            <w:vAlign w:val="bottom"/>
          </w:tcPr>
          <w:p>
            <w:pPr>
              <w:jc w:val="right"/>
              <w:ind w:right="156"/>
              <w:spacing w:after="0" w:line="157" w:lineRule="exact"/>
              <w:rPr>
                <w:sz w:val="20"/>
                <w:szCs w:val="20"/>
                <w:color w:val="auto"/>
              </w:rPr>
            </w:pPr>
            <w:r>
              <w:rPr>
                <w:rFonts w:ascii="Arial" w:cs="Arial" w:eastAsia="Arial" w:hAnsi="Arial"/>
                <w:sz w:val="14"/>
                <w:szCs w:val="14"/>
                <w:color w:val="auto"/>
              </w:rPr>
              <w:t>Additions</w:t>
            </w:r>
          </w:p>
        </w:tc>
        <w:tc>
          <w:tcPr>
            <w:tcW w:w="1180" w:type="dxa"/>
            <w:vAlign w:val="bottom"/>
          </w:tcPr>
          <w:p>
            <w:pPr>
              <w:jc w:val="right"/>
              <w:ind w:right="176"/>
              <w:spacing w:after="0" w:line="157" w:lineRule="exact"/>
              <w:rPr>
                <w:sz w:val="20"/>
                <w:szCs w:val="20"/>
                <w:color w:val="auto"/>
              </w:rPr>
            </w:pPr>
            <w:r>
              <w:rPr>
                <w:rFonts w:ascii="Arial" w:cs="Arial" w:eastAsia="Arial" w:hAnsi="Arial"/>
                <w:sz w:val="14"/>
                <w:szCs w:val="14"/>
                <w:color w:val="auto"/>
              </w:rPr>
              <w:t>and Other</w:t>
            </w:r>
          </w:p>
        </w:tc>
        <w:tc>
          <w:tcPr>
            <w:tcW w:w="1140" w:type="dxa"/>
            <w:vAlign w:val="bottom"/>
          </w:tcPr>
          <w:p>
            <w:pPr>
              <w:jc w:val="right"/>
              <w:ind w:right="296"/>
              <w:spacing w:after="0" w:line="157" w:lineRule="exact"/>
              <w:rPr>
                <w:sz w:val="20"/>
                <w:szCs w:val="20"/>
                <w:color w:val="auto"/>
              </w:rPr>
            </w:pPr>
            <w:r>
              <w:rPr>
                <w:rFonts w:ascii="Arial" w:cs="Arial" w:eastAsia="Arial" w:hAnsi="Arial"/>
                <w:sz w:val="14"/>
                <w:szCs w:val="14"/>
                <w:color w:val="auto"/>
              </w:rPr>
              <w:t>2008</w:t>
            </w:r>
          </w:p>
        </w:tc>
      </w:tr>
      <w:tr>
        <w:trPr>
          <w:trHeight w:val="202"/>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Customer contracts</w:t>
            </w:r>
          </w:p>
        </w:tc>
        <w:tc>
          <w:tcPr>
            <w:tcW w:w="1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and relationships</w:t>
            </w:r>
          </w:p>
        </w:tc>
        <w:tc>
          <w:tcPr>
            <w:tcW w:w="1280" w:type="dxa"/>
            <w:vAlign w:val="bottom"/>
            <w:shd w:val="clear" w:color="auto" w:fill="CCEEFF"/>
          </w:tcPr>
          <w:p>
            <w:pPr>
              <w:jc w:val="right"/>
              <w:ind w:right="296"/>
              <w:spacing w:after="0" w:line="203" w:lineRule="exact"/>
              <w:rPr>
                <w:sz w:val="20"/>
                <w:szCs w:val="20"/>
                <w:color w:val="auto"/>
              </w:rPr>
            </w:pPr>
            <w:r>
              <w:rPr>
                <w:rFonts w:ascii="Arial" w:cs="Arial" w:eastAsia="Arial" w:hAnsi="Arial"/>
                <w:sz w:val="18"/>
                <w:szCs w:val="18"/>
                <w:color w:val="auto"/>
              </w:rPr>
              <w:t>$39,379</w:t>
            </w:r>
          </w:p>
        </w:tc>
        <w:tc>
          <w:tcPr>
            <w:tcW w:w="1160" w:type="dxa"/>
            <w:vAlign w:val="bottom"/>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$34,435</w:t>
            </w:r>
          </w:p>
        </w:tc>
        <w:tc>
          <w:tcPr>
            <w:tcW w:w="1180" w:type="dxa"/>
            <w:vAlign w:val="bottom"/>
            <w:shd w:val="clear" w:color="auto" w:fill="CCEEFF"/>
          </w:tcPr>
          <w:p>
            <w:pPr>
              <w:jc w:val="right"/>
              <w:ind w:right="396"/>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$73,814</w:t>
            </w:r>
          </w:p>
        </w:tc>
        <w:tc>
          <w:tcPr>
            <w:tcW w:w="13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$(17,086)</w:t>
            </w:r>
          </w:p>
        </w:tc>
        <w:tc>
          <w:tcPr>
            <w:tcW w:w="1140" w:type="dxa"/>
            <w:vAlign w:val="bottom"/>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$(4,498)</w:t>
            </w:r>
          </w:p>
        </w:tc>
        <w:tc>
          <w:tcPr>
            <w:tcW w:w="1180" w:type="dxa"/>
            <w:vAlign w:val="bottom"/>
            <w:shd w:val="clear" w:color="auto" w:fill="CCEEFF"/>
          </w:tcPr>
          <w:p>
            <w:pPr>
              <w:jc w:val="right"/>
              <w:ind w:right="416"/>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$(21,584)</w:t>
            </w:r>
          </w:p>
        </w:tc>
      </w:tr>
      <w:tr>
        <w:trPr>
          <w:trHeight w:val="202"/>
        </w:trPr>
        <w:tc>
          <w:tcPr>
            <w:tcW w:w="2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Trademarks and</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20" w:type="dxa"/>
            <w:vAlign w:val="bottom"/>
          </w:tcPr>
          <w:p>
            <w:pPr>
              <w:ind w:left="200"/>
              <w:spacing w:after="0" w:line="203" w:lineRule="exact"/>
              <w:rPr>
                <w:sz w:val="20"/>
                <w:szCs w:val="20"/>
                <w:color w:val="auto"/>
              </w:rPr>
            </w:pPr>
            <w:r>
              <w:rPr>
                <w:rFonts w:ascii="Arial" w:cs="Arial" w:eastAsia="Arial" w:hAnsi="Arial"/>
                <w:sz w:val="18"/>
                <w:szCs w:val="18"/>
                <w:color w:val="auto"/>
              </w:rPr>
              <w:t>trade names</w:t>
            </w:r>
          </w:p>
        </w:tc>
        <w:tc>
          <w:tcPr>
            <w:tcW w:w="1280" w:type="dxa"/>
            <w:vAlign w:val="bottom"/>
          </w:tcPr>
          <w:p>
            <w:pPr>
              <w:jc w:val="right"/>
              <w:ind w:right="296"/>
              <w:spacing w:after="0" w:line="203" w:lineRule="exact"/>
              <w:rPr>
                <w:sz w:val="20"/>
                <w:szCs w:val="20"/>
                <w:color w:val="auto"/>
              </w:rPr>
            </w:pPr>
            <w:r>
              <w:rPr>
                <w:rFonts w:ascii="Arial" w:cs="Arial" w:eastAsia="Arial" w:hAnsi="Arial"/>
                <w:sz w:val="18"/>
                <w:szCs w:val="18"/>
                <w:color w:val="auto"/>
              </w:rPr>
              <w:t>3,850</w:t>
            </w:r>
          </w:p>
        </w:tc>
        <w:tc>
          <w:tcPr>
            <w:tcW w:w="1160" w:type="dxa"/>
            <w:vAlign w:val="bottom"/>
          </w:tcPr>
          <w:p>
            <w:pPr>
              <w:jc w:val="right"/>
              <w:ind w:right="136"/>
              <w:spacing w:after="0" w:line="203" w:lineRule="exact"/>
              <w:rPr>
                <w:sz w:val="20"/>
                <w:szCs w:val="20"/>
                <w:color w:val="auto"/>
              </w:rPr>
            </w:pPr>
            <w:r>
              <w:rPr>
                <w:rFonts w:ascii="Arial" w:cs="Arial" w:eastAsia="Arial" w:hAnsi="Arial"/>
                <w:sz w:val="18"/>
                <w:szCs w:val="18"/>
                <w:color w:val="auto"/>
              </w:rPr>
              <w:t>300</w:t>
            </w:r>
          </w:p>
        </w:tc>
        <w:tc>
          <w:tcPr>
            <w:tcW w:w="1180" w:type="dxa"/>
            <w:vAlign w:val="bottom"/>
          </w:tcPr>
          <w:p>
            <w:pPr>
              <w:jc w:val="right"/>
              <w:ind w:right="396"/>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6"/>
              <w:spacing w:after="0" w:line="203" w:lineRule="exact"/>
              <w:rPr>
                <w:sz w:val="20"/>
                <w:szCs w:val="20"/>
                <w:color w:val="auto"/>
              </w:rPr>
            </w:pPr>
            <w:r>
              <w:rPr>
                <w:rFonts w:ascii="Arial" w:cs="Arial" w:eastAsia="Arial" w:hAnsi="Arial"/>
                <w:sz w:val="18"/>
                <w:szCs w:val="18"/>
                <w:color w:val="auto"/>
              </w:rPr>
              <w:t>4,150</w:t>
            </w:r>
          </w:p>
        </w:tc>
        <w:tc>
          <w:tcPr>
            <w:tcW w:w="134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(2,354)</w:t>
            </w:r>
          </w:p>
        </w:tc>
        <w:tc>
          <w:tcPr>
            <w:tcW w:w="1140" w:type="dxa"/>
            <w:vAlign w:val="bottom"/>
          </w:tcPr>
          <w:p>
            <w:pPr>
              <w:jc w:val="right"/>
              <w:ind w:right="136"/>
              <w:spacing w:after="0" w:line="203" w:lineRule="exact"/>
              <w:rPr>
                <w:sz w:val="20"/>
                <w:szCs w:val="20"/>
                <w:color w:val="auto"/>
              </w:rPr>
            </w:pPr>
            <w:r>
              <w:rPr>
                <w:rFonts w:ascii="Arial" w:cs="Arial" w:eastAsia="Arial" w:hAnsi="Arial"/>
                <w:sz w:val="18"/>
                <w:szCs w:val="18"/>
                <w:color w:val="auto"/>
              </w:rPr>
              <w:t>(342)</w:t>
            </w:r>
          </w:p>
        </w:tc>
        <w:tc>
          <w:tcPr>
            <w:tcW w:w="1180" w:type="dxa"/>
            <w:vAlign w:val="bottom"/>
          </w:tcPr>
          <w:p>
            <w:pPr>
              <w:jc w:val="right"/>
              <w:ind w:right="416"/>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line="203" w:lineRule="exact"/>
              <w:rPr>
                <w:sz w:val="20"/>
                <w:szCs w:val="20"/>
                <w:color w:val="auto"/>
              </w:rPr>
            </w:pPr>
            <w:r>
              <w:rPr>
                <w:rFonts w:ascii="Arial" w:cs="Arial" w:eastAsia="Arial" w:hAnsi="Arial"/>
                <w:sz w:val="18"/>
                <w:szCs w:val="18"/>
                <w:color w:val="auto"/>
              </w:rPr>
              <w:t>(2,696)</w:t>
            </w: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w:t>
            </w:r>
          </w:p>
        </w:tc>
        <w:tc>
          <w:tcPr>
            <w:tcW w:w="1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2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rights, etc.)</w:t>
            </w:r>
          </w:p>
        </w:tc>
        <w:tc>
          <w:tcPr>
            <w:tcW w:w="1280" w:type="dxa"/>
            <w:vAlign w:val="bottom"/>
            <w:tcBorders>
              <w:bottom w:val="single" w:sz="8" w:color="auto"/>
            </w:tcBorders>
            <w:shd w:val="clear" w:color="auto" w:fill="CCEEFF"/>
          </w:tcPr>
          <w:p>
            <w:pPr>
              <w:jc w:val="right"/>
              <w:ind w:right="296"/>
              <w:spacing w:after="0" w:line="203" w:lineRule="exact"/>
              <w:rPr>
                <w:sz w:val="20"/>
                <w:szCs w:val="20"/>
                <w:color w:val="auto"/>
              </w:rPr>
            </w:pPr>
            <w:r>
              <w:rPr>
                <w:rFonts w:ascii="Arial" w:cs="Arial" w:eastAsia="Arial" w:hAnsi="Arial"/>
                <w:sz w:val="18"/>
                <w:szCs w:val="18"/>
                <w:color w:val="auto"/>
              </w:rPr>
              <w:t>2,180</w:t>
            </w:r>
          </w:p>
        </w:tc>
        <w:tc>
          <w:tcPr>
            <w:tcW w:w="1160" w:type="dxa"/>
            <w:vAlign w:val="bottom"/>
            <w:tcBorders>
              <w:bottom w:val="single" w:sz="8" w:color="auto"/>
            </w:tcBorders>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76</w:t>
            </w:r>
          </w:p>
        </w:tc>
        <w:tc>
          <w:tcPr>
            <w:tcW w:w="1180" w:type="dxa"/>
            <w:vAlign w:val="bottom"/>
            <w:tcBorders>
              <w:bottom w:val="single" w:sz="8" w:color="auto"/>
            </w:tcBorders>
            <w:shd w:val="clear" w:color="auto" w:fill="CCEEFF"/>
          </w:tcPr>
          <w:p>
            <w:pPr>
              <w:jc w:val="right"/>
              <w:ind w:right="396"/>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2,256</w:t>
            </w:r>
          </w:p>
        </w:tc>
        <w:tc>
          <w:tcPr>
            <w:tcW w:w="1340" w:type="dxa"/>
            <w:vAlign w:val="bottom"/>
            <w:tcBorders>
              <w:bottom w:val="single" w:sz="8" w:color="auto"/>
            </w:tcBorders>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(1,396)</w:t>
            </w:r>
          </w:p>
        </w:tc>
        <w:tc>
          <w:tcPr>
            <w:tcW w:w="1140" w:type="dxa"/>
            <w:vAlign w:val="bottom"/>
            <w:tcBorders>
              <w:bottom w:val="single" w:sz="8" w:color="auto"/>
            </w:tcBorders>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rPr>
              <w:t>(85)</w:t>
            </w:r>
          </w:p>
        </w:tc>
        <w:tc>
          <w:tcPr>
            <w:tcW w:w="1180" w:type="dxa"/>
            <w:vAlign w:val="bottom"/>
            <w:tcBorders>
              <w:bottom w:val="single" w:sz="8" w:color="auto"/>
            </w:tcBorders>
            <w:shd w:val="clear" w:color="auto" w:fill="CCEEFF"/>
          </w:tcPr>
          <w:p>
            <w:pPr>
              <w:jc w:val="right"/>
              <w:ind w:right="416"/>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(1,481)</w:t>
            </w:r>
          </w:p>
        </w:tc>
      </w:tr>
      <w:tr>
        <w:trPr>
          <w:trHeight w:val="210"/>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$45,409</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$34,811</w:t>
            </w: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$80,220</w:t>
            </w:r>
          </w:p>
        </w:tc>
        <w:tc>
          <w:tcPr>
            <w:tcW w:w="13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$(20,836)</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$(4,925)</w:t>
            </w: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$(25,761)</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247"/>
        <w:spacing w:after="0" w:line="238" w:lineRule="auto"/>
        <w:rPr>
          <w:sz w:val="20"/>
          <w:szCs w:val="20"/>
          <w:color w:val="auto"/>
        </w:rPr>
      </w:pPr>
      <w:r>
        <w:rPr>
          <w:rFonts w:ascii="Arial" w:cs="Arial" w:eastAsia="Arial" w:hAnsi="Arial"/>
          <w:sz w:val="18"/>
          <w:szCs w:val="18"/>
          <w:color w:val="auto"/>
        </w:rPr>
        <w:t>The customer contracts and relationships intangible assets are being amortized using the sum-of-the-years-digits method over useful lives that are consistent with the estimated useful life considerations used in the determinations of their fair values. The accelerated method of amortization reflects the pattern in which the economic benefits of the customer relationship intangible assets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95" w:lineRule="exact"/>
        <w:rPr>
          <w:sz w:val="20"/>
          <w:szCs w:val="20"/>
          <w:color w:val="auto"/>
        </w:rPr>
      </w:pPr>
    </w:p>
    <w:p>
      <w:pPr>
        <w:jc w:val="both"/>
        <w:ind w:right="60" w:firstLine="247"/>
        <w:spacing w:after="0"/>
        <w:rPr>
          <w:sz w:val="20"/>
          <w:szCs w:val="20"/>
          <w:color w:val="auto"/>
        </w:rPr>
      </w:pPr>
      <w:r>
        <w:rPr>
          <w:rFonts w:ascii="Arial" w:cs="Arial" w:eastAsia="Arial" w:hAnsi="Arial"/>
          <w:sz w:val="18"/>
          <w:szCs w:val="18"/>
          <w:color w:val="auto"/>
        </w:rPr>
        <w:t>The weighted average remaining lives as of April 30, 2008, and the amortization expense for the three and six months ended April 30, 2008 and 2007, of intangibles other than goodwill, as well as the estimated amortization expense for such intangibles for each of the five succeeding years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color w:val="auto"/>
              </w:rPr>
              <w:t>Weighted</w:t>
            </w:r>
          </w:p>
        </w:tc>
        <w:tc>
          <w:tcPr>
            <w:tcW w:w="720" w:type="dxa"/>
            <w:vAlign w:val="bottom"/>
          </w:tcPr>
          <w:p>
            <w:pPr>
              <w:spacing w:after="0"/>
              <w:rPr>
                <w:sz w:val="14"/>
                <w:szCs w:val="14"/>
                <w:color w:val="auto"/>
              </w:rPr>
            </w:pPr>
          </w:p>
        </w:tc>
        <w:tc>
          <w:tcPr>
            <w:tcW w:w="2360" w:type="dxa"/>
            <w:vAlign w:val="bottom"/>
            <w:gridSpan w:val="3"/>
            <w:vMerge w:val="restart"/>
          </w:tcPr>
          <w:p>
            <w:pPr>
              <w:jc w:val="right"/>
              <w:ind w:right="348"/>
              <w:spacing w:after="0"/>
              <w:rPr>
                <w:sz w:val="20"/>
                <w:szCs w:val="20"/>
                <w:color w:val="auto"/>
              </w:rPr>
            </w:pPr>
            <w:r>
              <w:rPr>
                <w:rFonts w:ascii="Arial" w:cs="Arial" w:eastAsia="Arial" w:hAnsi="Arial"/>
                <w:sz w:val="14"/>
                <w:szCs w:val="14"/>
                <w:color w:val="auto"/>
              </w:rPr>
              <w:t>Amortization Expense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4"/>
                <w:szCs w:val="14"/>
                <w:color w:val="auto"/>
              </w:rPr>
              <w:t>Estimated Amortization Expense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jc w:val="center"/>
              <w:ind w:right="40"/>
              <w:spacing w:after="0" w:line="147" w:lineRule="exact"/>
              <w:rPr>
                <w:sz w:val="20"/>
                <w:szCs w:val="20"/>
                <w:color w:val="auto"/>
              </w:rPr>
            </w:pPr>
            <w:r>
              <w:rPr>
                <w:rFonts w:ascii="Arial" w:cs="Arial" w:eastAsia="Arial" w:hAnsi="Arial"/>
                <w:sz w:val="14"/>
                <w:szCs w:val="14"/>
                <w:color w:val="auto"/>
              </w:rPr>
              <w:t>Average</w:t>
            </w:r>
          </w:p>
        </w:tc>
        <w:tc>
          <w:tcPr>
            <w:tcW w:w="7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color w:val="auto"/>
              </w:rPr>
              <w:t>Remaining</w:t>
            </w:r>
          </w:p>
        </w:tc>
        <w:tc>
          <w:tcPr>
            <w:tcW w:w="2100" w:type="dxa"/>
            <w:vAlign w:val="bottom"/>
            <w:gridSpan w:val="2"/>
          </w:tcPr>
          <w:p>
            <w:pPr>
              <w:jc w:val="right"/>
              <w:ind w:right="298"/>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3"/>
                <w:szCs w:val="13"/>
                <w:color w:val="auto"/>
              </w:rPr>
            </w:pPr>
          </w:p>
        </w:tc>
        <w:tc>
          <w:tcPr>
            <w:tcW w:w="1660" w:type="dxa"/>
            <w:vAlign w:val="bottom"/>
            <w:gridSpan w:val="2"/>
          </w:tcPr>
          <w:p>
            <w:pPr>
              <w:jc w:val="right"/>
              <w:ind w:right="154"/>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Years Ending</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tcPr>
          <w:p>
            <w:pPr>
              <w:jc w:val="center"/>
              <w:ind w:right="40"/>
              <w:spacing w:after="0" w:line="157" w:lineRule="exact"/>
              <w:rPr>
                <w:sz w:val="20"/>
                <w:szCs w:val="20"/>
                <w:color w:val="auto"/>
              </w:rPr>
            </w:pPr>
            <w:r>
              <w:rPr>
                <w:rFonts w:ascii="Arial" w:cs="Arial" w:eastAsia="Arial" w:hAnsi="Arial"/>
                <w:sz w:val="14"/>
                <w:szCs w:val="14"/>
                <w:color w:val="auto"/>
                <w:w w:val="97"/>
              </w:rPr>
              <w:t>Life</w:t>
            </w:r>
          </w:p>
        </w:tc>
        <w:tc>
          <w:tcPr>
            <w:tcW w:w="7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98"/>
              <w:spacing w:after="0" w:line="157" w:lineRule="exact"/>
              <w:rPr>
                <w:sz w:val="20"/>
                <w:szCs w:val="20"/>
                <w:color w:val="auto"/>
              </w:rPr>
            </w:pPr>
            <w:r>
              <w:rPr>
                <w:rFonts w:ascii="Arial" w:cs="Arial" w:eastAsia="Arial" w:hAnsi="Arial"/>
                <w:sz w:val="14"/>
                <w:szCs w:val="14"/>
                <w:color w:val="auto"/>
              </w:rPr>
              <w:t>April 30,</w:t>
            </w:r>
          </w:p>
        </w:tc>
        <w:tc>
          <w:tcPr>
            <w:tcW w:w="180" w:type="dxa"/>
            <w:vAlign w:val="bottom"/>
          </w:tcPr>
          <w:p>
            <w:pPr>
              <w:spacing w:after="0"/>
              <w:rPr>
                <w:sz w:val="13"/>
                <w:szCs w:val="13"/>
                <w:color w:val="auto"/>
              </w:rPr>
            </w:pPr>
          </w:p>
        </w:tc>
        <w:tc>
          <w:tcPr>
            <w:tcW w:w="1660" w:type="dxa"/>
            <w:vAlign w:val="bottom"/>
            <w:tcBorders>
              <w:bottom w:val="single" w:sz="8" w:color="auto"/>
            </w:tcBorders>
            <w:gridSpan w:val="2"/>
          </w:tcPr>
          <w:p>
            <w:pPr>
              <w:jc w:val="right"/>
              <w:ind w:right="474"/>
              <w:spacing w:after="0" w:line="157" w:lineRule="exact"/>
              <w:rPr>
                <w:sz w:val="20"/>
                <w:szCs w:val="20"/>
                <w:color w:val="auto"/>
              </w:rPr>
            </w:pPr>
            <w:r>
              <w:rPr>
                <w:rFonts w:ascii="Arial" w:cs="Arial" w:eastAsia="Arial" w:hAnsi="Arial"/>
                <w:sz w:val="14"/>
                <w:szCs w:val="14"/>
                <w:color w:val="auto"/>
              </w:rPr>
              <w:t>April 30,</w:t>
            </w:r>
          </w:p>
        </w:tc>
        <w:tc>
          <w:tcPr>
            <w:tcW w:w="1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October 31,</w:t>
            </w: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720" w:type="dxa"/>
            <w:vAlign w:val="bottom"/>
            <w:gridSpan w:val="2"/>
          </w:tcPr>
          <w:p>
            <w:pPr>
              <w:spacing w:after="0" w:line="155" w:lineRule="exact"/>
              <w:rPr>
                <w:sz w:val="20"/>
                <w:szCs w:val="20"/>
                <w:color w:val="auto"/>
              </w:rPr>
            </w:pPr>
            <w:r>
              <w:rPr>
                <w:rFonts w:ascii="Arial" w:cs="Arial" w:eastAsia="Arial" w:hAnsi="Arial"/>
                <w:sz w:val="14"/>
                <w:szCs w:val="14"/>
                <w:color w:val="auto"/>
              </w:rPr>
              <w:t>($ in thousands)</w:t>
            </w:r>
          </w:p>
        </w:tc>
        <w:tc>
          <w:tcPr>
            <w:tcW w:w="1100" w:type="dxa"/>
            <w:vAlign w:val="bottom"/>
          </w:tcPr>
          <w:p>
            <w:pPr>
              <w:jc w:val="center"/>
              <w:ind w:right="40"/>
              <w:spacing w:after="0" w:line="155" w:lineRule="exact"/>
              <w:rPr>
                <w:sz w:val="20"/>
                <w:szCs w:val="20"/>
                <w:color w:val="auto"/>
              </w:rPr>
            </w:pPr>
            <w:r>
              <w:rPr>
                <w:rFonts w:ascii="Arial" w:cs="Arial" w:eastAsia="Arial" w:hAnsi="Arial"/>
                <w:sz w:val="14"/>
                <w:szCs w:val="14"/>
                <w:color w:val="auto"/>
              </w:rPr>
              <w:t>(Years)</w:t>
            </w:r>
          </w:p>
        </w:tc>
        <w:tc>
          <w:tcPr>
            <w:tcW w:w="720" w:type="dxa"/>
            <w:vAlign w:val="bottom"/>
          </w:tcPr>
          <w:p>
            <w:pPr>
              <w:jc w:val="right"/>
              <w:ind w:right="36"/>
              <w:spacing w:after="0" w:line="155" w:lineRule="exact"/>
              <w:rPr>
                <w:sz w:val="20"/>
                <w:szCs w:val="20"/>
                <w:color w:val="auto"/>
              </w:rPr>
            </w:pPr>
            <w:r>
              <w:rPr>
                <w:rFonts w:ascii="Arial" w:cs="Arial" w:eastAsia="Arial" w:hAnsi="Arial"/>
                <w:sz w:val="14"/>
                <w:szCs w:val="14"/>
                <w:color w:val="auto"/>
              </w:rPr>
              <w:t>2008</w:t>
            </w:r>
          </w:p>
        </w:tc>
        <w:tc>
          <w:tcPr>
            <w:tcW w:w="1380" w:type="dxa"/>
            <w:vAlign w:val="bottom"/>
          </w:tcPr>
          <w:p>
            <w:pPr>
              <w:jc w:val="right"/>
              <w:ind w:right="198"/>
              <w:spacing w:after="0" w:line="155" w:lineRule="exact"/>
              <w:rPr>
                <w:sz w:val="20"/>
                <w:szCs w:val="20"/>
                <w:color w:val="auto"/>
              </w:rPr>
            </w:pPr>
            <w:r>
              <w:rPr>
                <w:rFonts w:ascii="Arial" w:cs="Arial" w:eastAsia="Arial" w:hAnsi="Arial"/>
                <w:sz w:val="14"/>
                <w:szCs w:val="14"/>
                <w:color w:val="auto"/>
              </w:rPr>
              <w:t>2007</w:t>
            </w:r>
          </w:p>
        </w:tc>
        <w:tc>
          <w:tcPr>
            <w:tcW w:w="98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34"/>
              <w:spacing w:after="0" w:line="155" w:lineRule="exact"/>
              <w:rPr>
                <w:sz w:val="20"/>
                <w:szCs w:val="20"/>
                <w:color w:val="auto"/>
              </w:rPr>
            </w:pPr>
            <w:r>
              <w:rPr>
                <w:rFonts w:ascii="Arial" w:cs="Arial" w:eastAsia="Arial" w:hAnsi="Arial"/>
                <w:sz w:val="14"/>
                <w:szCs w:val="14"/>
                <w:color w:val="auto"/>
              </w:rPr>
              <w:t>2007</w:t>
            </w: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2009</w:t>
            </w:r>
          </w:p>
        </w:tc>
        <w:tc>
          <w:tcPr>
            <w:tcW w:w="880" w:type="dxa"/>
            <w:vAlign w:val="bottom"/>
          </w:tcPr>
          <w:p>
            <w:pPr>
              <w:jc w:val="right"/>
              <w:ind w:right="136"/>
              <w:spacing w:after="0" w:line="155" w:lineRule="exact"/>
              <w:rPr>
                <w:sz w:val="20"/>
                <w:szCs w:val="20"/>
                <w:color w:val="auto"/>
              </w:rPr>
            </w:pPr>
            <w:r>
              <w:rPr>
                <w:rFonts w:ascii="Arial" w:cs="Arial" w:eastAsia="Arial" w:hAnsi="Arial"/>
                <w:sz w:val="14"/>
                <w:szCs w:val="14"/>
                <w:color w:val="auto"/>
              </w:rPr>
              <w:t>2010</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2011</w:t>
            </w:r>
          </w:p>
        </w:tc>
        <w:tc>
          <w:tcPr>
            <w:tcW w:w="84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2012</w:t>
            </w:r>
          </w:p>
        </w:tc>
        <w:tc>
          <w:tcPr>
            <w:tcW w:w="880" w:type="dxa"/>
            <w:vAlign w:val="bottom"/>
          </w:tcPr>
          <w:p>
            <w:pPr>
              <w:jc w:val="right"/>
              <w:ind w:right="134"/>
              <w:spacing w:after="0" w:line="155"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Customer contracts</w:t>
            </w: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and relationships</w:t>
            </w:r>
          </w:p>
        </w:tc>
        <w:tc>
          <w:tcPr>
            <w:tcW w:w="1100" w:type="dxa"/>
            <w:vAlign w:val="bottom"/>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11.7</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$2,313</w:t>
            </w:r>
          </w:p>
        </w:tc>
        <w:tc>
          <w:tcPr>
            <w:tcW w:w="1380" w:type="dxa"/>
            <w:vAlign w:val="bottom"/>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$1,147</w:t>
            </w:r>
          </w:p>
        </w:tc>
        <w:tc>
          <w:tcPr>
            <w:tcW w:w="980" w:type="dxa"/>
            <w:vAlign w:val="bottom"/>
            <w:gridSpan w:val="2"/>
            <w:shd w:val="clear" w:color="auto" w:fill="CCEEFF"/>
          </w:tcPr>
          <w:p>
            <w:pPr>
              <w:jc w:val="right"/>
              <w:ind w:right="108"/>
              <w:spacing w:after="0" w:line="203" w:lineRule="exact"/>
              <w:rPr>
                <w:sz w:val="20"/>
                <w:szCs w:val="20"/>
                <w:color w:val="auto"/>
              </w:rPr>
            </w:pPr>
            <w:r>
              <w:rPr>
                <w:rFonts w:ascii="Arial" w:cs="Arial" w:eastAsia="Arial" w:hAnsi="Arial"/>
                <w:sz w:val="18"/>
                <w:szCs w:val="18"/>
                <w:color w:val="auto"/>
              </w:rPr>
              <w:t>$4,498</w:t>
            </w:r>
          </w:p>
        </w:tc>
        <w:tc>
          <w:tcPr>
            <w:tcW w:w="860" w:type="dxa"/>
            <w:vAlign w:val="bottom"/>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$2,303</w:t>
            </w:r>
          </w:p>
        </w:tc>
        <w:tc>
          <w:tcPr>
            <w:tcW w:w="9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$8,356</w:t>
            </w:r>
          </w:p>
        </w:tc>
        <w:tc>
          <w:tcPr>
            <w:tcW w:w="880" w:type="dxa"/>
            <w:vAlign w:val="bottom"/>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rPr>
              <w:t>$7,393</w:t>
            </w:r>
          </w:p>
        </w:tc>
        <w:tc>
          <w:tcPr>
            <w:tcW w:w="1080" w:type="dxa"/>
            <w:vAlign w:val="bottom"/>
            <w:shd w:val="clear" w:color="auto" w:fill="CCEEFF"/>
          </w:tcPr>
          <w:p>
            <w:pPr>
              <w:jc w:val="right"/>
              <w:ind w:right="218"/>
              <w:spacing w:after="0" w:line="203" w:lineRule="exact"/>
              <w:rPr>
                <w:sz w:val="20"/>
                <w:szCs w:val="20"/>
                <w:color w:val="auto"/>
              </w:rPr>
            </w:pPr>
            <w:r>
              <w:rPr>
                <w:rFonts w:ascii="Arial" w:cs="Arial" w:eastAsia="Arial" w:hAnsi="Arial"/>
                <w:sz w:val="18"/>
                <w:szCs w:val="18"/>
                <w:color w:val="auto"/>
              </w:rPr>
              <w:t>$6,431</w:t>
            </w:r>
          </w:p>
        </w:tc>
        <w:tc>
          <w:tcPr>
            <w:tcW w:w="840" w:type="dxa"/>
            <w:vAlign w:val="bottom"/>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$5,527</w:t>
            </w:r>
          </w:p>
        </w:tc>
        <w:tc>
          <w:tcPr>
            <w:tcW w:w="8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Trademarks and</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ind w:left="200"/>
              <w:spacing w:after="0" w:line="203" w:lineRule="exact"/>
              <w:rPr>
                <w:sz w:val="20"/>
                <w:szCs w:val="20"/>
                <w:color w:val="auto"/>
              </w:rPr>
            </w:pPr>
            <w:r>
              <w:rPr>
                <w:rFonts w:ascii="Arial" w:cs="Arial" w:eastAsia="Arial" w:hAnsi="Arial"/>
                <w:sz w:val="18"/>
                <w:szCs w:val="18"/>
                <w:color w:val="auto"/>
              </w:rPr>
              <w:t>trade names</w:t>
            </w:r>
          </w:p>
        </w:tc>
        <w:tc>
          <w:tcPr>
            <w:tcW w:w="1100" w:type="dxa"/>
            <w:vAlign w:val="bottom"/>
          </w:tcPr>
          <w:p>
            <w:pPr>
              <w:jc w:val="right"/>
              <w:ind w:right="360"/>
              <w:spacing w:after="0" w:line="203" w:lineRule="exact"/>
              <w:rPr>
                <w:sz w:val="20"/>
                <w:szCs w:val="20"/>
                <w:color w:val="auto"/>
              </w:rPr>
            </w:pPr>
            <w:r>
              <w:rPr>
                <w:rFonts w:ascii="Arial" w:cs="Arial" w:eastAsia="Arial" w:hAnsi="Arial"/>
                <w:sz w:val="18"/>
                <w:szCs w:val="18"/>
                <w:color w:val="auto"/>
              </w:rPr>
              <w:t>6.3</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1380" w:type="dxa"/>
            <w:vAlign w:val="bottom"/>
          </w:tcPr>
          <w:p>
            <w:pPr>
              <w:jc w:val="right"/>
              <w:ind w:right="138"/>
              <w:spacing w:after="0" w:line="203" w:lineRule="exact"/>
              <w:rPr>
                <w:sz w:val="20"/>
                <w:szCs w:val="20"/>
                <w:color w:val="auto"/>
              </w:rPr>
            </w:pPr>
            <w:r>
              <w:rPr>
                <w:rFonts w:ascii="Arial" w:cs="Arial" w:eastAsia="Arial" w:hAnsi="Arial"/>
                <w:sz w:val="18"/>
                <w:szCs w:val="18"/>
                <w:color w:val="auto"/>
              </w:rPr>
              <w:t>142</w:t>
            </w:r>
          </w:p>
        </w:tc>
        <w:tc>
          <w:tcPr>
            <w:tcW w:w="98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342</w:t>
            </w:r>
          </w:p>
        </w:tc>
        <w:tc>
          <w:tcPr>
            <w:tcW w:w="860" w:type="dxa"/>
            <w:vAlign w:val="bottom"/>
          </w:tcPr>
          <w:p>
            <w:pPr>
              <w:jc w:val="right"/>
              <w:ind w:right="34"/>
              <w:spacing w:after="0" w:line="203" w:lineRule="exact"/>
              <w:rPr>
                <w:sz w:val="20"/>
                <w:szCs w:val="20"/>
                <w:color w:val="auto"/>
              </w:rPr>
            </w:pPr>
            <w:r>
              <w:rPr>
                <w:rFonts w:ascii="Arial" w:cs="Arial" w:eastAsia="Arial" w:hAnsi="Arial"/>
                <w:sz w:val="18"/>
                <w:szCs w:val="18"/>
                <w:color w:val="auto"/>
              </w:rPr>
              <w:t>277</w:t>
            </w:r>
          </w:p>
        </w:tc>
        <w:tc>
          <w:tcPr>
            <w:tcW w:w="9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313</w:t>
            </w:r>
          </w:p>
        </w:tc>
        <w:tc>
          <w:tcPr>
            <w:tcW w:w="880" w:type="dxa"/>
            <w:vAlign w:val="bottom"/>
          </w:tcPr>
          <w:p>
            <w:pPr>
              <w:jc w:val="right"/>
              <w:ind w:right="56"/>
              <w:spacing w:after="0" w:line="203" w:lineRule="exact"/>
              <w:rPr>
                <w:sz w:val="20"/>
                <w:szCs w:val="20"/>
                <w:color w:val="auto"/>
              </w:rPr>
            </w:pPr>
            <w:r>
              <w:rPr>
                <w:rFonts w:ascii="Arial" w:cs="Arial" w:eastAsia="Arial" w:hAnsi="Arial"/>
                <w:sz w:val="18"/>
                <w:szCs w:val="18"/>
                <w:color w:val="auto"/>
              </w:rPr>
              <w:t>110</w:t>
            </w:r>
          </w:p>
        </w:tc>
        <w:tc>
          <w:tcPr>
            <w:tcW w:w="1080" w:type="dxa"/>
            <w:vAlign w:val="bottom"/>
          </w:tcPr>
          <w:p>
            <w:pPr>
              <w:jc w:val="right"/>
              <w:ind w:right="218"/>
              <w:spacing w:after="0" w:line="203" w:lineRule="exact"/>
              <w:rPr>
                <w:sz w:val="20"/>
                <w:szCs w:val="20"/>
                <w:color w:val="auto"/>
              </w:rPr>
            </w:pPr>
            <w:r>
              <w:rPr>
                <w:rFonts w:ascii="Arial" w:cs="Arial" w:eastAsia="Arial" w:hAnsi="Arial"/>
                <w:sz w:val="18"/>
                <w:szCs w:val="18"/>
                <w:color w:val="auto"/>
              </w:rPr>
              <w:t>110</w:t>
            </w:r>
          </w:p>
        </w:tc>
        <w:tc>
          <w:tcPr>
            <w:tcW w:w="84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110</w:t>
            </w:r>
          </w:p>
        </w:tc>
        <w:tc>
          <w:tcPr>
            <w:tcW w:w="880" w:type="dxa"/>
            <w:vAlign w:val="bottom"/>
          </w:tcPr>
          <w:p>
            <w:pPr>
              <w:jc w:val="right"/>
              <w:ind w:right="54"/>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rights, etc.)</w:t>
            </w:r>
          </w:p>
        </w:tc>
        <w:tc>
          <w:tcPr>
            <w:tcW w:w="1100" w:type="dxa"/>
            <w:vAlign w:val="bottom"/>
            <w:tcBorders>
              <w:bottom w:val="single" w:sz="8" w:color="auto"/>
            </w:tcBorders>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6.2</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1380" w:type="dxa"/>
            <w:vAlign w:val="bottom"/>
            <w:tcBorders>
              <w:bottom w:val="single" w:sz="8" w:color="auto"/>
            </w:tcBorders>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42</w:t>
            </w:r>
          </w:p>
        </w:tc>
        <w:tc>
          <w:tcPr>
            <w:tcW w:w="980" w:type="dxa"/>
            <w:vAlign w:val="bottom"/>
            <w:tcBorders>
              <w:bottom w:val="single" w:sz="8" w:color="auto"/>
            </w:tcBorders>
            <w:gridSpan w:val="2"/>
            <w:shd w:val="clear" w:color="auto" w:fill="CCEEFF"/>
          </w:tcPr>
          <w:p>
            <w:pPr>
              <w:jc w:val="right"/>
              <w:ind w:right="108"/>
              <w:spacing w:after="0" w:line="203" w:lineRule="exact"/>
              <w:rPr>
                <w:sz w:val="20"/>
                <w:szCs w:val="20"/>
                <w:color w:val="auto"/>
              </w:rPr>
            </w:pPr>
            <w:r>
              <w:rPr>
                <w:rFonts w:ascii="Arial" w:cs="Arial" w:eastAsia="Arial" w:hAnsi="Arial"/>
                <w:sz w:val="18"/>
                <w:szCs w:val="18"/>
                <w:color w:val="auto"/>
              </w:rPr>
              <w:t>85</w:t>
            </w:r>
          </w:p>
        </w:tc>
        <w:tc>
          <w:tcPr>
            <w:tcW w:w="860" w:type="dxa"/>
            <w:vAlign w:val="bottom"/>
            <w:tcBorders>
              <w:bottom w:val="single" w:sz="8" w:color="auto"/>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91</w:t>
            </w:r>
          </w:p>
        </w:tc>
        <w:tc>
          <w:tcPr>
            <w:tcW w:w="980" w:type="dxa"/>
            <w:vAlign w:val="bottom"/>
            <w:tcBorders>
              <w:bottom w:val="single" w:sz="8" w:color="auto"/>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rPr>
              <w:t>132</w:t>
            </w:r>
          </w:p>
        </w:tc>
        <w:tc>
          <w:tcPr>
            <w:tcW w:w="1080" w:type="dxa"/>
            <w:vAlign w:val="bottom"/>
            <w:tcBorders>
              <w:bottom w:val="single" w:sz="8" w:color="auto"/>
            </w:tcBorders>
            <w:shd w:val="clear" w:color="auto" w:fill="CCEEFF"/>
          </w:tcPr>
          <w:p>
            <w:pPr>
              <w:jc w:val="right"/>
              <w:ind w:right="218"/>
              <w:spacing w:after="0" w:line="203" w:lineRule="exact"/>
              <w:rPr>
                <w:sz w:val="20"/>
                <w:szCs w:val="20"/>
                <w:color w:val="auto"/>
              </w:rPr>
            </w:pPr>
            <w:r>
              <w:rPr>
                <w:rFonts w:ascii="Arial" w:cs="Arial" w:eastAsia="Arial" w:hAnsi="Arial"/>
                <w:sz w:val="18"/>
                <w:szCs w:val="18"/>
                <w:color w:val="auto"/>
              </w:rPr>
              <w:t>132</w:t>
            </w:r>
          </w:p>
        </w:tc>
        <w:tc>
          <w:tcPr>
            <w:tcW w:w="840" w:type="dxa"/>
            <w:vAlign w:val="bottom"/>
            <w:tcBorders>
              <w:bottom w:val="single" w:sz="8" w:color="auto"/>
            </w:tcBorders>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113</w:t>
            </w:r>
          </w:p>
        </w:tc>
        <w:tc>
          <w:tcPr>
            <w:tcW w:w="880" w:type="dxa"/>
            <w:vAlign w:val="bottom"/>
            <w:tcBorders>
              <w:bottom w:val="single" w:sz="8" w:color="auto"/>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11.5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3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$1,331</w:t>
            </w: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rPr>
              <w:t>$4,925</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$2,671</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$8,831</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$7,635</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$6,673</w:t>
            </w: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$5,750</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Of the $54.5 million carrying amount of intangibles other than goodwill as of April 30, 2008, $33.5 million was not amortizable for income tax purposes because the related businesses were purchased through tax-free stock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 Facility</w:t>
      </w:r>
    </w:p>
    <w:p>
      <w:pPr>
        <w:spacing w:after="0" w:line="126" w:lineRule="exact"/>
        <w:rPr>
          <w:sz w:val="20"/>
          <w:szCs w:val="20"/>
          <w:color w:val="auto"/>
        </w:rPr>
      </w:pPr>
    </w:p>
    <w:p>
      <w:pPr>
        <w:ind w:right="100" w:firstLine="250"/>
        <w:spacing w:after="0" w:line="238" w:lineRule="auto"/>
        <w:rPr>
          <w:sz w:val="20"/>
          <w:szCs w:val="20"/>
          <w:color w:val="auto"/>
        </w:rPr>
      </w:pPr>
      <w:r>
        <w:rPr>
          <w:rFonts w:ascii="Arial" w:cs="Arial" w:eastAsia="Arial" w:hAnsi="Arial"/>
          <w:sz w:val="18"/>
          <w:szCs w:val="18"/>
          <w:color w:val="auto"/>
        </w:rPr>
        <w:t>In connection with the acquisition of OneSource, the Company terminated its $300.0 million line of credit (old Facility) on November 14, 2007 and replaced the old Facility with a new $450.0 million five-year syndicated line of credit that is scheduled to expire on November 14, 2012 (new Facility). The new Facility was entered into among ABM, Bank of America, N.A. (BofA), as administrative agent, swing line lender, and letter of credit issuer and certain financial institutions, as lenders. The new Facility was used in part to acquire OneSource and is available for working capital, the issuance of standby letters of credit, the financing of capital expenditures, and other general corporate purposes.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from the syndicate lenders based on the London Interbank Offered Rate (LIBOR) plus a spread of 0.625% to 1.375% or, at ABM’s election, at the higher of the federal funds rate plus 0.5% and the BofA prime rate (Alternate Base Rate) plus a spread of 0.000% to 0.375%. A portion of the new Facility is also available for swing line (same-day) borrowings funded by BofA, as swing line lender, at the Interbank Offered Rate (IBOR) plus a spread of 0.625% to 1.375% or, at ABM’s election, at the Alternate Base Rate plus a spread of 0.000% to 0.375%. The new Facility calls for a non-use fee payable quarterly, in arrears, of 0.125% to 0.250% of the average, daily, unused portion of the new Facility. For purposes of this calculation, irrevocable standby letters of credit issued primarily in conjunction with ABM’s self-insurance program and cash borrowings are counted as use of the new Facility. The spreads for LIBOR, Alternate Base Rate and IBOR borrowings and the commitment fee percentage are based on ABM’s leverage ratio. The new Facility permits ABM to request an increase in the amount of the line of credit by up to $100.0 million (subject to receipt of commitments for the increased amount from existing and new lenders). The standby letters of credit outstanding under the old Facility have been replaced and are now outstanding under the new Facility. As of April 30, 2008, the total outstanding amounts under the new Facility in the form of cash borrowings and standby letters of credit were $301.5 million and $118.6 million, respectively.</w:t>
      </w:r>
    </w:p>
    <w:p>
      <w:pPr>
        <w:spacing w:after="0" w:line="97" w:lineRule="exact"/>
        <w:rPr>
          <w:sz w:val="20"/>
          <w:szCs w:val="20"/>
          <w:color w:val="auto"/>
        </w:rPr>
      </w:pPr>
    </w:p>
    <w:p>
      <w:pPr>
        <w:jc w:val="both"/>
        <w:ind w:right="60" w:firstLine="247"/>
        <w:spacing w:after="0" w:line="234" w:lineRule="auto"/>
        <w:rPr>
          <w:sz w:val="20"/>
          <w:szCs w:val="20"/>
          <w:color w:val="auto"/>
        </w:rPr>
      </w:pPr>
      <w:r>
        <w:rPr>
          <w:rFonts w:ascii="Arial" w:cs="Arial" w:eastAsia="Arial" w:hAnsi="Arial"/>
          <w:sz w:val="18"/>
          <w:szCs w:val="18"/>
          <w:color w:val="auto"/>
        </w:rPr>
        <w:t>The new Facility includes covenants limiting liens, dispositions, fundamental changes, investments, indebtedness, and certain transactions and payments. In addition, the new Facility also requires that ABM maintain three financial covenants: (1) a fixed charge coverage ratio greater than or equal to 1.50 to 1.0 at each fiscal quarter-end; (2) a leverage ratio of less than or equal to 3.25 to 1.0 at each fiscal quarter-end; and</w:t>
      </w:r>
    </w:p>
    <w:p>
      <w:pPr>
        <w:spacing w:after="0" w:line="2" w:lineRule="exact"/>
        <w:rPr>
          <w:sz w:val="20"/>
          <w:szCs w:val="20"/>
          <w:color w:val="auto"/>
        </w:rPr>
      </w:pPr>
    </w:p>
    <w:p>
      <w:pPr>
        <w:ind w:firstLine="8"/>
        <w:spacing w:after="0" w:line="237"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consolidated net worth of greater than or equal to the sum of (i) $475.0 million, (ii) an amount equal to 50% of the consolidated net income earned in each full fiscal quarter ending after November 14, 2007 (with no deduction for a net loss in any such fiscal quarter), and (iii) an amount equal to 100% of the aggregate increases in stockholders’ equity of ABM and its subsidiaries after November 14, 2007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 The Company was in compliance with all covenants as of April 30, 2008.</w:t>
      </w:r>
    </w:p>
    <w:p>
      <w:pPr>
        <w:spacing w:after="0" w:line="95" w:lineRule="exact"/>
        <w:rPr>
          <w:sz w:val="20"/>
          <w:szCs w:val="20"/>
          <w:color w:val="auto"/>
        </w:rPr>
      </w:pPr>
    </w:p>
    <w:p>
      <w:pPr>
        <w:ind w:right="200" w:firstLine="250"/>
        <w:spacing w:after="0" w:line="239" w:lineRule="auto"/>
        <w:rPr>
          <w:sz w:val="20"/>
          <w:szCs w:val="20"/>
          <w:color w:val="auto"/>
        </w:rPr>
      </w:pPr>
      <w:r>
        <w:rPr>
          <w:rFonts w:ascii="Arial" w:cs="Arial" w:eastAsia="Arial" w:hAnsi="Arial"/>
          <w:sz w:val="18"/>
          <w:szCs w:val="18"/>
          <w:color w:val="auto"/>
        </w:rPr>
        <w:t>If an event of default occurs under the new Facility, including certain cross-defaults, insolvency, change in control, and violation of specific covenants, the lenders can terminate or suspend ABM’s access to the new Facility, declare all amounts outstanding under the new Facility, including all accrued interest and unpaid fees, to be immediately due and payable, and/or require that ABM cash collateralize the outstanding letter of credit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components of comprehensive income, net of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40" w:type="dxa"/>
            <w:vAlign w:val="bottom"/>
            <w:gridSpan w:val="2"/>
          </w:tcPr>
          <w:p>
            <w:pPr>
              <w:jc w:val="right"/>
              <w:ind w:right="616"/>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740" w:type="dxa"/>
            <w:vAlign w:val="bottom"/>
            <w:gridSpan w:val="2"/>
          </w:tcPr>
          <w:p>
            <w:pPr>
              <w:jc w:val="right"/>
              <w:ind w:right="696"/>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16"/>
              <w:spacing w:after="0" w:line="157" w:lineRule="exact"/>
              <w:rPr>
                <w:sz w:val="20"/>
                <w:szCs w:val="20"/>
                <w:color w:val="auto"/>
              </w:rPr>
            </w:pPr>
            <w:r>
              <w:rPr>
                <w:rFonts w:ascii="Arial" w:cs="Arial" w:eastAsia="Arial" w:hAnsi="Arial"/>
                <w:sz w:val="14"/>
                <w:szCs w:val="14"/>
                <w:color w:val="auto"/>
              </w:rPr>
              <w:t>April 30,</w:t>
            </w:r>
          </w:p>
        </w:tc>
        <w:tc>
          <w:tcPr>
            <w:tcW w:w="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1016"/>
              <w:spacing w:after="0" w:line="157" w:lineRule="exact"/>
              <w:rPr>
                <w:sz w:val="20"/>
                <w:szCs w:val="20"/>
                <w:color w:val="auto"/>
              </w:rPr>
            </w:pPr>
            <w:r>
              <w:rPr>
                <w:rFonts w:ascii="Arial" w:cs="Arial" w:eastAsia="Arial" w:hAnsi="Arial"/>
                <w:sz w:val="14"/>
                <w:szCs w:val="14"/>
                <w:color w:val="auto"/>
              </w:rPr>
              <w:t>April 30,</w:t>
            </w:r>
          </w:p>
        </w:tc>
      </w:tr>
      <w:tr>
        <w:trPr>
          <w:trHeight w:val="163"/>
        </w:trPr>
        <w:tc>
          <w:tcPr>
            <w:tcW w:w="54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020" w:type="dxa"/>
            <w:vAlign w:val="bottom"/>
          </w:tcPr>
          <w:p>
            <w:pPr>
              <w:jc w:val="right"/>
              <w:ind w:right="196"/>
              <w:spacing w:after="0" w:line="155" w:lineRule="exact"/>
              <w:rPr>
                <w:sz w:val="20"/>
                <w:szCs w:val="20"/>
                <w:color w:val="auto"/>
              </w:rPr>
            </w:pPr>
            <w:r>
              <w:rPr>
                <w:rFonts w:ascii="Arial" w:cs="Arial" w:eastAsia="Arial" w:hAnsi="Arial"/>
                <w:sz w:val="14"/>
                <w:szCs w:val="14"/>
                <w:color w:val="auto"/>
              </w:rPr>
              <w:t>2008</w:t>
            </w:r>
          </w:p>
        </w:tc>
        <w:tc>
          <w:tcPr>
            <w:tcW w:w="1720" w:type="dxa"/>
            <w:vAlign w:val="bottom"/>
          </w:tcPr>
          <w:p>
            <w:pPr>
              <w:jc w:val="right"/>
              <w:ind w:right="316"/>
              <w:spacing w:after="0" w:line="155" w:lineRule="exact"/>
              <w:rPr>
                <w:sz w:val="20"/>
                <w:szCs w:val="20"/>
                <w:color w:val="auto"/>
              </w:rPr>
            </w:pPr>
            <w:r>
              <w:rPr>
                <w:rFonts w:ascii="Arial" w:cs="Arial" w:eastAsia="Arial" w:hAnsi="Arial"/>
                <w:sz w:val="14"/>
                <w:szCs w:val="14"/>
                <w:color w:val="auto"/>
              </w:rPr>
              <w:t>2007</w:t>
            </w:r>
          </w:p>
        </w:tc>
        <w:tc>
          <w:tcPr>
            <w:tcW w:w="148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2008</w:t>
            </w:r>
          </w:p>
        </w:tc>
        <w:tc>
          <w:tcPr>
            <w:tcW w:w="1740" w:type="dxa"/>
            <w:vAlign w:val="bottom"/>
          </w:tcPr>
          <w:p>
            <w:pPr>
              <w:jc w:val="right"/>
              <w:ind w:right="316"/>
              <w:spacing w:after="0" w:line="155" w:lineRule="exact"/>
              <w:rPr>
                <w:sz w:val="20"/>
                <w:szCs w:val="20"/>
                <w:color w:val="auto"/>
              </w:rPr>
            </w:pPr>
            <w:r>
              <w:rPr>
                <w:rFonts w:ascii="Arial" w:cs="Arial" w:eastAsia="Arial" w:hAnsi="Arial"/>
                <w:sz w:val="14"/>
                <w:szCs w:val="14"/>
                <w:color w:val="auto"/>
              </w:rPr>
              <w:t>2007</w:t>
            </w:r>
          </w:p>
        </w:tc>
      </w:tr>
      <w:tr>
        <w:trPr>
          <w:trHeight w:val="203"/>
        </w:trPr>
        <w:tc>
          <w:tcPr>
            <w:tcW w:w="20" w:type="dxa"/>
            <w:vAlign w:val="bottom"/>
          </w:tcPr>
          <w:p>
            <w:pPr>
              <w:spacing w:after="0"/>
              <w:rPr>
                <w:sz w:val="17"/>
                <w:szCs w:val="17"/>
                <w:color w:val="auto"/>
              </w:rPr>
            </w:pPr>
          </w:p>
        </w:tc>
        <w:tc>
          <w:tcPr>
            <w:tcW w:w="5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$ 11,072</w:t>
            </w:r>
          </w:p>
        </w:tc>
        <w:tc>
          <w:tcPr>
            <w:tcW w:w="1720" w:type="dxa"/>
            <w:vAlign w:val="bottom"/>
            <w:tcBorders>
              <w:top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$ 16,722</w:t>
            </w:r>
          </w:p>
        </w:tc>
        <w:tc>
          <w:tcPr>
            <w:tcW w:w="1480" w:type="dxa"/>
            <w:vAlign w:val="bottom"/>
            <w:tcBorders>
              <w:top w:val="single" w:sz="8" w:color="auto"/>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$ 17,436</w:t>
            </w:r>
          </w:p>
        </w:tc>
        <w:tc>
          <w:tcPr>
            <w:tcW w:w="1740" w:type="dxa"/>
            <w:vAlign w:val="bottom"/>
            <w:tcBorders>
              <w:top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$ 25,426</w:t>
            </w: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unrealized income (loss) on investment</w:t>
            </w:r>
          </w:p>
        </w:tc>
        <w:tc>
          <w:tcPr>
            <w:tcW w:w="10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58</w:t>
            </w:r>
          </w:p>
        </w:tc>
        <w:tc>
          <w:tcPr>
            <w:tcW w:w="172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(881)</w:t>
            </w:r>
          </w:p>
        </w:tc>
        <w:tc>
          <w:tcPr>
            <w:tcW w:w="174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102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(47)</w:t>
            </w:r>
          </w:p>
        </w:tc>
        <w:tc>
          <w:tcPr>
            <w:tcW w:w="1720" w:type="dxa"/>
            <w:vAlign w:val="bottom"/>
            <w:tcBorders>
              <w:bottom w:val="single" w:sz="8" w:color="auto"/>
            </w:tcBorders>
          </w:tcPr>
          <w:p>
            <w:pPr>
              <w:jc w:val="right"/>
              <w:ind w:right="196"/>
              <w:spacing w:after="0" w:line="202" w:lineRule="exact"/>
              <w:rPr>
                <w:sz w:val="20"/>
                <w:szCs w:val="20"/>
                <w:color w:val="auto"/>
              </w:rPr>
            </w:pPr>
            <w:r>
              <w:rPr>
                <w:rFonts w:ascii="Arial" w:cs="Arial" w:eastAsia="Arial" w:hAnsi="Arial"/>
                <w:sz w:val="18"/>
                <w:szCs w:val="18"/>
                <w:color w:val="auto"/>
              </w:rPr>
              <w:t>233</w:t>
            </w:r>
          </w:p>
        </w:tc>
        <w:tc>
          <w:tcPr>
            <w:tcW w:w="1480" w:type="dxa"/>
            <w:vAlign w:val="bottom"/>
            <w:tcBorders>
              <w:bottom w:val="single" w:sz="8" w:color="auto"/>
            </w:tcBorders>
            <w:gridSpan w:val="2"/>
          </w:tcPr>
          <w:p>
            <w:pPr>
              <w:jc w:val="right"/>
              <w:ind w:right="28"/>
              <w:spacing w:after="0" w:line="202" w:lineRule="exact"/>
              <w:rPr>
                <w:sz w:val="20"/>
                <w:szCs w:val="20"/>
                <w:color w:val="auto"/>
              </w:rPr>
            </w:pPr>
            <w:r>
              <w:rPr>
                <w:rFonts w:ascii="Arial" w:cs="Arial" w:eastAsia="Arial" w:hAnsi="Arial"/>
                <w:sz w:val="18"/>
                <w:szCs w:val="18"/>
                <w:color w:val="auto"/>
              </w:rPr>
              <w:t>(97)</w:t>
            </w:r>
          </w:p>
        </w:tc>
        <w:tc>
          <w:tcPr>
            <w:tcW w:w="1740" w:type="dxa"/>
            <w:vAlign w:val="bottom"/>
            <w:tcBorders>
              <w:bottom w:val="single" w:sz="8" w:color="auto"/>
            </w:tcBorders>
          </w:tcPr>
          <w:p>
            <w:pPr>
              <w:jc w:val="right"/>
              <w:ind w:right="196"/>
              <w:spacing w:after="0" w:line="202"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$11,083</w:t>
            </w:r>
          </w:p>
        </w:tc>
        <w:tc>
          <w:tcPr>
            <w:tcW w:w="1720" w:type="dxa"/>
            <w:vAlign w:val="bottom"/>
            <w:tcBorders>
              <w:bottom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$16,955</w:t>
            </w:r>
          </w:p>
        </w:tc>
        <w:tc>
          <w:tcPr>
            <w:tcW w:w="1480" w:type="dxa"/>
            <w:vAlign w:val="bottom"/>
            <w:tcBorders>
              <w:bottom w:val="single" w:sz="8" w:color="auto"/>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$16,458</w:t>
            </w:r>
          </w:p>
        </w:tc>
        <w:tc>
          <w:tcPr>
            <w:tcW w:w="1740" w:type="dxa"/>
            <w:vAlign w:val="bottom"/>
            <w:tcBorders>
              <w:bottom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$25,473</w:t>
            </w: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Actuarial gains and losses on benefit plans were not material for the three and six months ended April 30, 2008.</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Assumed with OneSource Acquisition</w:t>
      </w:r>
    </w:p>
    <w:p>
      <w:pPr>
        <w:spacing w:after="0" w:line="122" w:lineRule="exact"/>
        <w:rPr>
          <w:sz w:val="20"/>
          <w:szCs w:val="20"/>
          <w:color w:val="auto"/>
        </w:rPr>
      </w:pPr>
    </w:p>
    <w:p>
      <w:pPr>
        <w:ind w:right="240" w:firstLine="250"/>
        <w:spacing w:after="0" w:line="239" w:lineRule="auto"/>
        <w:rPr>
          <w:sz w:val="20"/>
          <w:szCs w:val="20"/>
          <w:color w:val="auto"/>
        </w:rPr>
      </w:pPr>
      <w:r>
        <w:rPr>
          <w:rFonts w:ascii="Arial" w:cs="Arial" w:eastAsia="Arial" w:hAnsi="Arial"/>
          <w:sz w:val="18"/>
          <w:szCs w:val="18"/>
          <w:color w:val="auto"/>
        </w:rPr>
        <w:t>Certain current and former non-union OneSource employees are covered by a non-contributory, funded, defined benefit plan (OneSource Defined Benefit Plan). Benefits under the OneSource Defined Benefit Plan are based upon a formula, using an employee’s length of service and average compensation. In 1989, the OneSource Defined Benefit Plan was frozen, so that no additional benefits are earned by plan participants.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Applicable to the Company’s Benefit Plans, including those Assumed with the OneSource Acquisition</w:t>
      </w:r>
    </w:p>
    <w:p>
      <w:pPr>
        <w:spacing w:after="0" w:line="122" w:lineRule="exact"/>
        <w:rPr>
          <w:sz w:val="20"/>
          <w:szCs w:val="20"/>
          <w:color w:val="auto"/>
        </w:rPr>
      </w:pPr>
    </w:p>
    <w:p>
      <w:pPr>
        <w:ind w:right="180" w:firstLine="250"/>
        <w:spacing w:after="0" w:line="239" w:lineRule="auto"/>
        <w:rPr>
          <w:sz w:val="20"/>
          <w:szCs w:val="20"/>
          <w:color w:val="auto"/>
        </w:rPr>
      </w:pPr>
      <w:r>
        <w:rPr>
          <w:rFonts w:ascii="Arial" w:cs="Arial" w:eastAsia="Arial" w:hAnsi="Arial"/>
          <w:sz w:val="18"/>
          <w:szCs w:val="18"/>
          <w:color w:val="auto"/>
        </w:rPr>
        <w:t>On April 30, 2008, the liabilities under the Company’s defined benefit plans and deferred compensation plans, including OneSource plans, were $13.9 million and $18.5 million, respectively. The liabilities under the Company’s defined benefit and deferred compensation plans at October 31, 2007, were $6.4 million and $10.2 million, respectively. These amounts are included in retirement plans and other non-current liabilities.</w:t>
      </w:r>
    </w:p>
    <w:p>
      <w:pPr>
        <w:spacing w:after="0" w:line="94" w:lineRule="exact"/>
        <w:rPr>
          <w:sz w:val="20"/>
          <w:szCs w:val="20"/>
          <w:color w:val="auto"/>
        </w:rPr>
      </w:pPr>
    </w:p>
    <w:p>
      <w:pPr>
        <w:ind w:right="580" w:firstLine="247"/>
        <w:spacing w:after="0" w:line="246" w:lineRule="auto"/>
        <w:rPr>
          <w:sz w:val="20"/>
          <w:szCs w:val="20"/>
          <w:color w:val="auto"/>
        </w:rPr>
      </w:pPr>
      <w:r>
        <w:rPr>
          <w:rFonts w:ascii="Arial" w:cs="Arial" w:eastAsia="Arial" w:hAnsi="Arial"/>
          <w:sz w:val="18"/>
          <w:szCs w:val="18"/>
          <w:color w:val="auto"/>
        </w:rPr>
        <w:t>The components of net periodic cost of the Company’s defined benefit plans and the post-retirement benefit plan for the three and six months ended April 30, 2008 and 2007,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3"/>
          </w:tcPr>
          <w:p>
            <w:pPr>
              <w:jc w:val="right"/>
              <w:ind w:right="47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6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56"/>
              <w:spacing w:after="0" w:line="157" w:lineRule="exact"/>
              <w:rPr>
                <w:sz w:val="20"/>
                <w:szCs w:val="20"/>
                <w:color w:val="auto"/>
              </w:rPr>
            </w:pPr>
            <w:r>
              <w:rPr>
                <w:rFonts w:ascii="Arial" w:cs="Arial" w:eastAsia="Arial" w:hAnsi="Arial"/>
                <w:sz w:val="14"/>
                <w:szCs w:val="14"/>
                <w:color w:val="auto"/>
              </w:rPr>
              <w:t>April 30,</w:t>
            </w:r>
          </w:p>
        </w:tc>
        <w:tc>
          <w:tcPr>
            <w:tcW w:w="64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96"/>
              <w:spacing w:after="0" w:line="157" w:lineRule="exact"/>
              <w:rPr>
                <w:sz w:val="20"/>
                <w:szCs w:val="20"/>
                <w:color w:val="auto"/>
              </w:rPr>
            </w:pPr>
            <w:r>
              <w:rPr>
                <w:rFonts w:ascii="Arial" w:cs="Arial" w:eastAsia="Arial" w:hAnsi="Arial"/>
                <w:sz w:val="14"/>
                <w:szCs w:val="14"/>
                <w:color w:val="auto"/>
              </w:rPr>
              <w:t>April 30,</w:t>
            </w:r>
          </w:p>
        </w:tc>
        <w:tc>
          <w:tcPr>
            <w:tcW w:w="620" w:type="dxa"/>
            <w:vAlign w:val="bottom"/>
            <w:tcBorders>
              <w:bottom w:val="single" w:sz="8" w:color="auto"/>
            </w:tcBorders>
          </w:tcPr>
          <w:p>
            <w:pPr>
              <w:spacing w:after="0"/>
              <w:rPr>
                <w:sz w:val="13"/>
                <w:szCs w:val="13"/>
                <w:color w:val="auto"/>
              </w:rPr>
            </w:pPr>
          </w:p>
        </w:tc>
      </w:tr>
      <w:tr>
        <w:trPr>
          <w:trHeight w:val="163"/>
        </w:trPr>
        <w:tc>
          <w:tcPr>
            <w:tcW w:w="592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84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2008</w:t>
            </w:r>
          </w:p>
        </w:tc>
        <w:tc>
          <w:tcPr>
            <w:tcW w:w="1640" w:type="dxa"/>
            <w:vAlign w:val="bottom"/>
            <w:gridSpan w:val="2"/>
          </w:tcPr>
          <w:p>
            <w:pPr>
              <w:jc w:val="right"/>
              <w:ind w:right="230"/>
              <w:spacing w:after="0" w:line="155"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2008</w:t>
            </w:r>
          </w:p>
        </w:tc>
        <w:tc>
          <w:tcPr>
            <w:tcW w:w="1640" w:type="dxa"/>
            <w:vAlign w:val="bottom"/>
            <w:gridSpan w:val="2"/>
          </w:tcPr>
          <w:p>
            <w:pPr>
              <w:jc w:val="right"/>
              <w:ind w:right="230"/>
              <w:spacing w:after="0" w:line="155" w:lineRule="exact"/>
              <w:rPr>
                <w:sz w:val="20"/>
                <w:szCs w:val="20"/>
                <w:color w:val="auto"/>
              </w:rPr>
            </w:pPr>
            <w:r>
              <w:rPr>
                <w:rFonts w:ascii="Arial" w:cs="Arial" w:eastAsia="Arial" w:hAnsi="Arial"/>
                <w:sz w:val="14"/>
                <w:szCs w:val="14"/>
                <w:color w:val="auto"/>
              </w:rPr>
              <w:t>2007</w:t>
            </w:r>
          </w:p>
        </w:tc>
      </w:tr>
      <w:tr>
        <w:trPr>
          <w:trHeight w:val="203"/>
        </w:trPr>
        <w:tc>
          <w:tcPr>
            <w:tcW w:w="20" w:type="dxa"/>
            <w:vAlign w:val="bottom"/>
          </w:tcPr>
          <w:p>
            <w:pPr>
              <w:spacing w:after="0"/>
              <w:rPr>
                <w:sz w:val="17"/>
                <w:szCs w:val="17"/>
                <w:color w:val="auto"/>
              </w:rPr>
            </w:pPr>
          </w:p>
        </w:tc>
        <w:tc>
          <w:tcPr>
            <w:tcW w:w="5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Defined Benefit Plans</w:t>
            </w: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3"/>
              </w:rPr>
              <w:t>208</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416</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185</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340" w:type="dxa"/>
            <w:vAlign w:val="bottom"/>
          </w:tcPr>
          <w:p>
            <w:pPr>
              <w:spacing w:after="0"/>
              <w:rPr>
                <w:sz w:val="17"/>
                <w:szCs w:val="17"/>
                <w:color w:val="auto"/>
              </w:rPr>
            </w:pPr>
          </w:p>
        </w:tc>
        <w:tc>
          <w:tcPr>
            <w:tcW w:w="5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3"/>
              </w:rPr>
              <w:t>160</w:t>
            </w:r>
          </w:p>
        </w:tc>
        <w:tc>
          <w:tcPr>
            <w:tcW w:w="1000" w:type="dxa"/>
            <w:vAlign w:val="bottom"/>
          </w:tcPr>
          <w:p>
            <w:pPr>
              <w:spacing w:after="0"/>
              <w:rPr>
                <w:sz w:val="17"/>
                <w:szCs w:val="17"/>
                <w:color w:val="auto"/>
              </w:rPr>
            </w:pPr>
          </w:p>
        </w:tc>
        <w:tc>
          <w:tcPr>
            <w:tcW w:w="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31</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320</w:t>
            </w:r>
          </w:p>
        </w:tc>
        <w:tc>
          <w:tcPr>
            <w:tcW w:w="1020" w:type="dxa"/>
            <w:vAlign w:val="bottom"/>
          </w:tcPr>
          <w:p>
            <w:pPr>
              <w:spacing w:after="0"/>
              <w:rPr>
                <w:sz w:val="17"/>
                <w:szCs w:val="17"/>
                <w:color w:val="auto"/>
              </w:rPr>
            </w:pPr>
          </w:p>
        </w:tc>
        <w:tc>
          <w:tcPr>
            <w:tcW w:w="6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Loss on plan investment</w:t>
            </w:r>
          </w:p>
        </w:tc>
        <w:tc>
          <w:tcPr>
            <w:tcW w:w="3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(93)</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w w:val="95"/>
              </w:rPr>
              <w:t>(186)</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Net periodic cost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w w:val="93"/>
              </w:rPr>
              <w:t>287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w w:val="99"/>
              </w:rPr>
              <w:t>112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3"/>
              <w:spacing w:after="0"/>
              <w:rPr>
                <w:sz w:val="20"/>
                <w:szCs w:val="20"/>
                <w:color w:val="auto"/>
              </w:rPr>
            </w:pPr>
            <w:r>
              <w:rPr>
                <w:rFonts w:ascii="Arial" w:cs="Arial" w:eastAsia="Arial" w:hAnsi="Arial"/>
                <w:sz w:val="18"/>
                <w:szCs w:val="18"/>
                <w:color w:val="auto"/>
              </w:rPr>
              <w:t>574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249</w:t>
            </w: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58</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116</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121</w:t>
            </w:r>
          </w:p>
        </w:tc>
      </w:tr>
      <w:tr>
        <w:trPr>
          <w:trHeight w:val="210"/>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Amortization of actuarial gain</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(52)</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periodic cost</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54</w:t>
            </w:r>
          </w:p>
        </w:tc>
        <w:tc>
          <w:tcPr>
            <w:tcW w:w="8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73</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108</w:t>
            </w: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247"/>
        <w:spacing w:after="0" w:line="246" w:lineRule="auto"/>
        <w:rPr>
          <w:sz w:val="20"/>
          <w:szCs w:val="20"/>
          <w:color w:val="auto"/>
        </w:rPr>
      </w:pPr>
      <w:r>
        <w:rPr>
          <w:rFonts w:ascii="Arial" w:cs="Arial" w:eastAsia="Arial" w:hAnsi="Arial"/>
          <w:sz w:val="18"/>
          <w:szCs w:val="18"/>
          <w:color w:val="auto"/>
        </w:rPr>
        <w:t>The transactions under the Company’s unfunded deferred compensation plan, the unfunded director deferred compensation plan, and the funded deferred compensation plan for the three and six months ended April 30, 2008 and 2007,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93"/>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673"/>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3"/>
              <w:spacing w:after="0" w:line="157" w:lineRule="exact"/>
              <w:rPr>
                <w:sz w:val="20"/>
                <w:szCs w:val="20"/>
                <w:color w:val="auto"/>
              </w:rPr>
            </w:pPr>
            <w:r>
              <w:rPr>
                <w:rFonts w:ascii="Arial" w:cs="Arial" w:eastAsia="Arial" w:hAnsi="Arial"/>
                <w:sz w:val="14"/>
                <w:szCs w:val="14"/>
                <w:color w:val="auto"/>
              </w:rPr>
              <w:t>April 30,</w:t>
            </w:r>
          </w:p>
        </w:tc>
        <w:tc>
          <w:tcPr>
            <w:tcW w:w="82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3"/>
              <w:spacing w:after="0" w:line="157" w:lineRule="exact"/>
              <w:rPr>
                <w:sz w:val="20"/>
                <w:szCs w:val="20"/>
                <w:color w:val="auto"/>
              </w:rPr>
            </w:pPr>
            <w:r>
              <w:rPr>
                <w:rFonts w:ascii="Arial" w:cs="Arial" w:eastAsia="Arial" w:hAnsi="Arial"/>
                <w:sz w:val="14"/>
                <w:szCs w:val="14"/>
                <w:color w:val="auto"/>
              </w:rPr>
              <w:t>April 30,</w:t>
            </w:r>
          </w:p>
        </w:tc>
        <w:tc>
          <w:tcPr>
            <w:tcW w:w="800" w:type="dxa"/>
            <w:vAlign w:val="bottom"/>
            <w:tcBorders>
              <w:bottom w:val="single" w:sz="8" w:color="auto"/>
            </w:tcBorders>
          </w:tcPr>
          <w:p>
            <w:pPr>
              <w:spacing w:after="0"/>
              <w:rPr>
                <w:sz w:val="13"/>
                <w:szCs w:val="13"/>
                <w:color w:val="auto"/>
              </w:rPr>
            </w:pPr>
          </w:p>
        </w:tc>
      </w:tr>
      <w:tr>
        <w:trPr>
          <w:trHeight w:val="163"/>
        </w:trPr>
        <w:tc>
          <w:tcPr>
            <w:tcW w:w="55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680" w:type="dxa"/>
            <w:vAlign w:val="bottom"/>
          </w:tcPr>
          <w:p>
            <w:pPr>
              <w:jc w:val="right"/>
              <w:ind w:right="195"/>
              <w:spacing w:after="0" w:line="155" w:lineRule="exact"/>
              <w:rPr>
                <w:sz w:val="20"/>
                <w:szCs w:val="20"/>
                <w:color w:val="auto"/>
              </w:rPr>
            </w:pPr>
            <w:r>
              <w:rPr>
                <w:rFonts w:ascii="Arial" w:cs="Arial" w:eastAsia="Arial" w:hAnsi="Arial"/>
                <w:sz w:val="14"/>
                <w:szCs w:val="14"/>
                <w:color w:val="auto"/>
              </w:rPr>
              <w:t>2008</w:t>
            </w:r>
          </w:p>
        </w:tc>
        <w:tc>
          <w:tcPr>
            <w:tcW w:w="900" w:type="dxa"/>
            <w:vAlign w:val="bottom"/>
          </w:tcPr>
          <w:p>
            <w:pPr>
              <w:spacing w:after="0"/>
              <w:rPr>
                <w:sz w:val="14"/>
                <w:szCs w:val="14"/>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75"/>
              <w:spacing w:after="0" w:line="155" w:lineRule="exact"/>
              <w:rPr>
                <w:sz w:val="20"/>
                <w:szCs w:val="20"/>
                <w:color w:val="auto"/>
              </w:rPr>
            </w:pPr>
            <w:r>
              <w:rPr>
                <w:rFonts w:ascii="Arial" w:cs="Arial" w:eastAsia="Arial" w:hAnsi="Arial"/>
                <w:sz w:val="14"/>
                <w:szCs w:val="14"/>
                <w:color w:val="auto"/>
              </w:rPr>
              <w:t>2008</w:t>
            </w:r>
          </w:p>
        </w:tc>
        <w:tc>
          <w:tcPr>
            <w:tcW w:w="920" w:type="dxa"/>
            <w:vAlign w:val="bottom"/>
          </w:tcPr>
          <w:p>
            <w:pPr>
              <w:spacing w:after="0"/>
              <w:rPr>
                <w:sz w:val="14"/>
                <w:szCs w:val="14"/>
                <w:color w:val="auto"/>
              </w:rPr>
            </w:pPr>
          </w:p>
        </w:tc>
        <w:tc>
          <w:tcPr>
            <w:tcW w:w="800" w:type="dxa"/>
            <w:vAlign w:val="bottom"/>
          </w:tcPr>
          <w:p>
            <w:pPr>
              <w:jc w:val="right"/>
              <w:ind w:right="313"/>
              <w:spacing w:after="0" w:line="155" w:lineRule="exact"/>
              <w:rPr>
                <w:sz w:val="20"/>
                <w:szCs w:val="20"/>
                <w:color w:val="auto"/>
              </w:rPr>
            </w:pPr>
            <w:r>
              <w:rPr>
                <w:rFonts w:ascii="Arial" w:cs="Arial" w:eastAsia="Arial" w:hAnsi="Arial"/>
                <w:sz w:val="14"/>
                <w:szCs w:val="14"/>
                <w:color w:val="auto"/>
              </w:rPr>
              <w:t>2007</w:t>
            </w:r>
          </w:p>
        </w:tc>
      </w:tr>
      <w:tr>
        <w:trPr>
          <w:trHeight w:val="203"/>
        </w:trPr>
        <w:tc>
          <w:tcPr>
            <w:tcW w:w="20" w:type="dxa"/>
            <w:vAlign w:val="bottom"/>
          </w:tcPr>
          <w:p>
            <w:pPr>
              <w:spacing w:after="0"/>
              <w:rPr>
                <w:sz w:val="17"/>
                <w:szCs w:val="17"/>
                <w:color w:val="auto"/>
              </w:rPr>
            </w:pPr>
          </w:p>
        </w:tc>
        <w:tc>
          <w:tcPr>
            <w:tcW w:w="5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Participant contributions</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399</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180</w:t>
            </w:r>
          </w:p>
        </w:tc>
        <w:tc>
          <w:tcPr>
            <w:tcW w:w="7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953</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461</w:t>
            </w: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Company contributions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(loss) on plan investment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504</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(264)</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Interest accrued</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123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169</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262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357</w:t>
            </w: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94"/>
              </w:rPr>
              <w:t>(1,996)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8"/>
              </w:rPr>
              <w:t>(1,058)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94"/>
              </w:rPr>
              <w:t>(2,868)</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4"/>
              </w:rPr>
              <w:t>(1,153)</w:t>
            </w:r>
          </w:p>
        </w:tc>
      </w:tr>
    </w:tbl>
    <w:p>
      <w:pPr>
        <w:spacing w:after="0" w:line="107" w:lineRule="exact"/>
        <w:rPr>
          <w:sz w:val="20"/>
          <w:szCs w:val="20"/>
          <w:color w:val="auto"/>
        </w:rPr>
      </w:pPr>
    </w:p>
    <w:p>
      <w:pPr>
        <w:ind w:right="540" w:firstLine="247"/>
        <w:spacing w:after="0"/>
        <w:rPr>
          <w:sz w:val="20"/>
          <w:szCs w:val="20"/>
          <w:color w:val="auto"/>
        </w:rPr>
      </w:pPr>
      <w:r>
        <w:rPr>
          <w:rFonts w:ascii="Arial" w:cs="Arial" w:eastAsia="Arial" w:hAnsi="Arial"/>
          <w:sz w:val="18"/>
          <w:szCs w:val="18"/>
          <w:color w:val="auto"/>
        </w:rPr>
        <w:t>The Company makes contributions under a number of union-sponsored multi-employer arrangements, including additional defined contribution and defined benefit plans covering OneSource employees. Contributions made for pension plans under collective bargaining agreements were $12.2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million and $24.3 million (which included $2.0 million and $4.0 million for OneSource employees, respectively) for the three and six months ended April 30, 2008, respectively, and $9.1 million and $18.4 million for the three and six months ended April 30, 2007, respectively. These plans are not administered by the Company and contributions are determined in accordance with provisions of negotiated labor contracts.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6" w:lineRule="exact"/>
        <w:rPr>
          <w:sz w:val="20"/>
          <w:szCs w:val="20"/>
          <w:color w:val="auto"/>
        </w:rPr>
      </w:pPr>
    </w:p>
    <w:p>
      <w:pPr>
        <w:ind w:right="220" w:firstLine="247"/>
        <w:spacing w:after="0"/>
        <w:rPr>
          <w:sz w:val="20"/>
          <w:szCs w:val="20"/>
          <w:color w:val="auto"/>
        </w:rPr>
      </w:pPr>
      <w:r>
        <w:rPr>
          <w:rFonts w:ascii="Arial" w:cs="Arial" w:eastAsia="Arial" w:hAnsi="Arial"/>
          <w:sz w:val="18"/>
          <w:szCs w:val="18"/>
          <w:color w:val="auto"/>
        </w:rPr>
        <w:t>The Company is currently organized into five separate reportable operating segments. In accordance with Statement of Financial Accounting Standards (SFAS) No. 131, “Disclosures about Segments of an Enterprise and Related Information,” Janitorial, Parking, Security, Engineering and Lighting are reportable segments. Segment sales and other income and operating profits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3"/>
          </w:tcPr>
          <w:p>
            <w:pPr>
              <w:jc w:val="right"/>
              <w:ind w:right="671"/>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3"/>
          </w:tcPr>
          <w:p>
            <w:pPr>
              <w:jc w:val="right"/>
              <w:ind w:right="91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4"/>
              <w:spacing w:after="0" w:line="157" w:lineRule="exact"/>
              <w:rPr>
                <w:sz w:val="20"/>
                <w:szCs w:val="20"/>
                <w:color w:val="auto"/>
              </w:rPr>
            </w:pPr>
            <w:r>
              <w:rPr>
                <w:rFonts w:ascii="Arial" w:cs="Arial" w:eastAsia="Arial" w:hAnsi="Arial"/>
                <w:sz w:val="14"/>
                <w:szCs w:val="14"/>
                <w:color w:val="auto"/>
              </w:rPr>
              <w:t>April 30,</w:t>
            </w:r>
          </w:p>
        </w:tc>
        <w:tc>
          <w:tcPr>
            <w:tcW w:w="9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4"/>
              <w:spacing w:after="0" w:line="157" w:lineRule="exact"/>
              <w:rPr>
                <w:sz w:val="20"/>
                <w:szCs w:val="20"/>
                <w:color w:val="auto"/>
              </w:rPr>
            </w:pPr>
            <w:r>
              <w:rPr>
                <w:rFonts w:ascii="Arial" w:cs="Arial" w:eastAsia="Arial" w:hAnsi="Arial"/>
                <w:sz w:val="14"/>
                <w:szCs w:val="14"/>
                <w:color w:val="auto"/>
              </w:rPr>
              <w:t>April 30,</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9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800" w:type="dxa"/>
            <w:vAlign w:val="bottom"/>
          </w:tcPr>
          <w:p>
            <w:pPr>
              <w:jc w:val="right"/>
              <w:ind w:right="232"/>
              <w:spacing w:after="0" w:line="155"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4"/>
                <w:szCs w:val="14"/>
                <w:color w:val="auto"/>
              </w:rPr>
            </w:pPr>
          </w:p>
        </w:tc>
        <w:tc>
          <w:tcPr>
            <w:tcW w:w="920" w:type="dxa"/>
            <w:vAlign w:val="bottom"/>
          </w:tcPr>
          <w:p>
            <w:pPr>
              <w:jc w:val="right"/>
              <w:ind w:right="351"/>
              <w:spacing w:after="0" w:line="155"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12"/>
              <w:spacing w:after="0" w:line="155" w:lineRule="exact"/>
              <w:rPr>
                <w:sz w:val="20"/>
                <w:szCs w:val="20"/>
                <w:color w:val="auto"/>
              </w:rPr>
            </w:pPr>
            <w:r>
              <w:rPr>
                <w:rFonts w:ascii="Arial" w:cs="Arial" w:eastAsia="Arial" w:hAnsi="Arial"/>
                <w:sz w:val="14"/>
                <w:szCs w:val="14"/>
                <w:color w:val="auto"/>
              </w:rPr>
              <w:t>2008</w:t>
            </w:r>
          </w:p>
        </w:tc>
        <w:tc>
          <w:tcPr>
            <w:tcW w:w="840" w:type="dxa"/>
            <w:vAlign w:val="bottom"/>
          </w:tcPr>
          <w:p>
            <w:pPr>
              <w:spacing w:after="0"/>
              <w:rPr>
                <w:sz w:val="14"/>
                <w:szCs w:val="14"/>
                <w:color w:val="auto"/>
              </w:rPr>
            </w:pPr>
          </w:p>
        </w:tc>
        <w:tc>
          <w:tcPr>
            <w:tcW w:w="1080" w:type="dxa"/>
            <w:vAlign w:val="bottom"/>
          </w:tcPr>
          <w:p>
            <w:pPr>
              <w:jc w:val="right"/>
              <w:ind w:right="431"/>
              <w:spacing w:after="0" w:line="155"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5"/>
              </w:rPr>
              <w:t>625,542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399,518</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8"/>
              </w:rPr>
              <w:t>1,231,587*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799,744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5"/>
              </w:rPr>
              <w:t>124,512</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118,521</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248,467</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233,327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3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82,285</w:t>
            </w:r>
          </w:p>
        </w:tc>
        <w:tc>
          <w:tcPr>
            <w:tcW w:w="8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77,549</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163,226</w:t>
            </w:r>
          </w:p>
        </w:tc>
        <w:tc>
          <w:tcPr>
            <w:tcW w:w="840" w:type="dxa"/>
            <w:vAlign w:val="bottom"/>
          </w:tcPr>
          <w:p>
            <w:pPr>
              <w:spacing w:after="0"/>
              <w:rPr>
                <w:sz w:val="17"/>
                <w:szCs w:val="17"/>
                <w:color w:val="auto"/>
              </w:rPr>
            </w:pPr>
          </w:p>
        </w:tc>
        <w:tc>
          <w:tcPr>
            <w:tcW w:w="10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158,367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79,346</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72,044</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161,161</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146,822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3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26,195</w:t>
            </w:r>
          </w:p>
        </w:tc>
        <w:tc>
          <w:tcPr>
            <w:tcW w:w="8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28,923</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55,095</w:t>
            </w:r>
          </w:p>
        </w:tc>
        <w:tc>
          <w:tcPr>
            <w:tcW w:w="840" w:type="dxa"/>
            <w:vAlign w:val="bottom"/>
          </w:tcPr>
          <w:p>
            <w:pPr>
              <w:spacing w:after="0"/>
              <w:rPr>
                <w:sz w:val="17"/>
                <w:szCs w:val="17"/>
                <w:color w:val="auto"/>
              </w:rPr>
            </w:pPr>
          </w:p>
        </w:tc>
        <w:tc>
          <w:tcPr>
            <w:tcW w:w="10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59,980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654</w:t>
            </w:r>
          </w:p>
        </w:tc>
        <w:tc>
          <w:tcPr>
            <w:tcW w:w="8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1,296</w:t>
            </w:r>
          </w:p>
        </w:tc>
        <w:tc>
          <w:tcPr>
            <w:tcW w:w="4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1,634</w:t>
            </w:r>
          </w:p>
        </w:tc>
        <w:tc>
          <w:tcPr>
            <w:tcW w:w="8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938,534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8"/>
              </w:rPr>
              <w:t>697,851</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1,861,170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1,401,400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29,844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23,758</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50,786*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4,364</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7,967</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8,253</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3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1,473</w:t>
            </w:r>
          </w:p>
        </w:tc>
        <w:tc>
          <w:tcPr>
            <w:tcW w:w="840" w:type="dxa"/>
            <w:vAlign w:val="bottom"/>
          </w:tcPr>
          <w:p>
            <w:pPr>
              <w:spacing w:after="0"/>
              <w:rPr>
                <w:sz w:val="17"/>
                <w:szCs w:val="17"/>
                <w:color w:val="auto"/>
              </w:rPr>
            </w:pPr>
          </w:p>
        </w:tc>
        <w:tc>
          <w:tcPr>
            <w:tcW w:w="9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(434)</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2,865</w:t>
            </w:r>
          </w:p>
        </w:tc>
        <w:tc>
          <w:tcPr>
            <w:tcW w:w="840" w:type="dxa"/>
            <w:vAlign w:val="bottom"/>
          </w:tcPr>
          <w:p>
            <w:pPr>
              <w:spacing w:after="0"/>
              <w:rPr>
                <w:sz w:val="17"/>
                <w:szCs w:val="17"/>
                <w:color w:val="auto"/>
              </w:rPr>
            </w:pPr>
          </w:p>
        </w:tc>
        <w:tc>
          <w:tcPr>
            <w:tcW w:w="108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4,286</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2,896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7,812</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3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(685)</w:t>
            </w:r>
          </w:p>
        </w:tc>
        <w:tc>
          <w:tcPr>
            <w:tcW w:w="8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590</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(809)</w:t>
            </w:r>
          </w:p>
        </w:tc>
        <w:tc>
          <w:tcPr>
            <w:tcW w:w="840" w:type="dxa"/>
            <w:vAlign w:val="bottom"/>
          </w:tcPr>
          <w:p>
            <w:pPr>
              <w:spacing w:after="0"/>
              <w:rPr>
                <w:sz w:val="17"/>
                <w:szCs w:val="17"/>
                <w:color w:val="auto"/>
              </w:rPr>
            </w:pPr>
          </w:p>
        </w:tc>
        <w:tc>
          <w:tcPr>
            <w:tcW w:w="10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Lighting goodwill impairment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(4,500)</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(11,050)</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(9,171)</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(25,342)</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rPr>
              <w:t>(20,411)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23,732</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25,606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39,065</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39,097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(3,858)</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(109)</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(8,590)</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19,874</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25,497</w:t>
            </w: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30,475</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38,855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OneSource results from date of acquisition on November 14, 2007</w:t>
      </w:r>
    </w:p>
    <w:p>
      <w:pPr>
        <w:spacing w:after="0" w:line="104" w:lineRule="exact"/>
        <w:rPr>
          <w:sz w:val="20"/>
          <w:szCs w:val="20"/>
          <w:color w:val="auto"/>
        </w:rPr>
      </w:pPr>
    </w:p>
    <w:p>
      <w:pPr>
        <w:ind w:right="240" w:firstLine="250"/>
        <w:spacing w:after="0" w:line="239"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the Company’s share-based compensation costs, employee severance costs associated with the integration of OneSource’s operations into the Janitorial segment, and certain information technology costs. Until damages and costs are awarded or a matter is settled, the Company also accrues probable and estimable losses associated with pending litigation in Corporate.</w:t>
      </w:r>
    </w:p>
    <w:p>
      <w:pPr>
        <w:spacing w:after="0" w:line="94" w:lineRule="exact"/>
        <w:rPr>
          <w:sz w:val="20"/>
          <w:szCs w:val="20"/>
          <w:color w:val="auto"/>
        </w:rPr>
      </w:pPr>
    </w:p>
    <w:p>
      <w:pPr>
        <w:ind w:right="560" w:firstLine="250"/>
        <w:spacing w:after="0" w:line="246" w:lineRule="auto"/>
        <w:rPr>
          <w:sz w:val="20"/>
          <w:szCs w:val="20"/>
          <w:color w:val="auto"/>
        </w:rPr>
      </w:pPr>
      <w:r>
        <w:rPr>
          <w:rFonts w:ascii="Arial" w:cs="Arial" w:eastAsia="Arial" w:hAnsi="Arial"/>
          <w:sz w:val="18"/>
          <w:szCs w:val="18"/>
          <w:color w:val="auto"/>
        </w:rPr>
        <w:t>Janitorial total assets increased from $416.1 million on October 31, 2007 to $1,038.5 million on April 30, 2008, primarily due to assets acquired in the purchase of OneSource.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6" w:lineRule="exact"/>
        <w:rPr>
          <w:sz w:val="20"/>
          <w:szCs w:val="20"/>
          <w:color w:val="auto"/>
        </w:rPr>
      </w:pPr>
    </w:p>
    <w:p>
      <w:pPr>
        <w:ind w:right="60" w:firstLine="247"/>
        <w:spacing w:after="0"/>
        <w:rPr>
          <w:sz w:val="20"/>
          <w:szCs w:val="20"/>
          <w:color w:val="auto"/>
        </w:rPr>
      </w:pPr>
      <w:r>
        <w:rPr>
          <w:rFonts w:ascii="Arial" w:cs="Arial" w:eastAsia="Arial" w:hAnsi="Arial"/>
          <w:sz w:val="18"/>
          <w:szCs w:val="18"/>
          <w:color w:val="auto"/>
        </w:rPr>
        <w:t>The Company is subject to various legal and arbitration proceedings and other contingencies that have arisen in the ordinary course of business. In accordance with SFAS No. 5, “Accounting for Contingencies,” the Company accrues the amount of probable and estimable losses related to such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matters. At April 30, 2008, the total amount of probable and estimable losses accrued for legal and other contingencies was $5.0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6"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On November 1, 2007, the Company adopted the provisions of FIN 48, which provides a financial statement recognition threshold and measurement criteria for a tax position taken or expected to be taken in a tax return. Under FIN 48, the Company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FIN 48 also provides guidance on derecognition of income tax assets and liabilities, classification of current and deferred income tax assets and liabilities, accounting for interest and penalties associated with tax positions, and disclosures about uncertain positions. The cumulative effect of the adoption of FIN 48 was not material.</w:t>
      </w:r>
    </w:p>
    <w:p>
      <w:pPr>
        <w:spacing w:after="0" w:line="100" w:lineRule="exact"/>
        <w:rPr>
          <w:sz w:val="20"/>
          <w:szCs w:val="20"/>
          <w:color w:val="auto"/>
        </w:rPr>
      </w:pPr>
    </w:p>
    <w:p>
      <w:pPr>
        <w:ind w:right="40" w:firstLine="240"/>
        <w:spacing w:after="0" w:line="237" w:lineRule="auto"/>
        <w:rPr>
          <w:sz w:val="20"/>
          <w:szCs w:val="20"/>
          <w:color w:val="auto"/>
        </w:rPr>
      </w:pPr>
      <w:r>
        <w:rPr>
          <w:rFonts w:ascii="Arial" w:cs="Arial" w:eastAsia="Arial" w:hAnsi="Arial"/>
          <w:sz w:val="18"/>
          <w:szCs w:val="18"/>
          <w:color w:val="auto"/>
        </w:rPr>
        <w:t>As of November 1, 2007, the Company had $2.4 million of unrecognized tax benefits, all of which, if recognized, would affect its effective tax rate. The Company’s policy to include interest and penalties related to unrecognized tax benefits in income tax expense did not change upon the adoption of FIN 48. As of November 1, 2007, the Company had accrued interest related to uncertain tax positions of $0.2 million, net of federal income tax benefit, on the Company’s balance sheet. During the six months ended April 30, 2008, the Company increased the unrecognized tax benefits by $110.8 million, as a result of the OneSource acquisition, none of which, if recognized, would affect its effective tax rate because the recognition would be treated as a purchase price adjustment. The Company has recorded $2.5 million of the unrecognized tax benefits as a current liability.</w:t>
      </w:r>
    </w:p>
    <w:p>
      <w:pPr>
        <w:spacing w:after="0" w:line="95" w:lineRule="exact"/>
        <w:rPr>
          <w:sz w:val="20"/>
          <w:szCs w:val="20"/>
          <w:color w:val="auto"/>
        </w:rPr>
      </w:pPr>
    </w:p>
    <w:p>
      <w:pPr>
        <w:ind w:right="220" w:firstLine="247"/>
        <w:spacing w:after="0" w:line="239" w:lineRule="auto"/>
        <w:rPr>
          <w:sz w:val="20"/>
          <w:szCs w:val="20"/>
          <w:color w:val="auto"/>
        </w:rPr>
      </w:pPr>
      <w:r>
        <w:rPr>
          <w:rFonts w:ascii="Arial" w:cs="Arial" w:eastAsia="Arial" w:hAnsi="Arial"/>
          <w:sz w:val="18"/>
          <w:szCs w:val="18"/>
          <w:color w:val="auto"/>
        </w:rPr>
        <w:t>The Company’s major tax jurisdiction is the United States and its U.S. federal income tax return has been examined by the tax authorities through October 31, 2004. The Company does business in almost every state, significantly in California, Texas and New York, as well as several foreign locations. In major state jurisdictions, the tax years 2003-2006 remain open and subject to examination by the appropriate tax authorities. The Company is currently being examined by the States of New York, Illinois, Minnesota and Arizona.</w:t>
      </w:r>
    </w:p>
    <w:p>
      <w:pPr>
        <w:spacing w:after="0" w:line="94" w:lineRule="exact"/>
        <w:rPr>
          <w:sz w:val="20"/>
          <w:szCs w:val="20"/>
          <w:color w:val="auto"/>
        </w:rPr>
      </w:pPr>
    </w:p>
    <w:p>
      <w:pPr>
        <w:ind w:right="60" w:firstLine="247"/>
        <w:spacing w:after="0" w:line="236" w:lineRule="auto"/>
        <w:rPr>
          <w:sz w:val="20"/>
          <w:szCs w:val="20"/>
          <w:color w:val="auto"/>
        </w:rPr>
      </w:pPr>
      <w:r>
        <w:rPr>
          <w:rFonts w:ascii="Arial" w:cs="Arial" w:eastAsia="Arial" w:hAnsi="Arial"/>
          <w:sz w:val="18"/>
          <w:szCs w:val="18"/>
          <w:color w:val="auto"/>
        </w:rPr>
        <w:t>The estimated annual effective tax rate, excluding discrete items, for the three months ended April 30, 2008 was 38.0%, compared to the 37.0% used for the three months ended April 30, 2007. The increase was largely due to a higher estimated overall state tax rate arising from the requirement to file a combined gross margin tax return in Texas. The effective tax rate was 44.3% and 34.4% in the three months ended April 30, 2008 and 2007, respectively, and 42.8% and 34.6% in the six months ended April 30, 2008 and 2007, respectively, due to certain discrete tax items. The effective tax rate for the three- and six-month periods in 2008 was higher than the expected annual rate primarily due to a portion of the goodwill impairment charge being non-deductible for tax purposes, which reduced the expected tax benefit by $1.3 million. The six months ended April 30, 2007 included a $0.3 million tax benefit that was primarily due to the inclusion in the period of Work Opportunity Tax Credits attributable to 2006, but not recognizable in 2006 because the program had expired and was not extended until 2007. The Work Opportunity Tax Credits attributable to 2008 and 2007 were recorded in 2008 and 2007,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Transition Costs</w:t>
      </w:r>
    </w:p>
    <w:p>
      <w:pPr>
        <w:spacing w:after="0" w:line="126"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In March 2007, the Company’s Board of Directors approved the establishment of a Shared Services Center in Houston, Texas to consolidate certain back office operations; the relocation of ABM Janitorial headquarters to Houston, and the Company’s other business units to Southern California; and the relocation of the Company’s corporate headquarters to New York City in 2008 (collectively,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transition). The transition is intended to reduce costs and improve efficiency of the Company’s operations and is planned for completion by 2011.</w:t>
      </w:r>
    </w:p>
    <w:p>
      <w:pPr>
        <w:spacing w:after="0" w:line="89" w:lineRule="exact"/>
        <w:rPr>
          <w:sz w:val="20"/>
          <w:szCs w:val="20"/>
          <w:color w:val="auto"/>
        </w:rPr>
      </w:pPr>
    </w:p>
    <w:p>
      <w:pPr>
        <w:ind w:right="180" w:firstLine="250"/>
        <w:spacing w:after="0" w:line="237" w:lineRule="auto"/>
        <w:rPr>
          <w:sz w:val="20"/>
          <w:szCs w:val="20"/>
          <w:color w:val="auto"/>
        </w:rPr>
      </w:pPr>
      <w:r>
        <w:rPr>
          <w:rFonts w:ascii="Arial" w:cs="Arial" w:eastAsia="Arial" w:hAnsi="Arial"/>
          <w:sz w:val="18"/>
          <w:szCs w:val="18"/>
          <w:color w:val="auto"/>
        </w:rPr>
        <w:t>Certain corporate employees are entitled to severance payments upon termination in the period between March 2008 and October 2011. The initial estimated severance of $3.5 million, which is the potential severance if all corporate employees are terminated as their functions move from San Francisco to New York or Houston, was reduced to $1.7 million as of April 30, 2008. The estimated severance costs were reduced as a result of the assessment by management that certain corporate activities and personnel will not be transitioned out of San Francisco as originally planned. The severance costs have been recognized in selling, general and administrative expense. No other material costs associated with the transition are planned.</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changes to the transition liability during the six months ended April 30, 2008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jc w:val="center"/>
              <w:ind w:right="544"/>
              <w:spacing w:after="0"/>
              <w:rPr>
                <w:sz w:val="20"/>
                <w:szCs w:val="20"/>
                <w:color w:val="auto"/>
              </w:rPr>
            </w:pPr>
            <w:r>
              <w:rPr>
                <w:rFonts w:ascii="Arial" w:cs="Arial" w:eastAsia="Arial" w:hAnsi="Arial"/>
                <w:sz w:val="14"/>
                <w:szCs w:val="14"/>
                <w:color w:val="auto"/>
              </w:rPr>
              <w:t>Liability on</w:t>
            </w:r>
          </w:p>
        </w:tc>
        <w:tc>
          <w:tcPr>
            <w:tcW w:w="3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80" w:type="dxa"/>
            <w:vAlign w:val="bottom"/>
          </w:tcPr>
          <w:p>
            <w:pPr>
              <w:jc w:val="center"/>
              <w:ind w:left="584"/>
              <w:spacing w:after="0"/>
              <w:rPr>
                <w:sz w:val="20"/>
                <w:szCs w:val="20"/>
                <w:color w:val="auto"/>
              </w:rPr>
            </w:pPr>
            <w:r>
              <w:rPr>
                <w:rFonts w:ascii="Arial" w:cs="Arial" w:eastAsia="Arial" w:hAnsi="Arial"/>
                <w:sz w:val="14"/>
                <w:szCs w:val="14"/>
                <w:color w:val="auto"/>
              </w:rPr>
              <w:t>Liability on</w:t>
            </w:r>
          </w:p>
        </w:tc>
      </w:tr>
      <w:tr>
        <w:trPr>
          <w:trHeight w:val="162"/>
        </w:trPr>
        <w:tc>
          <w:tcPr>
            <w:tcW w:w="2540" w:type="dxa"/>
            <w:vAlign w:val="bottom"/>
          </w:tcPr>
          <w:p>
            <w:pPr>
              <w:jc w:val="center"/>
              <w:ind w:right="564"/>
              <w:spacing w:after="0"/>
              <w:rPr>
                <w:sz w:val="20"/>
                <w:szCs w:val="20"/>
                <w:color w:val="auto"/>
              </w:rPr>
            </w:pPr>
            <w:r>
              <w:rPr>
                <w:rFonts w:ascii="Arial" w:cs="Arial" w:eastAsia="Arial" w:hAnsi="Arial"/>
                <w:sz w:val="14"/>
                <w:szCs w:val="14"/>
                <w:color w:val="auto"/>
              </w:rPr>
              <w:t>October 31,</w:t>
            </w:r>
          </w:p>
        </w:tc>
        <w:tc>
          <w:tcPr>
            <w:tcW w:w="3080" w:type="dxa"/>
            <w:vAlign w:val="bottom"/>
          </w:tcPr>
          <w:p>
            <w:pPr>
              <w:jc w:val="center"/>
              <w:spacing w:after="0"/>
              <w:rPr>
                <w:sz w:val="20"/>
                <w:szCs w:val="20"/>
                <w:color w:val="auto"/>
              </w:rPr>
            </w:pPr>
            <w:r>
              <w:rPr>
                <w:rFonts w:ascii="Arial" w:cs="Arial" w:eastAsia="Arial" w:hAnsi="Arial"/>
                <w:sz w:val="14"/>
                <w:szCs w:val="14"/>
                <w:color w:val="auto"/>
              </w:rPr>
              <w:t>Net</w:t>
            </w:r>
          </w:p>
        </w:tc>
        <w:tc>
          <w:tcPr>
            <w:tcW w:w="3220" w:type="dxa"/>
            <w:vAlign w:val="bottom"/>
          </w:tcPr>
          <w:p>
            <w:pPr>
              <w:jc w:val="center"/>
              <w:spacing w:after="0"/>
              <w:rPr>
                <w:sz w:val="20"/>
                <w:szCs w:val="20"/>
                <w:color w:val="auto"/>
              </w:rPr>
            </w:pPr>
            <w:r>
              <w:rPr>
                <w:rFonts w:ascii="Arial" w:cs="Arial" w:eastAsia="Arial" w:hAnsi="Arial"/>
                <w:sz w:val="14"/>
                <w:szCs w:val="14"/>
                <w:color w:val="auto"/>
              </w:rPr>
              <w:t>Cash</w:t>
            </w:r>
          </w:p>
        </w:tc>
        <w:tc>
          <w:tcPr>
            <w:tcW w:w="2580" w:type="dxa"/>
            <w:vAlign w:val="bottom"/>
          </w:tcPr>
          <w:p>
            <w:pPr>
              <w:jc w:val="center"/>
              <w:ind w:left="584"/>
              <w:spacing w:after="0"/>
              <w:rPr>
                <w:sz w:val="20"/>
                <w:szCs w:val="20"/>
                <w:color w:val="auto"/>
              </w:rPr>
            </w:pPr>
            <w:r>
              <w:rPr>
                <w:rFonts w:ascii="Arial" w:cs="Arial" w:eastAsia="Arial" w:hAnsi="Arial"/>
                <w:sz w:val="14"/>
                <w:szCs w:val="14"/>
                <w:color w:val="auto"/>
              </w:rPr>
              <w:t>April 30,</w:t>
            </w:r>
          </w:p>
        </w:tc>
      </w:tr>
      <w:tr>
        <w:trPr>
          <w:trHeight w:val="157"/>
        </w:trPr>
        <w:tc>
          <w:tcPr>
            <w:tcW w:w="2540" w:type="dxa"/>
            <w:vAlign w:val="bottom"/>
            <w:tcBorders>
              <w:bottom w:val="single" w:sz="8" w:color="auto"/>
            </w:tcBorders>
          </w:tcPr>
          <w:p>
            <w:pPr>
              <w:jc w:val="center"/>
              <w:ind w:right="544"/>
              <w:spacing w:after="0" w:line="157" w:lineRule="exact"/>
              <w:rPr>
                <w:sz w:val="20"/>
                <w:szCs w:val="20"/>
                <w:color w:val="auto"/>
              </w:rPr>
            </w:pPr>
            <w:r>
              <w:rPr>
                <w:rFonts w:ascii="Arial" w:cs="Arial" w:eastAsia="Arial" w:hAnsi="Arial"/>
                <w:sz w:val="14"/>
                <w:szCs w:val="14"/>
                <w:color w:val="auto"/>
              </w:rPr>
              <w:t>2007</w:t>
            </w:r>
          </w:p>
        </w:tc>
        <w:tc>
          <w:tcPr>
            <w:tcW w:w="30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Expense</w:t>
            </w:r>
          </w:p>
        </w:tc>
        <w:tc>
          <w:tcPr>
            <w:tcW w:w="32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Payments</w:t>
            </w:r>
          </w:p>
        </w:tc>
        <w:tc>
          <w:tcPr>
            <w:tcW w:w="2580" w:type="dxa"/>
            <w:vAlign w:val="bottom"/>
            <w:tcBorders>
              <w:bottom w:val="single" w:sz="8" w:color="auto"/>
            </w:tcBorders>
          </w:tcPr>
          <w:p>
            <w:pPr>
              <w:jc w:val="center"/>
              <w:ind w:left="584"/>
              <w:spacing w:after="0" w:line="157" w:lineRule="exact"/>
              <w:rPr>
                <w:sz w:val="20"/>
                <w:szCs w:val="20"/>
                <w:color w:val="auto"/>
              </w:rPr>
            </w:pPr>
            <w:r>
              <w:rPr>
                <w:rFonts w:ascii="Arial" w:cs="Arial" w:eastAsia="Arial" w:hAnsi="Arial"/>
                <w:sz w:val="14"/>
                <w:szCs w:val="14"/>
                <w:color w:val="auto"/>
              </w:rPr>
              <w:t>2008</w:t>
            </w:r>
          </w:p>
        </w:tc>
      </w:tr>
      <w:tr>
        <w:trPr>
          <w:trHeight w:val="223"/>
        </w:trPr>
        <w:tc>
          <w:tcPr>
            <w:tcW w:w="2540" w:type="dxa"/>
            <w:vAlign w:val="bottom"/>
          </w:tcPr>
          <w:p>
            <w:pPr>
              <w:jc w:val="right"/>
              <w:ind w:right="1304"/>
              <w:spacing w:after="0"/>
              <w:rPr>
                <w:sz w:val="20"/>
                <w:szCs w:val="20"/>
                <w:color w:val="auto"/>
              </w:rPr>
            </w:pPr>
            <w:r>
              <w:rPr>
                <w:rFonts w:ascii="Arial" w:cs="Arial" w:eastAsia="Arial" w:hAnsi="Arial"/>
                <w:sz w:val="18"/>
                <w:szCs w:val="18"/>
                <w:color w:val="auto"/>
              </w:rPr>
              <w:t>$  604</w:t>
            </w:r>
          </w:p>
        </w:tc>
        <w:tc>
          <w:tcPr>
            <w:tcW w:w="3080" w:type="dxa"/>
            <w:vAlign w:val="bottom"/>
          </w:tcPr>
          <w:p>
            <w:pPr>
              <w:jc w:val="right"/>
              <w:ind w:right="1262"/>
              <w:spacing w:after="0"/>
              <w:rPr>
                <w:sz w:val="20"/>
                <w:szCs w:val="20"/>
                <w:color w:val="auto"/>
              </w:rPr>
            </w:pPr>
            <w:r>
              <w:rPr>
                <w:rFonts w:ascii="Arial" w:cs="Arial" w:eastAsia="Arial" w:hAnsi="Arial"/>
                <w:sz w:val="18"/>
                <w:szCs w:val="18"/>
                <w:color w:val="auto"/>
              </w:rPr>
              <w:t>$  812</w:t>
            </w:r>
          </w:p>
        </w:tc>
        <w:tc>
          <w:tcPr>
            <w:tcW w:w="3220" w:type="dxa"/>
            <w:vAlign w:val="bottom"/>
          </w:tcPr>
          <w:p>
            <w:pPr>
              <w:jc w:val="center"/>
              <w:spacing w:after="0"/>
              <w:rPr>
                <w:sz w:val="20"/>
                <w:szCs w:val="20"/>
                <w:color w:val="auto"/>
              </w:rPr>
            </w:pPr>
            <w:r>
              <w:rPr>
                <w:rFonts w:ascii="Arial" w:cs="Arial" w:eastAsia="Arial" w:hAnsi="Arial"/>
                <w:sz w:val="18"/>
                <w:szCs w:val="18"/>
                <w:color w:val="auto"/>
              </w:rPr>
              <w:t>$  (831)</w:t>
            </w:r>
          </w:p>
        </w:tc>
        <w:tc>
          <w:tcPr>
            <w:tcW w:w="2580" w:type="dxa"/>
            <w:vAlign w:val="bottom"/>
          </w:tcPr>
          <w:p>
            <w:pPr>
              <w:jc w:val="right"/>
              <w:ind w:right="664"/>
              <w:spacing w:after="0"/>
              <w:rPr>
                <w:sz w:val="20"/>
                <w:szCs w:val="20"/>
                <w:color w:val="auto"/>
              </w:rPr>
            </w:pPr>
            <w:r>
              <w:rPr>
                <w:rFonts w:ascii="Arial" w:cs="Arial" w:eastAsia="Arial" w:hAnsi="Arial"/>
                <w:sz w:val="18"/>
                <w:szCs w:val="18"/>
                <w:color w:val="auto"/>
              </w:rPr>
              <w:t>$  585</w:t>
            </w: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Transition liabilities due within one year of the balance sheet date are classified as other accrued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Lighting Goodwill Impairment</w:t>
      </w:r>
    </w:p>
    <w:p>
      <w:pPr>
        <w:spacing w:after="0" w:line="126" w:lineRule="exact"/>
        <w:rPr>
          <w:sz w:val="20"/>
          <w:szCs w:val="20"/>
          <w:color w:val="auto"/>
        </w:rPr>
      </w:pPr>
    </w:p>
    <w:p>
      <w:pPr>
        <w:ind w:right="160" w:firstLine="250"/>
        <w:spacing w:after="0" w:line="239" w:lineRule="auto"/>
        <w:rPr>
          <w:sz w:val="20"/>
          <w:szCs w:val="20"/>
          <w:color w:val="auto"/>
        </w:rPr>
      </w:pPr>
      <w:r>
        <w:rPr>
          <w:rFonts w:ascii="Arial" w:cs="Arial" w:eastAsia="Arial" w:hAnsi="Arial"/>
          <w:sz w:val="18"/>
          <w:szCs w:val="18"/>
          <w:color w:val="auto"/>
        </w:rPr>
        <w:t>In response to objective evidence about the implied fair value of goodwill relating to the Company’s Lighting segment noted in connection with the preparation of the financial statements for the three months ended April 30,2008, the Company performed an assessment of goodwill for impairment. On a preliminary basis, the goodwill in the Lighting segment was determined to be impaired and a non-cash, pre-tax goodwill impairment charge of $4.5 million was recorded on April 30, 2008. This estimate will be finalized in the quarter ending July 31, 2008.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of ABM Industries Incorporated (ABM, and together with its subsidiaries, the Company) included in this Quarterly Report on Form 10-Q and with the consolidated financial statements and notes thereto and Management’s Discussion and Analysis of Financial Condition and Results of Operations included in the Company’s Annual Report on Form 10-K for the year ended October 31, 2007. All information in the discussion and references to the years are based on the Company’s fiscal year, which ends on October 31, and all references to the three- and six-month periods are to the three- and six-month periods, which end on April 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right="220" w:firstLine="247"/>
        <w:spacing w:after="0"/>
        <w:rPr>
          <w:sz w:val="20"/>
          <w:szCs w:val="20"/>
          <w:color w:val="auto"/>
        </w:rPr>
      </w:pPr>
      <w:r>
        <w:rPr>
          <w:rFonts w:ascii="Arial" w:cs="Arial" w:eastAsia="Arial" w:hAnsi="Arial"/>
          <w:sz w:val="18"/>
          <w:szCs w:val="18"/>
          <w:color w:val="auto"/>
        </w:rPr>
        <w:t>The Company provides janitorial, parking, security, engineering and lighting services for thousands of commercial, industrial, institutional and retail facilities in hundreds of cities throughout the United States and Puerto Rico, as well as in British Columbia, Canada. The Company has five reportable segments: Janitorial, Parking, Security, Engineering and Lighting.</w:t>
      </w:r>
    </w:p>
    <w:p>
      <w:pPr>
        <w:spacing w:after="0" w:line="95"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On November 14, 2007, ABM acquired OneSource Services, Inc. (OneSource), a janitorial facilities company formed under the laws of Belize with US operations headquartered in Atlanta, Georgia. The consideration was $365.0 million, which was paid by a combination of current cash and borrowings from the Company’s line of credit. In addition, following the closing, the Company paid in full $21.5 million outstanding under OneSource’s then-existing line of credit. The Company also incurred $4.0 million in direct acquisition costs. With annual revenues of approximately $825 million in the year ended March 31, 2007 and approximately 30,000 employees, OneSource was a provider of janitorial and related services, including landscaping, for more than 10,000 commercial, industrial, institutional and retail accounts in the United States and Puerto Rico, as well as in British Columbia, Canada.</w:t>
      </w:r>
    </w:p>
    <w:p>
      <w:pPr>
        <w:spacing w:after="0" w:line="95"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OneSource’s operations are included in the Janitorial segment, the largest segment of the Company’s business. Including OneSource, the Janitorial segment generated over 66% of the Company’s sales and other income (hereinafter called Sales) and over 79% of its operating profit before Corporate expenses in the first six months of 2008.</w:t>
      </w:r>
    </w:p>
    <w:p>
      <w:pPr>
        <w:spacing w:after="0" w:line="95" w:lineRule="exact"/>
        <w:rPr>
          <w:sz w:val="20"/>
          <w:szCs w:val="20"/>
          <w:color w:val="auto"/>
        </w:rPr>
      </w:pPr>
    </w:p>
    <w:p>
      <w:pPr>
        <w:ind w:right="100" w:firstLine="247"/>
        <w:spacing w:after="0" w:line="238" w:lineRule="auto"/>
        <w:rPr>
          <w:sz w:val="20"/>
          <w:szCs w:val="20"/>
          <w:color w:val="auto"/>
        </w:rPr>
      </w:pPr>
      <w:r>
        <w:rPr>
          <w:rFonts w:ascii="Arial" w:cs="Arial" w:eastAsia="Arial" w:hAnsi="Arial"/>
          <w:sz w:val="18"/>
          <w:szCs w:val="18"/>
          <w:color w:val="auto"/>
        </w:rPr>
        <w:t>The Company expects to achieve operating margins for the OneSource business consistent with its other operations in the Janitorial segment and attain annual cost synergies between $45 million and $50 million. The annual cost synergies are expected to be fully implemented within 18 months after the acquisition. In 2008, the Company expects to realize between $28 million and $ 32 million of synergies before giving effect to the costs to achieve these synergies, as discussed below. This will be achieved primarily through a reduction in duplicative positions and back office functions, the consolidation of facilities, and the reduction in professional fees and other services.</w:t>
      </w:r>
    </w:p>
    <w:p>
      <w:pPr>
        <w:spacing w:after="0" w:line="95" w:lineRule="exact"/>
        <w:rPr>
          <w:sz w:val="20"/>
          <w:szCs w:val="20"/>
          <w:color w:val="auto"/>
        </w:rPr>
      </w:pPr>
    </w:p>
    <w:p>
      <w:pPr>
        <w:ind w:right="180" w:firstLine="247"/>
        <w:spacing w:after="0"/>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The level of Sales directly depends on commercial real estate occupancy levels. Decreases in occupancy levels reduce demand and also create pricing pressures on building maintenance and other services provided by the Company.</w:t>
      </w:r>
    </w:p>
    <w:p>
      <w:pPr>
        <w:spacing w:after="0" w:line="77"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color w:val="auto"/>
        </w:rPr>
        <w:t>Janitorial and other maintenance service contracts are either fixed-price, “cost-plus” (</w:t>
      </w:r>
      <w:r>
        <w:rPr>
          <w:rFonts w:ascii="Arial" w:cs="Arial" w:eastAsia="Arial" w:hAnsi="Arial"/>
          <w:sz w:val="18"/>
          <w:szCs w:val="18"/>
          <w:i w:val="1"/>
          <w:iCs w:val="1"/>
          <w:color w:val="auto"/>
        </w:rPr>
        <w:t>i.e.</w:t>
      </w:r>
      <w:r>
        <w:rPr>
          <w:rFonts w:ascii="Arial" w:cs="Arial" w:eastAsia="Arial" w:hAnsi="Arial"/>
          <w:sz w:val="18"/>
          <w:szCs w:val="18"/>
          <w:color w:val="auto"/>
        </w:rPr>
        <w:t>, the customer agrees to reimburse the agreed upon amount of wages and benefits, payroll taxes, insurance charges and other expenses plus a profit percentage), time-and-material based, or square footage based. In addition to services defined within the scope of the contract, the Company also generates Sales from extra services (or tags), such as additional cleaning requirements with extra services generally providing higher margins. The profitability of fixed-price contracts is impacted by the variability of the number of work days in the quarter and square footage based contracts are impacted by changes in vacancy rates.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247"/>
        <w:spacing w:after="0" w:line="238"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a contract, the Company may renegotiate the price although competitive pressures and customers’ price sensitivity could inhibit the Company’s ability to pass on cost increases. Such cost increases include, but are not limited to, labor costs, workers’ compensation and other insurance costs, any applicable payroll taxes and fuel costs. However, for some renewals the Company is able to restructure the scope and terms of the contract to maintain or increase profit margin.</w:t>
      </w:r>
    </w:p>
    <w:p>
      <w:pPr>
        <w:spacing w:after="0" w:line="95" w:lineRule="exact"/>
        <w:rPr>
          <w:sz w:val="20"/>
          <w:szCs w:val="20"/>
          <w:color w:val="auto"/>
        </w:rPr>
      </w:pPr>
    </w:p>
    <w:p>
      <w:pPr>
        <w:ind w:right="60" w:firstLine="250"/>
        <w:spacing w:after="0" w:line="238"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primarily depend on the Sales level and timing of collections, as well as the quality of the related receivables.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95"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Company’s growth in Sales in the first six months of 2008 from the same period in 2007 is attributable primarily to the acquisition of OneSource as described above. The Company did experience organic growth in Sales in the first six months of 2008, which represented not only Sales from new customers, but also expanded services or increases in the scope of work for existing customers.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facility services companies that typically have the lower cost advantage.</w:t>
      </w:r>
    </w:p>
    <w:p>
      <w:pPr>
        <w:spacing w:after="0" w:line="97" w:lineRule="exact"/>
        <w:rPr>
          <w:sz w:val="20"/>
          <w:szCs w:val="20"/>
          <w:color w:val="auto"/>
        </w:rPr>
      </w:pPr>
    </w:p>
    <w:p>
      <w:pPr>
        <w:ind w:right="240" w:firstLine="250"/>
        <w:spacing w:after="0" w:line="246" w:lineRule="auto"/>
        <w:rPr>
          <w:sz w:val="20"/>
          <w:szCs w:val="20"/>
          <w:color w:val="auto"/>
        </w:rPr>
      </w:pPr>
      <w:r>
        <w:rPr>
          <w:rFonts w:ascii="Arial" w:cs="Arial" w:eastAsia="Arial" w:hAnsi="Arial"/>
          <w:sz w:val="18"/>
          <w:szCs w:val="18"/>
          <w:color w:val="auto"/>
        </w:rPr>
        <w:t>In the long term, the Company expects to focus its financial and management resources on those businesses in which it can grow to be a leading national service provider. It also plans to increase Sales by expanding its services into international markets.</w:t>
      </w:r>
    </w:p>
    <w:p>
      <w:pPr>
        <w:spacing w:after="0" w:line="89" w:lineRule="exact"/>
        <w:rPr>
          <w:sz w:val="20"/>
          <w:szCs w:val="20"/>
          <w:color w:val="auto"/>
        </w:rPr>
      </w:pPr>
    </w:p>
    <w:p>
      <w:pPr>
        <w:ind w:right="120" w:firstLine="250"/>
        <w:spacing w:after="0" w:line="237" w:lineRule="auto"/>
        <w:rPr>
          <w:sz w:val="20"/>
          <w:szCs w:val="20"/>
          <w:color w:val="auto"/>
        </w:rPr>
      </w:pPr>
      <w:r>
        <w:rPr>
          <w:rFonts w:ascii="Arial" w:cs="Arial" w:eastAsia="Arial" w:hAnsi="Arial"/>
          <w:sz w:val="18"/>
          <w:szCs w:val="18"/>
          <w:color w:val="auto"/>
        </w:rPr>
        <w:t>In the short-term, management is focused on pursuing new business, increasing operating efficiencies, and integrating its most recent acquisitions, particularly OneSource. The Company is implementing a new payroll and human resources information system and upgrading its accounting systems and expects full implementation by the end of 2009. In addition, the Company is in process of relocating its Janitorial headquarters to Houston, concentrating its other business units in Southern California and relocating its corporate headquarters to New York City. During the remainder of 2008, the Company expects to incur expenses of approximately $11 million associated with the upgrade of the existing accounting systems, implementation of a new payroll system and human resources information system, relocation of corporate headquarters and costs to achieve synergies with OneSource.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419" w:right="239" w:bottom="144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October 31,</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Change</w:t>
      </w:r>
    </w:p>
    <w:p>
      <w:pPr>
        <w:spacing w:after="0" w:line="11" w:lineRule="exact"/>
        <w:rPr>
          <w:sz w:val="20"/>
          <w:szCs w:val="20"/>
          <w:color w:val="auto"/>
        </w:rPr>
      </w:pPr>
    </w:p>
    <w:p>
      <w:pPr>
        <w:sectPr>
          <w:pgSz w:w="11900" w:h="16838" w:orient="portrait"/>
          <w:cols w:equalWidth="0" w:num="4">
            <w:col w:w="6260" w:space="720"/>
            <w:col w:w="920" w:space="720"/>
            <w:col w:w="1180" w:space="720"/>
            <w:col w:w="9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40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Cash and cash equivalents</w:t>
            </w:r>
          </w:p>
        </w:tc>
        <w:tc>
          <w:tcPr>
            <w:tcW w:w="15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456"/>
              <w:spacing w:after="0" w:line="194" w:lineRule="exact"/>
              <w:rPr>
                <w:sz w:val="20"/>
                <w:szCs w:val="20"/>
                <w:color w:val="auto"/>
              </w:rPr>
            </w:pPr>
            <w:r>
              <w:rPr>
                <w:rFonts w:ascii="Arial" w:cs="Arial" w:eastAsia="Arial" w:hAnsi="Arial"/>
                <w:sz w:val="18"/>
                <w:szCs w:val="18"/>
                <w:color w:val="auto"/>
              </w:rPr>
              <w:t>17,405</w:t>
            </w:r>
          </w:p>
        </w:tc>
        <w:tc>
          <w:tcPr>
            <w:tcW w:w="1720" w:type="dxa"/>
            <w:vAlign w:val="bottom"/>
            <w:tcBorders>
              <w:top w:val="single" w:sz="8" w:color="auto"/>
            </w:tcBorders>
          </w:tcPr>
          <w:p>
            <w:pPr>
              <w:jc w:val="right"/>
              <w:ind w:right="433"/>
              <w:spacing w:after="0" w:line="194" w:lineRule="exact"/>
              <w:rPr>
                <w:sz w:val="20"/>
                <w:szCs w:val="20"/>
                <w:color w:val="auto"/>
              </w:rPr>
            </w:pPr>
            <w:r>
              <w:rPr>
                <w:rFonts w:ascii="Arial" w:cs="Arial" w:eastAsia="Arial" w:hAnsi="Arial"/>
                <w:sz w:val="18"/>
                <w:szCs w:val="18"/>
                <w:color w:val="auto"/>
              </w:rPr>
              <w:t>$136,192</w:t>
            </w: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53"/>
              <w:spacing w:after="0" w:line="194" w:lineRule="exact"/>
              <w:rPr>
                <w:sz w:val="20"/>
                <w:szCs w:val="20"/>
                <w:color w:val="auto"/>
              </w:rPr>
            </w:pPr>
            <w:r>
              <w:rPr>
                <w:rFonts w:ascii="Arial" w:cs="Arial" w:eastAsia="Arial" w:hAnsi="Arial"/>
                <w:sz w:val="18"/>
                <w:szCs w:val="18"/>
                <w:color w:val="auto"/>
                <w:w w:val="98"/>
              </w:rPr>
              <w:t>(118,787)</w:t>
            </w: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56"/>
              <w:spacing w:after="0"/>
              <w:rPr>
                <w:sz w:val="20"/>
                <w:szCs w:val="20"/>
                <w:color w:val="auto"/>
              </w:rPr>
            </w:pPr>
            <w:r>
              <w:rPr>
                <w:rFonts w:ascii="Arial" w:cs="Arial" w:eastAsia="Arial" w:hAnsi="Arial"/>
                <w:sz w:val="18"/>
                <w:szCs w:val="18"/>
                <w:color w:val="auto"/>
                <w:w w:val="98"/>
              </w:rPr>
              <w:t>296,773</w:t>
            </w:r>
          </w:p>
        </w:tc>
        <w:tc>
          <w:tcPr>
            <w:tcW w:w="1720" w:type="dxa"/>
            <w:vAlign w:val="bottom"/>
          </w:tcPr>
          <w:p>
            <w:pPr>
              <w:jc w:val="right"/>
              <w:ind w:right="433"/>
              <w:spacing w:after="0"/>
              <w:rPr>
                <w:sz w:val="20"/>
                <w:szCs w:val="20"/>
                <w:color w:val="auto"/>
              </w:rPr>
            </w:pPr>
            <w:r>
              <w:rPr>
                <w:rFonts w:ascii="Arial" w:cs="Arial" w:eastAsia="Arial" w:hAnsi="Arial"/>
                <w:sz w:val="18"/>
                <w:szCs w:val="18"/>
                <w:color w:val="auto"/>
              </w:rPr>
              <w:t>$353,146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(56,373)</w:t>
            </w:r>
          </w:p>
        </w:tc>
      </w:tr>
      <w:tr>
        <w:trPr>
          <w:trHeight w:val="35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20" w:type="dxa"/>
            <w:vAlign w:val="bottom"/>
            <w:gridSpan w:val="2"/>
          </w:tcPr>
          <w:p>
            <w:pPr>
              <w:jc w:val="right"/>
              <w:ind w:right="773"/>
              <w:spacing w:after="0"/>
              <w:rPr>
                <w:sz w:val="20"/>
                <w:szCs w:val="20"/>
                <w:color w:val="auto"/>
              </w:rPr>
            </w:pPr>
            <w:r>
              <w:rPr>
                <w:rFonts w:ascii="Arial" w:cs="Arial" w:eastAsia="Arial" w:hAnsi="Arial"/>
                <w:sz w:val="14"/>
                <w:szCs w:val="14"/>
                <w:color w:val="auto"/>
              </w:rPr>
              <w:t>Six Months Ended April 30,</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54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520" w:type="dxa"/>
            <w:vAlign w:val="bottom"/>
          </w:tcPr>
          <w:p>
            <w:pPr>
              <w:spacing w:after="0"/>
              <w:rPr>
                <w:sz w:val="14"/>
                <w:szCs w:val="14"/>
                <w:color w:val="auto"/>
              </w:rPr>
            </w:pPr>
          </w:p>
        </w:tc>
        <w:tc>
          <w:tcPr>
            <w:tcW w:w="1200" w:type="dxa"/>
            <w:vAlign w:val="bottom"/>
          </w:tcPr>
          <w:p>
            <w:pPr>
              <w:jc w:val="right"/>
              <w:ind w:right="616"/>
              <w:spacing w:after="0" w:line="157" w:lineRule="exact"/>
              <w:rPr>
                <w:sz w:val="20"/>
                <w:szCs w:val="20"/>
                <w:color w:val="auto"/>
              </w:rPr>
            </w:pPr>
            <w:r>
              <w:rPr>
                <w:rFonts w:ascii="Arial" w:cs="Arial" w:eastAsia="Arial" w:hAnsi="Arial"/>
                <w:sz w:val="14"/>
                <w:szCs w:val="14"/>
                <w:color w:val="auto"/>
              </w:rPr>
              <w:t>2008</w:t>
            </w:r>
          </w:p>
        </w:tc>
        <w:tc>
          <w:tcPr>
            <w:tcW w:w="1720" w:type="dxa"/>
            <w:vAlign w:val="bottom"/>
          </w:tcPr>
          <w:p>
            <w:pPr>
              <w:jc w:val="right"/>
              <w:ind w:right="573"/>
              <w:spacing w:after="0" w:line="157"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4"/>
                <w:szCs w:val="14"/>
                <w:color w:val="auto"/>
              </w:rPr>
            </w:pPr>
          </w:p>
        </w:tc>
        <w:tc>
          <w:tcPr>
            <w:tcW w:w="1020" w:type="dxa"/>
            <w:vAlign w:val="bottom"/>
          </w:tcPr>
          <w:p>
            <w:pPr>
              <w:jc w:val="right"/>
              <w:ind w:right="313"/>
              <w:spacing w:after="0" w:line="157" w:lineRule="exact"/>
              <w:rPr>
                <w:sz w:val="20"/>
                <w:szCs w:val="20"/>
                <w:color w:val="auto"/>
              </w:rPr>
            </w:pPr>
            <w:r>
              <w:rPr>
                <w:rFonts w:ascii="Arial" w:cs="Arial" w:eastAsia="Arial" w:hAnsi="Arial"/>
                <w:sz w:val="14"/>
                <w:szCs w:val="14"/>
                <w:color w:val="auto"/>
              </w:rPr>
              <w:t>Change</w:t>
            </w:r>
          </w:p>
        </w:tc>
      </w:tr>
      <w:tr>
        <w:trPr>
          <w:trHeight w:val="203"/>
        </w:trPr>
        <w:tc>
          <w:tcPr>
            <w:tcW w:w="20" w:type="dxa"/>
            <w:vAlign w:val="bottom"/>
          </w:tcPr>
          <w:p>
            <w:pPr>
              <w:spacing w:after="0"/>
              <w:rPr>
                <w:sz w:val="17"/>
                <w:szCs w:val="17"/>
                <w:color w:val="auto"/>
              </w:rPr>
            </w:pPr>
          </w:p>
        </w:tc>
        <w:tc>
          <w:tcPr>
            <w:tcW w:w="5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520" w:type="dxa"/>
            <w:vAlign w:val="bottom"/>
            <w:tcBorders>
              <w:top w:val="single" w:sz="8" w:color="auto"/>
            </w:tcBorders>
            <w:shd w:val="clear" w:color="auto" w:fill="CCEEFF"/>
          </w:tcPr>
          <w:p>
            <w:pPr>
              <w:ind w:left="140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20,957</w:t>
            </w:r>
          </w:p>
        </w:tc>
        <w:tc>
          <w:tcPr>
            <w:tcW w:w="1720" w:type="dxa"/>
            <w:vAlign w:val="bottom"/>
            <w:tcBorders>
              <w:top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$(28,965)</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49,922</w:t>
            </w: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72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$(436,461)</w:t>
            </w:r>
          </w:p>
        </w:tc>
        <w:tc>
          <w:tcPr>
            <w:tcW w:w="17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$(15,101)</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color w:val="auto"/>
                <w:w w:val="98"/>
              </w:rPr>
              <w:t>(421,360)</w:t>
            </w: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52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296,717</w:t>
            </w:r>
          </w:p>
        </w:tc>
        <w:tc>
          <w:tcPr>
            <w:tcW w:w="1720" w:type="dxa"/>
            <w:vAlign w:val="bottom"/>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  8,750</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287,967</w:t>
            </w:r>
          </w:p>
        </w:tc>
      </w:tr>
    </w:tbl>
    <w:p>
      <w:pPr>
        <w:spacing w:after="0" w:line="107"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Cash provided by operations and bank borrowings have historically been used for meeting working capital requirements, financing capital expenditures and acquisitions, and paying cash dividends. As of April 30, 2008 and October 31, 2007, the Company’s cash and cash equivalents totaled $17.4 million and $136.2 million, respectively. The cash balance at April 30, 2008 declined from October 31,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2007 primarily due to the acquisition of OneSource. The total purchase price, including the payment in full of OneSource’s pre-existing debt of $21.5 million and direct acquisition costs of $4.0 million, was $390.5 million, which was paid by a combination of current cash and borrowings from the Company’s line of credit. In addition, the Company paid $27.3 million in cash, including $0.4 million in direct acquisition costs, for the remaining equity of Southern Management Company (Southern Management). See Note 7 – Acquisitions of the Notes to the Consolidated Financial Statements contained in Item 1, “Financial Statements.”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believes that the current cash and cash equivalents, cash generated from operations and amounts available under its</w:t>
      </w:r>
    </w:p>
    <w:p>
      <w:pPr>
        <w:spacing w:after="0" w:line="234" w:lineRule="auto"/>
        <w:rPr>
          <w:sz w:val="20"/>
          <w:szCs w:val="20"/>
          <w:color w:val="auto"/>
        </w:rPr>
      </w:pPr>
      <w:r>
        <w:rPr>
          <w:rFonts w:ascii="Arial" w:cs="Arial" w:eastAsia="Arial" w:hAnsi="Arial"/>
          <w:sz w:val="18"/>
          <w:szCs w:val="18"/>
          <w:color w:val="auto"/>
        </w:rPr>
        <w:t>$450 million line of credit will be sufficient to meet the Company’s cash requirements for the long-term, except to the extent cash is required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acquisitions, if any.</w:t>
      </w:r>
    </w:p>
    <w:p>
      <w:pPr>
        <w:spacing w:after="0" w:line="82" w:lineRule="exact"/>
        <w:rPr>
          <w:sz w:val="20"/>
          <w:szCs w:val="20"/>
          <w:color w:val="auto"/>
        </w:rPr>
      </w:pPr>
    </w:p>
    <w:p>
      <w:pPr>
        <w:ind w:firstLine="250"/>
        <w:spacing w:after="0"/>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decreased by $56.4 million to $296.8 million at April 30, 2008 from $353.1 million at October 31,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$118.8 million decrease in cash and cash equivalents tied to the acquisition of OneSource, which was partially offset by additional working capital from OneSource. Trade accounts receivable increased by $127.9 million to $498.4 million at April 30, 2008, of which $94.9 million was attributable to OneSource. These amounts were net of allowances for doubtful accounts and sales totaling $10.4 million and $6.9 million at April 30, 2008 and October 31, 2007, respectively. At April 30, 2008, accounts receivable that were over 90 days past due had increased by $ 11.4 million to $39.3 million (7.7% of the total outstanding) from $27.9 million (7.4% of the total outstanding) at October 31, 2007. Of the over 90 days past due trade receivables, $8.6 million was attributable to OneSource. The increase to accounts receivable is mainly associated with increased Sales.</w:t>
      </w:r>
    </w:p>
    <w:p>
      <w:pPr>
        <w:spacing w:after="0" w:line="73" w:lineRule="exact"/>
        <w:rPr>
          <w:sz w:val="20"/>
          <w:szCs w:val="20"/>
          <w:color w:val="auto"/>
        </w:rPr>
      </w:pPr>
    </w:p>
    <w:p>
      <w:pPr>
        <w:ind w:right="140" w:firstLine="250"/>
        <w:spacing w:after="0" w:line="242"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Net cash provided by operating activities was $21.0 million in the first six months of 2008,</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$29.0 million used in the first six months of 2007. The first six months of 2007 included a $34.9 million income tax payment relating to the $80.0 million gain on the settlement of the World Trade Center insurance claims in the fourth quarter of 2006. Excluding the effects of the OneSource acquisition, accounts receivable in the first six months of 2008 increased $32.9 million from the same period of 2007 due to increased Sales. The effect of this increase to operating cash flows was partially offset by a $12.7 million increase to accounts payable and accrued liabilities</w:t>
      </w:r>
      <w:r>
        <w:rPr>
          <w:rFonts w:ascii="Arial" w:cs="Arial" w:eastAsia="Arial" w:hAnsi="Arial"/>
          <w:sz w:val="18"/>
          <w:szCs w:val="18"/>
          <w:i w:val="1"/>
          <w:iCs w:val="1"/>
          <w:color w:val="auto"/>
        </w:rPr>
        <w:t>.</w:t>
      </w:r>
    </w:p>
    <w:p>
      <w:pPr>
        <w:spacing w:after="0" w:line="71" w:lineRule="exact"/>
        <w:rPr>
          <w:sz w:val="20"/>
          <w:szCs w:val="20"/>
          <w:color w:val="auto"/>
        </w:rPr>
      </w:pPr>
    </w:p>
    <w:p>
      <w:pPr>
        <w:ind w:right="40" w:firstLine="250"/>
        <w:spacing w:after="0" w:line="241"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the first six months of 2008 was $436.5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$15.1 million in the first six months of 2007. The increase was primarily due to the $390.5 million and $27.3 million paid for OneSource and the remaining 50% of the equity of Southern Management, respectively. Cash paid for acquisitions in the first six months of 2007 consisted of a $7.1 million payment for the acquisition of the assets of HealthCare Parking Systems of America and $3.0 million of contingent amounts for businesses acquired in periods prior to 2007. In addition, property, plant and equipment additions increased by $ 10.7 million in the first six months of 2008 compared to the first six months of 2007, which mainly reflects capitalized costs associated with the upgrade of the Company’s accounting systems and the implementation of a new payroll and human resources information system.</w:t>
      </w:r>
    </w:p>
    <w:p>
      <w:pPr>
        <w:spacing w:after="0" w:line="71" w:lineRule="exact"/>
        <w:rPr>
          <w:sz w:val="20"/>
          <w:szCs w:val="20"/>
          <w:color w:val="auto"/>
        </w:rPr>
      </w:pPr>
    </w:p>
    <w:p>
      <w:pPr>
        <w:ind w:right="420" w:firstLine="250"/>
        <w:spacing w:after="0" w:line="247"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provided by financing activities was $296.7 million in the first six months of 2008,</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$8.8 million in the first six months of 2007. In the first six months of 2008, the Company borrowed $301.5 million, net from the Company’s line of credit primarily in connection with the acquisitions of OneSource and the remaining 50% of the equity of Southern Management.</w:t>
      </w:r>
    </w:p>
    <w:p>
      <w:pPr>
        <w:spacing w:after="0" w:line="66" w:lineRule="exact"/>
        <w:rPr>
          <w:sz w:val="20"/>
          <w:szCs w:val="20"/>
          <w:color w:val="auto"/>
        </w:rPr>
      </w:pPr>
    </w:p>
    <w:p>
      <w:pPr>
        <w:ind w:right="20" w:firstLine="250"/>
        <w:spacing w:after="0" w:line="247"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ABM has a $450.0 million five-year syndicated line of credit that is scheduled to expire on November 14, 2012. The line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is available for working capital, the issuance of standby letters of credit, the financing of capital expenditures, and other general corporate purposes. See Note 9 – Line of Credit Facility of the Notes to the Consolidated Financial Statements contained in Item 1,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240"/>
        <w:spacing w:after="0" w:line="246" w:lineRule="auto"/>
        <w:rPr>
          <w:sz w:val="20"/>
          <w:szCs w:val="20"/>
          <w:color w:val="auto"/>
        </w:rPr>
      </w:pPr>
      <w:r>
        <w:rPr>
          <w:rFonts w:ascii="Arial" w:cs="Arial" w:eastAsia="Arial" w:hAnsi="Arial"/>
          <w:sz w:val="18"/>
          <w:szCs w:val="18"/>
          <w:color w:val="auto"/>
        </w:rPr>
        <w:t>As of April 30, 2008, the total outstanding amounts under the line of credit in the form of cash borrowings and standby letters of credit were $301.5 million and $118.6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120" w:firstLine="247"/>
        <w:spacing w:after="0" w:line="238"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95" w:lineRule="exact"/>
        <w:rPr>
          <w:sz w:val="20"/>
          <w:szCs w:val="20"/>
          <w:color w:val="auto"/>
        </w:rPr>
      </w:pPr>
    </w:p>
    <w:p>
      <w:pPr>
        <w:ind w:firstLine="247"/>
        <w:spacing w:after="0" w:line="238" w:lineRule="auto"/>
        <w:rPr>
          <w:sz w:val="20"/>
          <w:szCs w:val="20"/>
          <w:color w:val="auto"/>
        </w:rPr>
      </w:pPr>
      <w:r>
        <w:rPr>
          <w:rFonts w:ascii="Arial" w:cs="Arial" w:eastAsia="Arial" w:hAnsi="Arial"/>
          <w:sz w:val="18"/>
          <w:szCs w:val="18"/>
          <w:color w:val="auto"/>
        </w:rPr>
        <w:t>The Company is also subject to various legal and arbitration proceedings and other contingencies that have arisen in the ordinary course of business, including the matters described in Part II, Item 1, Legal Proceedings. At April 30, 2008, the total amount of probable and estimable losses accrued for legal and other contingencies was $5.0 million. However, the ultimate resolution of legal and arbitration proceedings and other contingencies is always uncertain. If actual losses materially exceed the estimates accrued, the Company’s financial condition and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right="40" w:firstLine="247"/>
        <w:spacing w:after="0" w:line="236" w:lineRule="auto"/>
        <w:rPr>
          <w:sz w:val="20"/>
          <w:szCs w:val="20"/>
          <w:color w:val="auto"/>
        </w:rPr>
      </w:pPr>
      <w:r>
        <w:rPr>
          <w:rFonts w:ascii="Arial" w:cs="Arial" w:eastAsia="Arial" w:hAnsi="Arial"/>
          <w:sz w:val="18"/>
          <w:szCs w:val="18"/>
          <w:color w:val="auto"/>
        </w:rPr>
        <w:t>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parties, generally its customers, in connection with any claims arising out of the services that the Company provides. The Company also incurs costs to defend lawsuits or settle claims related to these indemnification arrangements and in most cases these costs are included in its insurance program. The term of these indemnification arrangements is generally perpetual with respect to claims arising during the service period. Although the Company attempts to place limits on this indemnification reasonably related to the size of the contract, the maximum obligation may not be explicitly stated and, as a result, the maximum potential amount of future payments the Company could be required to make under these arrangements is not determinable.</w:t>
      </w:r>
    </w:p>
    <w:p>
      <w:pPr>
        <w:spacing w:after="0" w:line="99" w:lineRule="exact"/>
        <w:rPr>
          <w:sz w:val="20"/>
          <w:szCs w:val="20"/>
          <w:color w:val="auto"/>
        </w:rPr>
      </w:pPr>
    </w:p>
    <w:p>
      <w:pPr>
        <w:ind w:right="100" w:firstLine="240"/>
        <w:spacing w:after="0" w:line="237"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has a deductible of up to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6" w:lineRule="exact"/>
        <w:rPr>
          <w:sz w:val="20"/>
          <w:szCs w:val="20"/>
          <w:color w:val="auto"/>
        </w:rPr>
      </w:pPr>
    </w:p>
    <w:p>
      <w:pPr>
        <w:ind w:firstLine="247"/>
        <w:spacing w:after="0"/>
        <w:rPr>
          <w:sz w:val="20"/>
          <w:szCs w:val="20"/>
          <w:color w:val="auto"/>
        </w:rPr>
      </w:pPr>
      <w:r>
        <w:rPr>
          <w:rFonts w:ascii="Arial" w:cs="Arial" w:eastAsia="Arial" w:hAnsi="Arial"/>
          <w:sz w:val="18"/>
          <w:szCs w:val="18"/>
          <w:color w:val="auto"/>
        </w:rPr>
        <w:t>The operating results of businesses acquired have been included in the accompanying consolidated financial statements from their respective dates of acquisition. Acquisitions, including OneSource, made during the six months ended April 30, 2008, are discussed in Note 7 – Acquisitions of the Notes to Consolidated Financial Statements contained in Item 1.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April 30, 2008 vs. Three Months Ended April 30, 2007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80" w:type="dxa"/>
            <w:vAlign w:val="bottom"/>
            <w:gridSpan w:val="2"/>
          </w:tcPr>
          <w:p>
            <w:pPr>
              <w:ind w:left="520"/>
              <w:spacing w:after="0"/>
              <w:rPr>
                <w:sz w:val="20"/>
                <w:szCs w:val="20"/>
                <w:color w:val="auto"/>
              </w:rPr>
            </w:pPr>
            <w:r>
              <w:rPr>
                <w:rFonts w:ascii="Arial" w:cs="Arial" w:eastAsia="Arial" w:hAnsi="Arial"/>
                <w:sz w:val="14"/>
                <w:szCs w:val="14"/>
                <w:color w:val="auto"/>
              </w:rPr>
              <w:t>Three Months</w:t>
            </w:r>
          </w:p>
        </w:tc>
        <w:tc>
          <w:tcPr>
            <w:tcW w:w="1460" w:type="dxa"/>
            <w:vAlign w:val="bottom"/>
          </w:tcPr>
          <w:p>
            <w:pPr>
              <w:spacing w:after="0"/>
              <w:rPr>
                <w:sz w:val="14"/>
                <w:szCs w:val="14"/>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color w:val="auto"/>
              </w:rPr>
              <w:t>Three Months</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jc w:val="right"/>
              <w:ind w:right="631"/>
              <w:spacing w:after="0"/>
              <w:rPr>
                <w:sz w:val="20"/>
                <w:szCs w:val="20"/>
                <w:color w:val="auto"/>
              </w:rPr>
            </w:pPr>
            <w:r>
              <w:rPr>
                <w:rFonts w:ascii="Arial" w:cs="Arial" w:eastAsia="Arial" w:hAnsi="Arial"/>
                <w:sz w:val="14"/>
                <w:szCs w:val="14"/>
                <w:color w:val="auto"/>
              </w:rPr>
              <w:t>Ended</w:t>
            </w:r>
          </w:p>
        </w:tc>
        <w:tc>
          <w:tcPr>
            <w:tcW w:w="1460" w:type="dxa"/>
            <w:vAlign w:val="bottom"/>
          </w:tcPr>
          <w:p>
            <w:pPr>
              <w:jc w:val="right"/>
              <w:ind w:right="533"/>
              <w:spacing w:after="0"/>
              <w:rPr>
                <w:sz w:val="20"/>
                <w:szCs w:val="20"/>
                <w:color w:val="auto"/>
              </w:rPr>
            </w:pPr>
            <w:r>
              <w:rPr>
                <w:rFonts w:ascii="Arial" w:cs="Arial" w:eastAsia="Arial" w:hAnsi="Arial"/>
                <w:sz w:val="14"/>
                <w:szCs w:val="14"/>
                <w:color w:val="auto"/>
              </w:rPr>
              <w:t>% of</w:t>
            </w:r>
          </w:p>
        </w:tc>
        <w:tc>
          <w:tcPr>
            <w:tcW w:w="520" w:type="dxa"/>
            <w:vAlign w:val="bottom"/>
          </w:tcPr>
          <w:p>
            <w:pPr>
              <w:spacing w:after="0"/>
              <w:rPr>
                <w:sz w:val="14"/>
                <w:szCs w:val="14"/>
                <w:color w:val="auto"/>
              </w:rPr>
            </w:pPr>
          </w:p>
        </w:tc>
        <w:tc>
          <w:tcPr>
            <w:tcW w:w="1240" w:type="dxa"/>
            <w:vAlign w:val="bottom"/>
          </w:tcPr>
          <w:p>
            <w:pPr>
              <w:jc w:val="right"/>
              <w:ind w:right="611"/>
              <w:spacing w:after="0"/>
              <w:rPr>
                <w:sz w:val="20"/>
                <w:szCs w:val="20"/>
                <w:color w:val="auto"/>
              </w:rPr>
            </w:pPr>
            <w:r>
              <w:rPr>
                <w:rFonts w:ascii="Arial" w:cs="Arial" w:eastAsia="Arial" w:hAnsi="Arial"/>
                <w:sz w:val="14"/>
                <w:szCs w:val="14"/>
                <w:color w:val="auto"/>
              </w:rPr>
              <w:t>Ended</w:t>
            </w:r>
          </w:p>
        </w:tc>
        <w:tc>
          <w:tcPr>
            <w:tcW w:w="1440" w:type="dxa"/>
            <w:vAlign w:val="bottom"/>
          </w:tcPr>
          <w:p>
            <w:pPr>
              <w:jc w:val="right"/>
              <w:ind w:right="513"/>
              <w:spacing w:after="0"/>
              <w:rPr>
                <w:sz w:val="20"/>
                <w:szCs w:val="20"/>
                <w:color w:val="auto"/>
              </w:rPr>
            </w:pPr>
            <w:r>
              <w:rPr>
                <w:rFonts w:ascii="Arial" w:cs="Arial" w:eastAsia="Arial" w:hAnsi="Arial"/>
                <w:sz w:val="14"/>
                <w:szCs w:val="14"/>
                <w:color w:val="auto"/>
              </w:rPr>
              <w:t>% of</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Increase</w:t>
            </w:r>
          </w:p>
        </w:tc>
      </w:tr>
      <w:tr>
        <w:trPr>
          <w:trHeight w:val="164"/>
        </w:trPr>
        <w:tc>
          <w:tcPr>
            <w:tcW w:w="3620" w:type="dxa"/>
            <w:vAlign w:val="bottom"/>
            <w:gridSpan w:val="3"/>
          </w:tcPr>
          <w:p>
            <w:pPr>
              <w:spacing w:after="0" w:line="157" w:lineRule="exact"/>
              <w:rPr>
                <w:sz w:val="20"/>
                <w:szCs w:val="20"/>
                <w:color w:val="auto"/>
              </w:rPr>
            </w:pPr>
            <w:r>
              <w:rPr>
                <w:rFonts w:ascii="Arial" w:cs="Arial" w:eastAsia="Arial" w:hAnsi="Arial"/>
                <w:sz w:val="14"/>
                <w:szCs w:val="14"/>
                <w:color w:val="auto"/>
              </w:rPr>
              <w:t>($ in thousands)</w:t>
            </w:r>
          </w:p>
        </w:tc>
        <w:tc>
          <w:tcPr>
            <w:tcW w:w="18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April 30, 2008</w:t>
            </w:r>
          </w:p>
        </w:tc>
        <w:tc>
          <w:tcPr>
            <w:tcW w:w="1460" w:type="dxa"/>
            <w:vAlign w:val="bottom"/>
          </w:tcPr>
          <w:p>
            <w:pPr>
              <w:jc w:val="right"/>
              <w:ind w:right="493"/>
              <w:spacing w:after="0" w:line="157" w:lineRule="exact"/>
              <w:rPr>
                <w:sz w:val="20"/>
                <w:szCs w:val="20"/>
                <w:color w:val="auto"/>
              </w:rPr>
            </w:pPr>
            <w:r>
              <w:rPr>
                <w:rFonts w:ascii="Arial" w:cs="Arial" w:eastAsia="Arial" w:hAnsi="Arial"/>
                <w:sz w:val="14"/>
                <w:szCs w:val="14"/>
                <w:color w:val="auto"/>
              </w:rPr>
              <w:t>Sales</w:t>
            </w:r>
          </w:p>
        </w:tc>
        <w:tc>
          <w:tcPr>
            <w:tcW w:w="176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April 30, 2007</w:t>
            </w:r>
          </w:p>
        </w:tc>
        <w:tc>
          <w:tcPr>
            <w:tcW w:w="1440" w:type="dxa"/>
            <w:vAlign w:val="bottom"/>
          </w:tcPr>
          <w:p>
            <w:pPr>
              <w:jc w:val="right"/>
              <w:ind w:right="473"/>
              <w:spacing w:after="0" w:line="157" w:lineRule="exact"/>
              <w:rPr>
                <w:sz w:val="20"/>
                <w:szCs w:val="20"/>
                <w:color w:val="auto"/>
              </w:rPr>
            </w:pPr>
            <w:r>
              <w:rPr>
                <w:rFonts w:ascii="Arial" w:cs="Arial" w:eastAsia="Arial" w:hAnsi="Arial"/>
                <w:sz w:val="14"/>
                <w:szCs w:val="14"/>
                <w:color w:val="auto"/>
              </w:rPr>
              <w:t>Sales</w:t>
            </w:r>
          </w:p>
        </w:tc>
        <w:tc>
          <w:tcPr>
            <w:tcW w:w="1260" w:type="dxa"/>
            <w:vAlign w:val="bottom"/>
          </w:tcPr>
          <w:p>
            <w:pPr>
              <w:jc w:val="right"/>
              <w:ind w:right="113"/>
              <w:spacing w:after="0" w:line="157" w:lineRule="exact"/>
              <w:rPr>
                <w:sz w:val="20"/>
                <w:szCs w:val="20"/>
                <w:color w:val="auto"/>
              </w:rPr>
            </w:pPr>
            <w:r>
              <w:rPr>
                <w:rFonts w:ascii="Arial" w:cs="Arial" w:eastAsia="Arial" w:hAnsi="Arial"/>
                <w:sz w:val="14"/>
                <w:szCs w:val="14"/>
                <w:color w:val="auto"/>
              </w:rPr>
              <w:t>(Decrease)</w:t>
            </w:r>
          </w:p>
        </w:tc>
      </w:tr>
      <w:tr>
        <w:trPr>
          <w:trHeight w:val="203"/>
        </w:trPr>
        <w:tc>
          <w:tcPr>
            <w:tcW w:w="20" w:type="dxa"/>
            <w:vAlign w:val="bottom"/>
          </w:tcPr>
          <w:p>
            <w:pPr>
              <w:spacing w:after="0"/>
              <w:rPr>
                <w:sz w:val="17"/>
                <w:szCs w:val="17"/>
                <w:color w:val="auto"/>
              </w:rPr>
            </w:pPr>
          </w:p>
        </w:tc>
        <w:tc>
          <w:tcPr>
            <w:tcW w:w="36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Sales and other income</w:t>
            </w:r>
          </w:p>
        </w:tc>
        <w:tc>
          <w:tcPr>
            <w:tcW w:w="640" w:type="dxa"/>
            <w:vAlign w:val="bottom"/>
          </w:tcPr>
          <w:p>
            <w:pPr>
              <w:ind w:left="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491"/>
              <w:spacing w:after="0" w:line="202" w:lineRule="exact"/>
              <w:rPr>
                <w:sz w:val="20"/>
                <w:szCs w:val="20"/>
                <w:color w:val="auto"/>
              </w:rPr>
            </w:pPr>
            <w:r>
              <w:rPr>
                <w:rFonts w:ascii="Arial" w:cs="Arial" w:eastAsia="Arial" w:hAnsi="Arial"/>
                <w:sz w:val="18"/>
                <w:szCs w:val="18"/>
                <w:color w:val="auto"/>
                <w:w w:val="98"/>
              </w:rPr>
              <w:t>938,534</w:t>
            </w:r>
          </w:p>
        </w:tc>
        <w:tc>
          <w:tcPr>
            <w:tcW w:w="1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100.0%</w:t>
            </w:r>
          </w:p>
        </w:tc>
        <w:tc>
          <w:tcPr>
            <w:tcW w:w="520" w:type="dxa"/>
            <w:vAlign w:val="bottom"/>
          </w:tcPr>
          <w:p>
            <w:pPr>
              <w:ind w:left="42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91"/>
              <w:spacing w:after="0" w:line="202" w:lineRule="exact"/>
              <w:rPr>
                <w:sz w:val="20"/>
                <w:szCs w:val="20"/>
                <w:color w:val="auto"/>
              </w:rPr>
            </w:pPr>
            <w:r>
              <w:rPr>
                <w:rFonts w:ascii="Arial" w:cs="Arial" w:eastAsia="Arial" w:hAnsi="Arial"/>
                <w:sz w:val="18"/>
                <w:szCs w:val="18"/>
                <w:color w:val="auto"/>
                <w:w w:val="98"/>
              </w:rPr>
              <w:t>697,851</w:t>
            </w:r>
          </w:p>
        </w:tc>
        <w:tc>
          <w:tcPr>
            <w:tcW w:w="14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100.0%</w:t>
            </w:r>
          </w:p>
        </w:tc>
        <w:tc>
          <w:tcPr>
            <w:tcW w:w="12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34.5%</w:t>
            </w: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Operating expenses and cost of goods</w:t>
            </w: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Pr>
          <w:p>
            <w:pPr>
              <w:ind w:left="120"/>
              <w:spacing w:after="0" w:line="203" w:lineRule="exact"/>
              <w:rPr>
                <w:sz w:val="20"/>
                <w:szCs w:val="20"/>
                <w:color w:val="auto"/>
              </w:rPr>
            </w:pPr>
            <w:r>
              <w:rPr>
                <w:rFonts w:ascii="Arial" w:cs="Arial" w:eastAsia="Arial" w:hAnsi="Arial"/>
                <w:sz w:val="18"/>
                <w:szCs w:val="18"/>
                <w:color w:val="auto"/>
              </w:rPr>
              <w:t>sold</w:t>
            </w:r>
          </w:p>
        </w:tc>
        <w:tc>
          <w:tcPr>
            <w:tcW w:w="640" w:type="dxa"/>
            <w:vAlign w:val="bottom"/>
          </w:tcPr>
          <w:p>
            <w:pPr>
              <w:spacing w:after="0"/>
              <w:rPr>
                <w:sz w:val="17"/>
                <w:szCs w:val="17"/>
                <w:color w:val="auto"/>
              </w:rPr>
            </w:pPr>
          </w:p>
        </w:tc>
        <w:tc>
          <w:tcPr>
            <w:tcW w:w="1240" w:type="dxa"/>
            <w:vAlign w:val="bottom"/>
          </w:tcPr>
          <w:p>
            <w:pPr>
              <w:jc w:val="right"/>
              <w:ind w:right="491"/>
              <w:spacing w:after="0" w:line="203" w:lineRule="exact"/>
              <w:rPr>
                <w:sz w:val="20"/>
                <w:szCs w:val="20"/>
                <w:color w:val="auto"/>
              </w:rPr>
            </w:pPr>
            <w:r>
              <w:rPr>
                <w:rFonts w:ascii="Arial" w:cs="Arial" w:eastAsia="Arial" w:hAnsi="Arial"/>
                <w:sz w:val="18"/>
                <w:szCs w:val="18"/>
                <w:color w:val="auto"/>
                <w:w w:val="98"/>
              </w:rPr>
              <w:t>833,317</w:t>
            </w:r>
          </w:p>
        </w:tc>
        <w:tc>
          <w:tcPr>
            <w:tcW w:w="1460" w:type="dxa"/>
            <w:vAlign w:val="bottom"/>
          </w:tcPr>
          <w:p>
            <w:pPr>
              <w:jc w:val="right"/>
              <w:ind w:right="313"/>
              <w:spacing w:after="0" w:line="203" w:lineRule="exact"/>
              <w:rPr>
                <w:sz w:val="20"/>
                <w:szCs w:val="20"/>
                <w:color w:val="auto"/>
              </w:rPr>
            </w:pPr>
            <w:r>
              <w:rPr>
                <w:rFonts w:ascii="Arial" w:cs="Arial" w:eastAsia="Arial" w:hAnsi="Arial"/>
                <w:sz w:val="18"/>
                <w:szCs w:val="18"/>
                <w:color w:val="auto"/>
              </w:rPr>
              <w:t>88.8%</w:t>
            </w:r>
          </w:p>
        </w:tc>
        <w:tc>
          <w:tcPr>
            <w:tcW w:w="520" w:type="dxa"/>
            <w:vAlign w:val="bottom"/>
          </w:tcPr>
          <w:p>
            <w:pPr>
              <w:spacing w:after="0"/>
              <w:rPr>
                <w:sz w:val="17"/>
                <w:szCs w:val="17"/>
                <w:color w:val="auto"/>
              </w:rPr>
            </w:pPr>
          </w:p>
        </w:tc>
        <w:tc>
          <w:tcPr>
            <w:tcW w:w="1240" w:type="dxa"/>
            <w:vAlign w:val="bottom"/>
          </w:tcPr>
          <w:p>
            <w:pPr>
              <w:jc w:val="right"/>
              <w:ind w:right="491"/>
              <w:spacing w:after="0" w:line="203" w:lineRule="exact"/>
              <w:rPr>
                <w:sz w:val="20"/>
                <w:szCs w:val="20"/>
                <w:color w:val="auto"/>
              </w:rPr>
            </w:pPr>
            <w:r>
              <w:rPr>
                <w:rFonts w:ascii="Arial" w:cs="Arial" w:eastAsia="Arial" w:hAnsi="Arial"/>
                <w:sz w:val="18"/>
                <w:szCs w:val="18"/>
                <w:color w:val="auto"/>
                <w:w w:val="98"/>
              </w:rPr>
              <w:t>619,313</w:t>
            </w:r>
          </w:p>
        </w:tc>
        <w:tc>
          <w:tcPr>
            <w:tcW w:w="1440" w:type="dxa"/>
            <w:vAlign w:val="bottom"/>
          </w:tcPr>
          <w:p>
            <w:pPr>
              <w:jc w:val="right"/>
              <w:ind w:right="273"/>
              <w:spacing w:after="0" w:line="203" w:lineRule="exact"/>
              <w:rPr>
                <w:sz w:val="20"/>
                <w:szCs w:val="20"/>
                <w:color w:val="auto"/>
              </w:rPr>
            </w:pPr>
            <w:r>
              <w:rPr>
                <w:rFonts w:ascii="Arial" w:cs="Arial" w:eastAsia="Arial" w:hAnsi="Arial"/>
                <w:sz w:val="18"/>
                <w:szCs w:val="18"/>
                <w:color w:val="auto"/>
              </w:rPr>
              <w:t>88.7%</w:t>
            </w:r>
          </w:p>
        </w:tc>
        <w:tc>
          <w:tcPr>
            <w:tcW w:w="1260" w:type="dxa"/>
            <w:vAlign w:val="bottom"/>
          </w:tcPr>
          <w:p>
            <w:pPr>
              <w:jc w:val="right"/>
              <w:ind w:right="93"/>
              <w:spacing w:after="0" w:line="203" w:lineRule="exact"/>
              <w:rPr>
                <w:sz w:val="20"/>
                <w:szCs w:val="20"/>
                <w:color w:val="auto"/>
              </w:rPr>
            </w:pPr>
            <w:r>
              <w:rPr>
                <w:rFonts w:ascii="Arial" w:cs="Arial" w:eastAsia="Arial" w:hAnsi="Arial"/>
                <w:sz w:val="18"/>
                <w:szCs w:val="18"/>
                <w:color w:val="auto"/>
              </w:rPr>
              <w:t>34.6%</w:t>
            </w: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74,441</w:t>
            </w:r>
          </w:p>
        </w:tc>
        <w:tc>
          <w:tcPr>
            <w:tcW w:w="146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51,601</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7.4%</w:t>
            </w:r>
          </w:p>
        </w:tc>
        <w:tc>
          <w:tcPr>
            <w:tcW w:w="12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44.3%</w:t>
            </w:r>
          </w:p>
        </w:tc>
      </w:tr>
      <w:tr>
        <w:trPr>
          <w:trHeight w:val="203"/>
        </w:trPr>
        <w:tc>
          <w:tcPr>
            <w:tcW w:w="20" w:type="dxa"/>
            <w:vAlign w:val="bottom"/>
          </w:tcPr>
          <w:p>
            <w:pPr>
              <w:spacing w:after="0"/>
              <w:rPr>
                <w:sz w:val="17"/>
                <w:szCs w:val="17"/>
                <w:color w:val="auto"/>
              </w:rPr>
            </w:pPr>
          </w:p>
        </w:tc>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Goodwill impairment</w:t>
            </w:r>
          </w:p>
        </w:tc>
        <w:tc>
          <w:tcPr>
            <w:tcW w:w="640" w:type="dxa"/>
            <w:vAlign w:val="bottom"/>
          </w:tcPr>
          <w:p>
            <w:pPr>
              <w:spacing w:after="0"/>
              <w:rPr>
                <w:sz w:val="17"/>
                <w:szCs w:val="17"/>
                <w:color w:val="auto"/>
              </w:rPr>
            </w:pPr>
          </w:p>
        </w:tc>
        <w:tc>
          <w:tcPr>
            <w:tcW w:w="1240" w:type="dxa"/>
            <w:vAlign w:val="bottom"/>
          </w:tcPr>
          <w:p>
            <w:pPr>
              <w:jc w:val="right"/>
              <w:ind w:right="491"/>
              <w:spacing w:after="0" w:line="202" w:lineRule="exact"/>
              <w:rPr>
                <w:sz w:val="20"/>
                <w:szCs w:val="20"/>
                <w:color w:val="auto"/>
              </w:rPr>
            </w:pPr>
            <w:r>
              <w:rPr>
                <w:rFonts w:ascii="Arial" w:cs="Arial" w:eastAsia="Arial" w:hAnsi="Arial"/>
                <w:sz w:val="18"/>
                <w:szCs w:val="18"/>
                <w:color w:val="auto"/>
              </w:rPr>
              <w:t>4,500</w:t>
            </w:r>
          </w:p>
        </w:tc>
        <w:tc>
          <w:tcPr>
            <w:tcW w:w="1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0.5%</w:t>
            </w:r>
          </w:p>
        </w:tc>
        <w:tc>
          <w:tcPr>
            <w:tcW w:w="520" w:type="dxa"/>
            <w:vAlign w:val="bottom"/>
          </w:tcPr>
          <w:p>
            <w:pPr>
              <w:spacing w:after="0"/>
              <w:rPr>
                <w:sz w:val="17"/>
                <w:szCs w:val="17"/>
                <w:color w:val="auto"/>
              </w:rPr>
            </w:pPr>
          </w:p>
        </w:tc>
        <w:tc>
          <w:tcPr>
            <w:tcW w:w="1240" w:type="dxa"/>
            <w:vAlign w:val="bottom"/>
          </w:tcPr>
          <w:p>
            <w:pPr>
              <w:jc w:val="right"/>
              <w:ind w:right="491"/>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0.0%</w:t>
            </w:r>
          </w:p>
        </w:tc>
        <w:tc>
          <w:tcPr>
            <w:tcW w:w="12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36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6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2,544</w:t>
            </w:r>
          </w:p>
        </w:tc>
        <w:tc>
          <w:tcPr>
            <w:tcW w:w="1460" w:type="dxa"/>
            <w:vAlign w:val="bottom"/>
            <w:tcBorders>
              <w:bottom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0.3%</w:t>
            </w:r>
          </w:p>
        </w:tc>
        <w:tc>
          <w:tcPr>
            <w:tcW w:w="5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1,331</w:t>
            </w:r>
          </w:p>
        </w:tc>
        <w:tc>
          <w:tcPr>
            <w:tcW w:w="144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91.1%</w:t>
            </w:r>
          </w:p>
        </w:tc>
      </w:tr>
      <w:tr>
        <w:trPr>
          <w:trHeight w:val="217"/>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8"/>
              </w:rPr>
              <w:t>914,802</w:t>
            </w: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97.5%</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8"/>
              </w:rPr>
              <w:t>672,245</w:t>
            </w: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96.3%</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36.1%</w:t>
            </w: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23,732</w:t>
            </w:r>
          </w:p>
        </w:tc>
        <w:tc>
          <w:tcPr>
            <w:tcW w:w="146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25,606</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3.7%</w:t>
            </w:r>
          </w:p>
        </w:tc>
        <w:tc>
          <w:tcPr>
            <w:tcW w:w="12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-7.3%</w:t>
            </w:r>
          </w:p>
        </w:tc>
      </w:tr>
      <w:tr>
        <w:trPr>
          <w:trHeight w:val="210"/>
        </w:trPr>
        <w:tc>
          <w:tcPr>
            <w:tcW w:w="20" w:type="dxa"/>
            <w:vAlign w:val="bottom"/>
          </w:tcPr>
          <w:p>
            <w:pPr>
              <w:spacing w:after="0"/>
              <w:rPr>
                <w:sz w:val="18"/>
                <w:szCs w:val="18"/>
                <w:color w:val="auto"/>
              </w:rPr>
            </w:pPr>
          </w:p>
        </w:tc>
        <w:tc>
          <w:tcPr>
            <w:tcW w:w="36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line="202" w:lineRule="exact"/>
              <w:rPr>
                <w:sz w:val="20"/>
                <w:szCs w:val="20"/>
                <w:color w:val="auto"/>
              </w:rPr>
            </w:pPr>
            <w:r>
              <w:rPr>
                <w:rFonts w:ascii="Arial" w:cs="Arial" w:eastAsia="Arial" w:hAnsi="Arial"/>
                <w:sz w:val="18"/>
                <w:szCs w:val="18"/>
                <w:color w:val="auto"/>
              </w:rPr>
              <w:t>3,858</w:t>
            </w:r>
          </w:p>
        </w:tc>
        <w:tc>
          <w:tcPr>
            <w:tcW w:w="1460" w:type="dxa"/>
            <w:vAlign w:val="bottom"/>
            <w:tcBorders>
              <w:bottom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0.4%</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line="202" w:lineRule="exact"/>
              <w:rPr>
                <w:sz w:val="20"/>
                <w:szCs w:val="20"/>
                <w:color w:val="auto"/>
              </w:rPr>
            </w:pPr>
            <w:r>
              <w:rPr>
                <w:rFonts w:ascii="Arial" w:cs="Arial" w:eastAsia="Arial" w:hAnsi="Arial"/>
                <w:sz w:val="18"/>
                <w:szCs w:val="18"/>
                <w:color w:val="auto"/>
              </w:rPr>
              <w:t>109</w:t>
            </w:r>
          </w:p>
        </w:tc>
        <w:tc>
          <w:tcPr>
            <w:tcW w:w="14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0.0%</w:t>
            </w:r>
          </w:p>
        </w:tc>
        <w:tc>
          <w:tcPr>
            <w:tcW w:w="126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19,874</w:t>
            </w:r>
          </w:p>
        </w:tc>
        <w:tc>
          <w:tcPr>
            <w:tcW w:w="146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25,497</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3.7%</w:t>
            </w:r>
          </w:p>
        </w:tc>
        <w:tc>
          <w:tcPr>
            <w:tcW w:w="12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-22.1%</w:t>
            </w:r>
          </w:p>
        </w:tc>
      </w:tr>
      <w:tr>
        <w:trPr>
          <w:trHeight w:val="210"/>
        </w:trPr>
        <w:tc>
          <w:tcPr>
            <w:tcW w:w="20" w:type="dxa"/>
            <w:vAlign w:val="bottom"/>
          </w:tcPr>
          <w:p>
            <w:pPr>
              <w:spacing w:after="0"/>
              <w:rPr>
                <w:sz w:val="18"/>
                <w:szCs w:val="18"/>
                <w:color w:val="auto"/>
              </w:rPr>
            </w:pPr>
          </w:p>
        </w:tc>
        <w:tc>
          <w:tcPr>
            <w:tcW w:w="36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line="202" w:lineRule="exact"/>
              <w:rPr>
                <w:sz w:val="20"/>
                <w:szCs w:val="20"/>
                <w:color w:val="auto"/>
              </w:rPr>
            </w:pPr>
            <w:r>
              <w:rPr>
                <w:rFonts w:ascii="Arial" w:cs="Arial" w:eastAsia="Arial" w:hAnsi="Arial"/>
                <w:sz w:val="18"/>
                <w:szCs w:val="18"/>
                <w:color w:val="auto"/>
              </w:rPr>
              <w:t>8,802</w:t>
            </w:r>
          </w:p>
        </w:tc>
        <w:tc>
          <w:tcPr>
            <w:tcW w:w="1460" w:type="dxa"/>
            <w:vAlign w:val="bottom"/>
            <w:tcBorders>
              <w:bottom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0.9%</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line="202" w:lineRule="exact"/>
              <w:rPr>
                <w:sz w:val="20"/>
                <w:szCs w:val="20"/>
                <w:color w:val="auto"/>
              </w:rPr>
            </w:pPr>
            <w:r>
              <w:rPr>
                <w:rFonts w:ascii="Arial" w:cs="Arial" w:eastAsia="Arial" w:hAnsi="Arial"/>
                <w:sz w:val="18"/>
                <w:szCs w:val="18"/>
                <w:color w:val="auto"/>
              </w:rPr>
              <w:t>8,775</w:t>
            </w:r>
          </w:p>
        </w:tc>
        <w:tc>
          <w:tcPr>
            <w:tcW w:w="14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1.3%</w:t>
            </w:r>
          </w:p>
        </w:tc>
        <w:tc>
          <w:tcPr>
            <w:tcW w:w="12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0.3%</w:t>
            </w:r>
          </w:p>
        </w:tc>
      </w:tr>
      <w:tr>
        <w:trPr>
          <w:trHeight w:val="203"/>
        </w:trPr>
        <w:tc>
          <w:tcPr>
            <w:tcW w:w="20" w:type="dxa"/>
            <w:vAlign w:val="bottom"/>
          </w:tcPr>
          <w:p>
            <w:pPr>
              <w:spacing w:after="0"/>
              <w:rPr>
                <w:sz w:val="17"/>
                <w:szCs w:val="17"/>
                <w:color w:val="auto"/>
              </w:rPr>
            </w:pPr>
          </w:p>
        </w:tc>
        <w:tc>
          <w:tcPr>
            <w:tcW w:w="36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640" w:type="dxa"/>
            <w:vAlign w:val="bottom"/>
            <w:tcBorders>
              <w:bottom w:val="single" w:sz="8" w:color="auto"/>
            </w:tcBorders>
            <w:shd w:val="clear" w:color="auto" w:fill="CCEEFF"/>
          </w:tcPr>
          <w:p>
            <w:pPr>
              <w:ind w:left="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11,072</w:t>
            </w:r>
          </w:p>
        </w:tc>
        <w:tc>
          <w:tcPr>
            <w:tcW w:w="1460" w:type="dxa"/>
            <w:vAlign w:val="bottom"/>
            <w:tcBorders>
              <w:bottom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16,722</w:t>
            </w:r>
          </w:p>
        </w:tc>
        <w:tc>
          <w:tcPr>
            <w:tcW w:w="144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2.4%</w:t>
            </w:r>
          </w:p>
        </w:tc>
        <w:tc>
          <w:tcPr>
            <w:tcW w:w="126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-33.8%</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86"/>
        </w:trPr>
        <w:tc>
          <w:tcPr>
            <w:tcW w:w="100" w:type="dxa"/>
            <w:vAlign w:val="bottom"/>
            <w:gridSpan w:val="2"/>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360"/>
              <w:spacing w:after="0"/>
              <w:rPr>
                <w:sz w:val="20"/>
                <w:szCs w:val="20"/>
                <w:color w:val="auto"/>
              </w:rPr>
            </w:pPr>
            <w:r>
              <w:rPr>
                <w:rFonts w:ascii="Arial" w:cs="Arial" w:eastAsia="Arial" w:hAnsi="Arial"/>
                <w:sz w:val="18"/>
                <w:szCs w:val="18"/>
                <w:color w:val="auto"/>
              </w:rPr>
              <w:t>Not meaningful</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72"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Although the Janitorial, Security and Engineering segments had increases in operating profit, consolidated net income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2008 decreased by $5.7 million, or 33.8%, to $11.1 million ($0.22 per diluted share) from $16.7 million ($0.33 per diluted share) in the second quarter of 2007. The decrease was primarily due to the absence of a $5.0 million ($3.0 million after-tax) gain recorded in the second quarter of 2007 in Parking in connection with the termination of an off-airport parking garage lease, a $4.5 million ($4.0 million after-tax) impairment charge in the second quarter of 2008 associated with Lighting goodwill, $3.9 million ($2.4 million after-tax) of interest expense attributable to the financing of the OneSource and Southern Management acquisitions, $3.8 million ($2.3 million after-tax) additional labor expense in Janitorial from an extra day in the second quarter of 2008 compared to the second quarter of 2007, $ 2.4 million ($1.5 million after-tax) of expenses associated with the integration of OneSource’s operations, a $1.6 million ($1.0 million after-tax) increase in professional fees, a $ 1.2 million ($0.7 million after-tax) increase in expenses related to severance, retention bonuses and new hires associated with the move of the Company’s corporate headquarters to New York, and a $1.2 million ($0.7 million after-tax) increase in intangible amortization primarily from OneSource intangible assets. The negative impact of these items on net income was partially offset by a $7.2 million ($4.3 million after-tax) reduction in self-insurance reserves relating to prior years in the second quarter of 2008.</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operating profit from the operating segments, excluding Corporate, was relatively flat in the second quarter of 2008 compared to the</w:t>
      </w:r>
    </w:p>
    <w:p>
      <w:pPr>
        <w:spacing w:after="0" w:line="234" w:lineRule="auto"/>
        <w:rPr>
          <w:sz w:val="20"/>
          <w:szCs w:val="20"/>
          <w:color w:val="auto"/>
        </w:rPr>
      </w:pPr>
      <w:r>
        <w:rPr>
          <w:rFonts w:ascii="Arial" w:cs="Arial" w:eastAsia="Arial" w:hAnsi="Arial"/>
          <w:sz w:val="18"/>
          <w:szCs w:val="18"/>
          <w:color w:val="auto"/>
        </w:rPr>
        <w:t>second quarter of 2007. The operating profit in the second quarter of 2008 was impacted by the $4.5 million goodwill impairment charge, the</w:t>
      </w:r>
    </w:p>
    <w:p>
      <w:pPr>
        <w:spacing w:after="0" w:line="235" w:lineRule="auto"/>
        <w:rPr>
          <w:sz w:val="20"/>
          <w:szCs w:val="20"/>
          <w:color w:val="auto"/>
        </w:rPr>
      </w:pPr>
      <w:r>
        <w:rPr>
          <w:rFonts w:ascii="Arial" w:cs="Arial" w:eastAsia="Arial" w:hAnsi="Arial"/>
          <w:sz w:val="18"/>
          <w:szCs w:val="18"/>
          <w:color w:val="auto"/>
        </w:rPr>
        <w:t>$3.8 million additional labor expense in Janitorial, and the $1.2 million increase in intangible amortization expense, as described above, without</w:t>
      </w:r>
    </w:p>
    <w:p>
      <w:pPr>
        <w:spacing w:after="0" w:line="235" w:lineRule="auto"/>
        <w:rPr>
          <w:sz w:val="20"/>
          <w:szCs w:val="20"/>
          <w:color w:val="auto"/>
        </w:rPr>
      </w:pPr>
      <w:r>
        <w:rPr>
          <w:rFonts w:ascii="Arial" w:cs="Arial" w:eastAsia="Arial" w:hAnsi="Arial"/>
          <w:sz w:val="18"/>
          <w:szCs w:val="18"/>
          <w:color w:val="auto"/>
        </w:rPr>
        <w:t>the benefit of the $5.0 million lease termination gain recorded in the second quarter of 2007. Also included in the operating profit from the</w:t>
      </w:r>
    </w:p>
    <w:p>
      <w:pPr>
        <w:spacing w:after="0" w:line="235" w:lineRule="auto"/>
        <w:rPr>
          <w:sz w:val="20"/>
          <w:szCs w:val="20"/>
          <w:color w:val="auto"/>
        </w:rPr>
      </w:pPr>
      <w:r>
        <w:rPr>
          <w:rFonts w:ascii="Arial" w:cs="Arial" w:eastAsia="Arial" w:hAnsi="Arial"/>
          <w:sz w:val="18"/>
          <w:szCs w:val="18"/>
          <w:color w:val="auto"/>
        </w:rPr>
        <w:t>operating segments for the second quarter of 2008 was $7.9 million ($4.8 million after-tax) of additional profit as a result of the OneSource</w:t>
      </w:r>
    </w:p>
    <w:p>
      <w:pPr>
        <w:spacing w:after="0" w:line="235" w:lineRule="auto"/>
        <w:rPr>
          <w:sz w:val="20"/>
          <w:szCs w:val="20"/>
          <w:color w:val="auto"/>
        </w:rPr>
      </w:pPr>
      <w:r>
        <w:rPr>
          <w:rFonts w:ascii="Arial" w:cs="Arial" w:eastAsia="Arial" w:hAnsi="Arial"/>
          <w:sz w:val="18"/>
          <w:szCs w:val="18"/>
          <w:color w:val="auto"/>
        </w:rPr>
        <w:t>acquisition, of which $6.8 million ($4.1 million after-tax) was attributable to synergies generated from the integration of OneSource’s operations</w:t>
      </w:r>
    </w:p>
    <w:p>
      <w:pPr>
        <w:spacing w:after="0"/>
        <w:rPr>
          <w:sz w:val="20"/>
          <w:szCs w:val="20"/>
          <w:color w:val="auto"/>
        </w:rPr>
      </w:pPr>
      <w:r>
        <w:rPr>
          <w:rFonts w:ascii="Arial" w:cs="Arial" w:eastAsia="Arial" w:hAnsi="Arial"/>
          <w:sz w:val="18"/>
          <w:szCs w:val="18"/>
          <w:color w:val="auto"/>
        </w:rPr>
        <w:t>into the Janitorial segment.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Sales in the second quarter of 2008 increased $240.6 million, or 34.5%, to $938.5 million from $697.9 million in the second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quarter of 2007, primarily due to $212.9 million and $6.1 million of additional revenues contributed by OneSource and Healthcare Parking</w:t>
      </w:r>
    </w:p>
    <w:p>
      <w:pPr>
        <w:spacing w:after="0" w:line="234" w:lineRule="auto"/>
        <w:rPr>
          <w:sz w:val="20"/>
          <w:szCs w:val="20"/>
          <w:color w:val="auto"/>
        </w:rPr>
      </w:pPr>
      <w:r>
        <w:rPr>
          <w:rFonts w:ascii="Arial" w:cs="Arial" w:eastAsia="Arial" w:hAnsi="Arial"/>
          <w:sz w:val="18"/>
          <w:szCs w:val="18"/>
          <w:color w:val="auto"/>
        </w:rPr>
        <w:t>Systems of America (HPSA), respectively. HPSA was acquired on April 2, 2007. Excluding OneSource and HPSA, Sales increased by</w:t>
      </w:r>
    </w:p>
    <w:p>
      <w:pPr>
        <w:spacing w:after="0" w:line="235" w:lineRule="auto"/>
        <w:rPr>
          <w:sz w:val="20"/>
          <w:szCs w:val="20"/>
          <w:color w:val="auto"/>
        </w:rPr>
      </w:pPr>
      <w:r>
        <w:rPr>
          <w:rFonts w:ascii="Arial" w:cs="Arial" w:eastAsia="Arial" w:hAnsi="Arial"/>
          <w:sz w:val="18"/>
          <w:szCs w:val="18"/>
          <w:color w:val="auto"/>
        </w:rPr>
        <w:t>$21.6 million or 3.1%, during the second quarter of 2008 compared to the second quarter of 2007, which was primarily due to new business</w:t>
      </w:r>
    </w:p>
    <w:p>
      <w:pPr>
        <w:spacing w:after="0" w:line="235" w:lineRule="auto"/>
        <w:rPr>
          <w:sz w:val="20"/>
          <w:szCs w:val="20"/>
          <w:color w:val="auto"/>
        </w:rPr>
      </w:pPr>
      <w:r>
        <w:rPr>
          <w:rFonts w:ascii="Arial" w:cs="Arial" w:eastAsia="Arial" w:hAnsi="Arial"/>
          <w:sz w:val="18"/>
          <w:szCs w:val="18"/>
          <w:color w:val="auto"/>
        </w:rPr>
        <w:t>and expansion of services in all segments, except Lighting. Parking Sales in 2007 included the $5.0 million gain in connection with the off-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airport parking garage lease termination.</w:t>
      </w:r>
    </w:p>
    <w:p>
      <w:pPr>
        <w:spacing w:after="0" w:line="82" w:lineRule="exact"/>
        <w:rPr>
          <w:sz w:val="20"/>
          <w:szCs w:val="20"/>
          <w:color w:val="auto"/>
        </w:rPr>
      </w:pPr>
    </w:p>
    <w:p>
      <w:pPr>
        <w:ind w:right="20" w:firstLine="250"/>
        <w:spacing w:after="0" w:line="242"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margin was 11.2% and 11.3% in the second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and 2007, respectively. The slight decrease in gross margin was primarily the result of the absence of the $ 5.0 million gain recorded in the second quarter of 2007 in connection with the off-airport parking garage lease termination and $3.8 million of additional labor expense from an extra day in the second quarter of 2008 compared to the second quarter of 2007. These increases were partially offset by the impact of the $7.2 million reduction of the self-insurance reserves and reduced costs associated with synergies generated from the integration of OneSource’s operations into the Janitorial segment in the second quarter of 2008.</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$22.8 million, or 44.3%, in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2008 compared to the second quarter of 2007 primarily due to an additional $16.3 million of OneSource expenses in the</w:t>
      </w:r>
    </w:p>
    <w:p>
      <w:pPr>
        <w:spacing w:after="0" w:line="234" w:lineRule="auto"/>
        <w:rPr>
          <w:sz w:val="20"/>
          <w:szCs w:val="20"/>
          <w:color w:val="auto"/>
        </w:rPr>
      </w:pPr>
      <w:r>
        <w:rPr>
          <w:rFonts w:ascii="Arial" w:cs="Arial" w:eastAsia="Arial" w:hAnsi="Arial"/>
          <w:sz w:val="18"/>
          <w:szCs w:val="18"/>
          <w:color w:val="auto"/>
        </w:rPr>
        <w:t>second quarter of 2008. Excluding OneSource, selling, general and administrative expenses increased $6.5 million. This was primarily due to</w:t>
      </w:r>
    </w:p>
    <w:p>
      <w:pPr>
        <w:spacing w:after="0" w:line="235" w:lineRule="auto"/>
        <w:rPr>
          <w:sz w:val="20"/>
          <w:szCs w:val="20"/>
          <w:color w:val="auto"/>
        </w:rPr>
      </w:pPr>
      <w:r>
        <w:rPr>
          <w:rFonts w:ascii="Arial" w:cs="Arial" w:eastAsia="Arial" w:hAnsi="Arial"/>
          <w:sz w:val="18"/>
          <w:szCs w:val="18"/>
          <w:color w:val="auto"/>
        </w:rPr>
        <w:t>$2.4 million of Corporate expenses associated with the integration of OneSource’s operations, a $1.6 million increase in professional fees, a</w:t>
      </w:r>
    </w:p>
    <w:p>
      <w:pPr>
        <w:spacing w:after="0" w:line="235" w:lineRule="auto"/>
        <w:rPr>
          <w:sz w:val="20"/>
          <w:szCs w:val="20"/>
          <w:color w:val="auto"/>
        </w:rPr>
      </w:pPr>
      <w:r>
        <w:rPr>
          <w:rFonts w:ascii="Arial" w:cs="Arial" w:eastAsia="Arial" w:hAnsi="Arial"/>
          <w:sz w:val="18"/>
          <w:szCs w:val="18"/>
          <w:color w:val="auto"/>
        </w:rPr>
        <w:t>$1.2 million increase in expenses related to severance, retention bonuses and new hires associated with the move of the Company’s corporate</w:t>
      </w:r>
    </w:p>
    <w:p>
      <w:pPr>
        <w:spacing w:after="0" w:line="235" w:lineRule="auto"/>
        <w:rPr>
          <w:sz w:val="20"/>
          <w:szCs w:val="20"/>
          <w:color w:val="auto"/>
        </w:rPr>
      </w:pPr>
      <w:r>
        <w:rPr>
          <w:rFonts w:ascii="Arial" w:cs="Arial" w:eastAsia="Arial" w:hAnsi="Arial"/>
          <w:sz w:val="18"/>
          <w:szCs w:val="18"/>
          <w:color w:val="auto"/>
        </w:rPr>
        <w:t>headquarters to New York, $0.8 million in costs associated with the operations of the Shared Services Center in Houston, and a $0.6 million</w:t>
      </w:r>
    </w:p>
    <w:p>
      <w:pPr>
        <w:spacing w:after="0"/>
        <w:rPr>
          <w:sz w:val="20"/>
          <w:szCs w:val="20"/>
          <w:color w:val="auto"/>
        </w:rPr>
      </w:pPr>
      <w:r>
        <w:rPr>
          <w:rFonts w:ascii="Arial" w:cs="Arial" w:eastAsia="Arial" w:hAnsi="Arial"/>
          <w:sz w:val="18"/>
          <w:szCs w:val="18"/>
          <w:color w:val="auto"/>
        </w:rPr>
        <w:t>increase in information technology costs.</w:t>
      </w:r>
    </w:p>
    <w:p>
      <w:pPr>
        <w:spacing w:after="0" w:line="82" w:lineRule="exact"/>
        <w:rPr>
          <w:sz w:val="20"/>
          <w:szCs w:val="20"/>
          <w:color w:val="auto"/>
        </w:rPr>
      </w:pPr>
    </w:p>
    <w:p>
      <w:pPr>
        <w:ind w:right="160" w:firstLine="250"/>
        <w:spacing w:after="0" w:line="244" w:lineRule="auto"/>
        <w:rPr>
          <w:sz w:val="20"/>
          <w:szCs w:val="20"/>
          <w:color w:val="auto"/>
        </w:rPr>
      </w:pPr>
      <w:r>
        <w:rPr>
          <w:rFonts w:ascii="Arial" w:cs="Arial" w:eastAsia="Arial" w:hAnsi="Arial"/>
          <w:sz w:val="18"/>
          <w:szCs w:val="18"/>
          <w:b w:val="1"/>
          <w:bCs w:val="1"/>
          <w:color w:val="auto"/>
        </w:rPr>
        <w:t xml:space="preserve">Goodwill Impairment. </w:t>
      </w:r>
      <w:r>
        <w:rPr>
          <w:rFonts w:ascii="Arial" w:cs="Arial" w:eastAsia="Arial" w:hAnsi="Arial"/>
          <w:sz w:val="18"/>
          <w:szCs w:val="18"/>
          <w:color w:val="auto"/>
        </w:rPr>
        <w:t>In response to objective evidence about the implied fair value of goodwill relating to the Company’s Lighting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noted in connection with the preparation of the financial statements for the three months ended April 30, 2008, the Company performed an assessment of goodwill for impairment. On a preliminary basis, the goodwill in the Lighting segment was determined to be impaired and a non-cash, pre-tax goodwill impairment charge of $4.5 million was recorded on April 30, 2008. This estimate will be finalized in the quarter ending July 31, 2008.</w:t>
      </w:r>
    </w:p>
    <w:p>
      <w:pPr>
        <w:spacing w:after="0" w:line="69" w:lineRule="exact"/>
        <w:rPr>
          <w:sz w:val="20"/>
          <w:szCs w:val="20"/>
          <w:color w:val="auto"/>
        </w:rPr>
      </w:pPr>
    </w:p>
    <w:p>
      <w:pPr>
        <w:jc w:val="both"/>
        <w:ind w:firstLine="250"/>
        <w:spacing w:after="0" w:line="253"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assets amortization expense increased $1.2 million, or 91.1%, in the second quarter of 2008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second quarter of 2007, primarily due to the amortization of $34.4 million allocated to customer contracts and relationships in connection with the acquisition of OneSource.</w:t>
      </w:r>
    </w:p>
    <w:p>
      <w:pPr>
        <w:spacing w:after="0" w:line="61" w:lineRule="exact"/>
        <w:rPr>
          <w:sz w:val="20"/>
          <w:szCs w:val="20"/>
          <w:color w:val="auto"/>
        </w:rPr>
      </w:pPr>
    </w:p>
    <w:p>
      <w:pPr>
        <w:ind w:firstLine="25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second quarter of 2008 was $3.9 million compared to $0.1 million in the second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is primarily the result of amounts drawn on the Company’s line of credit in connection with the acquisitions of OneSource and the remaining 50% of equity of Southern Management. Included in interest expense in the second quarter of 2008 was $0.5 million of interest accretion related to OneSource insurance claim liabilities assumed as part of the OneSource acquisition. In accordance with Statement of Financial Accounting Standards (SFAS) No. 141, “Business Combinations,” the insurance claim liabilities associated with the allocation of the purchase price have been recorded at their fair value at November 14, 2007, which is the present value of the expected future cash flows. These discounted liabilities are accreted to interest expense as the recorded values are brought to an undiscounted amount consistent with the accounting for the Company’s other insurance claim liabilities.</w:t>
      </w:r>
    </w:p>
    <w:p>
      <w:pPr>
        <w:spacing w:after="0" w:line="73" w:lineRule="exact"/>
        <w:rPr>
          <w:sz w:val="20"/>
          <w:szCs w:val="20"/>
          <w:color w:val="auto"/>
        </w:rPr>
      </w:pPr>
    </w:p>
    <w:p>
      <w:pPr>
        <w:ind w:right="180" w:firstLine="250"/>
        <w:spacing w:after="0" w:line="27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estimated annual effective tax rate, excluding discrete items, for the second quarter of 2008 was 38.0%,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37.0% used for the second quarter of 2007. The increase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was largely due to a higher estimated overall state tax rate arising from the requirement to file a combined gross margin tax return in Texas. The effective tax rate was 44.3% and 34.4% in the second quarter of 2008 and 2007, respectively, due to certain discrete tax items. The effective tax rate for the three- and six-month periods in 2008 was higher than the expected annual rate primarily due to a portion of the goodwill impairment charge being non-deductible for tax purposes, which reduced the expected tax benefit by $1.3 million.</w:t>
      </w:r>
    </w:p>
    <w:p>
      <w:pPr>
        <w:spacing w:after="0" w:line="72" w:lineRule="exact"/>
        <w:rPr>
          <w:sz w:val="20"/>
          <w:szCs w:val="20"/>
          <w:color w:val="auto"/>
        </w:rPr>
      </w:pPr>
    </w:p>
    <w:p>
      <w:pPr>
        <w:ind w:right="280" w:firstLine="250"/>
        <w:spacing w:after="0" w:line="24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the criteria of SFAS No. 131, “Disclosures about Segments of an Enterprise and Related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Janitorial, Parking, Security, Engineering and Lighting are reportable segments. Most Corporate expenses are not allocated. Such expenses include the adjustments to the Company’s self-insurance reserves relating to prior years, the Company’s share-based compensation costs, employee severance costs associated with the integration of OneSource’s operations into the Janitorial segment, and certain information technology costs. Until damages and costs are awarded or a matter is settled, the Company also accrues probable and estimable losses associated with pending litigation in Corporate.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0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 April 30,</w:t>
            </w:r>
          </w:p>
        </w:tc>
        <w:tc>
          <w:tcPr>
            <w:tcW w:w="1380" w:type="dxa"/>
            <w:vAlign w:val="bottom"/>
          </w:tcPr>
          <w:p>
            <w:pPr>
              <w:jc w:val="right"/>
              <w:ind w:right="192"/>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64"/>
        </w:trPr>
        <w:tc>
          <w:tcPr>
            <w:tcW w:w="4560" w:type="dxa"/>
            <w:vAlign w:val="bottom"/>
            <w:gridSpan w:val="3"/>
          </w:tcPr>
          <w:p>
            <w:pPr>
              <w:spacing w:after="0" w:line="157" w:lineRule="exact"/>
              <w:rPr>
                <w:sz w:val="20"/>
                <w:szCs w:val="20"/>
                <w:color w:val="auto"/>
              </w:rPr>
            </w:pPr>
            <w:r>
              <w:rPr>
                <w:rFonts w:ascii="Arial" w:cs="Arial" w:eastAsia="Arial" w:hAnsi="Arial"/>
                <w:sz w:val="14"/>
                <w:szCs w:val="14"/>
                <w:color w:val="auto"/>
              </w:rPr>
              <w:t>($ in thousands)</w:t>
            </w:r>
          </w:p>
        </w:tc>
        <w:tc>
          <w:tcPr>
            <w:tcW w:w="2380" w:type="dxa"/>
            <w:vAlign w:val="bottom"/>
          </w:tcPr>
          <w:p>
            <w:pPr>
              <w:spacing w:after="0"/>
              <w:rPr>
                <w:sz w:val="14"/>
                <w:szCs w:val="14"/>
                <w:color w:val="auto"/>
              </w:rPr>
            </w:pPr>
          </w:p>
        </w:tc>
        <w:tc>
          <w:tcPr>
            <w:tcW w:w="1260" w:type="dxa"/>
            <w:vAlign w:val="bottom"/>
          </w:tcPr>
          <w:p>
            <w:pPr>
              <w:jc w:val="right"/>
              <w:ind w:right="692"/>
              <w:spacing w:after="0" w:line="157" w:lineRule="exact"/>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1200" w:type="dxa"/>
            <w:vAlign w:val="bottom"/>
          </w:tcPr>
          <w:p>
            <w:pPr>
              <w:jc w:val="right"/>
              <w:ind w:right="611"/>
              <w:spacing w:after="0" w:line="157" w:lineRule="exact"/>
              <w:rPr>
                <w:sz w:val="20"/>
                <w:szCs w:val="20"/>
                <w:color w:val="auto"/>
              </w:rPr>
            </w:pPr>
            <w:r>
              <w:rPr>
                <w:rFonts w:ascii="Arial" w:cs="Arial" w:eastAsia="Arial" w:hAnsi="Arial"/>
                <w:sz w:val="14"/>
                <w:szCs w:val="14"/>
                <w:color w:val="auto"/>
              </w:rPr>
              <w:t>2007</w:t>
            </w:r>
          </w:p>
        </w:tc>
        <w:tc>
          <w:tcPr>
            <w:tcW w:w="138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2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12"/>
              <w:spacing w:after="0" w:line="202" w:lineRule="exact"/>
              <w:rPr>
                <w:sz w:val="20"/>
                <w:szCs w:val="20"/>
                <w:color w:val="auto"/>
              </w:rPr>
            </w:pPr>
            <w:r>
              <w:rPr>
                <w:rFonts w:ascii="Arial" w:cs="Arial" w:eastAsia="Arial" w:hAnsi="Arial"/>
                <w:sz w:val="18"/>
                <w:szCs w:val="18"/>
                <w:color w:val="auto"/>
                <w:w w:val="98"/>
              </w:rPr>
              <w:t>625,542</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w w:val="98"/>
              </w:rPr>
              <w:t>399,518</w:t>
            </w:r>
          </w:p>
        </w:tc>
        <w:tc>
          <w:tcPr>
            <w:tcW w:w="13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w w:val="98"/>
              </w:rPr>
              <w:t>124,512</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w w:val="98"/>
              </w:rPr>
              <w:t>118,521</w:t>
            </w:r>
          </w:p>
        </w:tc>
        <w:tc>
          <w:tcPr>
            <w:tcW w:w="1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2380" w:type="dxa"/>
            <w:vAlign w:val="bottom"/>
          </w:tcPr>
          <w:p>
            <w:pPr>
              <w:spacing w:after="0"/>
              <w:rPr>
                <w:sz w:val="17"/>
                <w:szCs w:val="17"/>
                <w:color w:val="auto"/>
              </w:rPr>
            </w:pPr>
          </w:p>
        </w:tc>
        <w:tc>
          <w:tcPr>
            <w:tcW w:w="126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82,285</w:t>
            </w:r>
          </w:p>
        </w:tc>
        <w:tc>
          <w:tcPr>
            <w:tcW w:w="6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77,549</w:t>
            </w:r>
          </w:p>
        </w:tc>
        <w:tc>
          <w:tcPr>
            <w:tcW w:w="13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79,346</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72,044</w:t>
            </w:r>
          </w:p>
        </w:tc>
        <w:tc>
          <w:tcPr>
            <w:tcW w:w="1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Lighting</w:t>
            </w:r>
          </w:p>
        </w:tc>
        <w:tc>
          <w:tcPr>
            <w:tcW w:w="2380" w:type="dxa"/>
            <w:vAlign w:val="bottom"/>
          </w:tcPr>
          <w:p>
            <w:pPr>
              <w:spacing w:after="0"/>
              <w:rPr>
                <w:sz w:val="17"/>
                <w:szCs w:val="17"/>
                <w:color w:val="auto"/>
              </w:rPr>
            </w:pPr>
          </w:p>
        </w:tc>
        <w:tc>
          <w:tcPr>
            <w:tcW w:w="126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26,195</w:t>
            </w:r>
          </w:p>
        </w:tc>
        <w:tc>
          <w:tcPr>
            <w:tcW w:w="6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28,923</w:t>
            </w: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654</w:t>
            </w:r>
          </w:p>
        </w:tc>
        <w:tc>
          <w:tcPr>
            <w:tcW w:w="6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1,296</w:t>
            </w:r>
          </w:p>
        </w:tc>
        <w:tc>
          <w:tcPr>
            <w:tcW w:w="13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8"/>
              </w:rPr>
              <w:t>938,534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8"/>
              </w:rPr>
              <w:t>697,851</w:t>
            </w: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29,844</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23,758</w:t>
            </w:r>
          </w:p>
        </w:tc>
        <w:tc>
          <w:tcPr>
            <w:tcW w:w="13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4,364</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7,967</w:t>
            </w:r>
          </w:p>
        </w:tc>
        <w:tc>
          <w:tcPr>
            <w:tcW w:w="13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2380" w:type="dxa"/>
            <w:vAlign w:val="bottom"/>
          </w:tcPr>
          <w:p>
            <w:pPr>
              <w:spacing w:after="0"/>
              <w:rPr>
                <w:sz w:val="17"/>
                <w:szCs w:val="17"/>
                <w:color w:val="auto"/>
              </w:rPr>
            </w:pPr>
          </w:p>
        </w:tc>
        <w:tc>
          <w:tcPr>
            <w:tcW w:w="126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1,473</w:t>
            </w:r>
          </w:p>
        </w:tc>
        <w:tc>
          <w:tcPr>
            <w:tcW w:w="640" w:type="dxa"/>
            <w:vAlign w:val="bottom"/>
          </w:tcPr>
          <w:p>
            <w:pPr>
              <w:spacing w:after="0"/>
              <w:rPr>
                <w:sz w:val="17"/>
                <w:szCs w:val="17"/>
                <w:color w:val="auto"/>
              </w:rPr>
            </w:pPr>
          </w:p>
        </w:tc>
        <w:tc>
          <w:tcPr>
            <w:tcW w:w="120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(434)</w:t>
            </w:r>
          </w:p>
        </w:tc>
        <w:tc>
          <w:tcPr>
            <w:tcW w:w="1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4,286</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2,896</w:t>
            </w:r>
          </w:p>
        </w:tc>
        <w:tc>
          <w:tcPr>
            <w:tcW w:w="1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Lighting</w:t>
            </w:r>
          </w:p>
        </w:tc>
        <w:tc>
          <w:tcPr>
            <w:tcW w:w="2380" w:type="dxa"/>
            <w:vAlign w:val="bottom"/>
          </w:tcPr>
          <w:p>
            <w:pPr>
              <w:spacing w:after="0"/>
              <w:rPr>
                <w:sz w:val="17"/>
                <w:szCs w:val="17"/>
                <w:color w:val="auto"/>
              </w:rPr>
            </w:pPr>
          </w:p>
        </w:tc>
        <w:tc>
          <w:tcPr>
            <w:tcW w:w="126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(685)</w:t>
            </w:r>
          </w:p>
        </w:tc>
        <w:tc>
          <w:tcPr>
            <w:tcW w:w="640" w:type="dxa"/>
            <w:vAlign w:val="bottom"/>
          </w:tcPr>
          <w:p>
            <w:pPr>
              <w:spacing w:after="0"/>
              <w:rPr>
                <w:sz w:val="17"/>
                <w:szCs w:val="17"/>
                <w:color w:val="auto"/>
              </w:rPr>
            </w:pPr>
          </w:p>
        </w:tc>
        <w:tc>
          <w:tcPr>
            <w:tcW w:w="120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590</w:t>
            </w:r>
          </w:p>
        </w:tc>
        <w:tc>
          <w:tcPr>
            <w:tcW w:w="13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Lighting goodwill impairment</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(4,500)</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Corporate</w:t>
            </w:r>
          </w:p>
        </w:tc>
        <w:tc>
          <w:tcPr>
            <w:tcW w:w="2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line="202" w:lineRule="exact"/>
              <w:rPr>
                <w:sz w:val="20"/>
                <w:szCs w:val="20"/>
                <w:color w:val="auto"/>
              </w:rPr>
            </w:pPr>
            <w:r>
              <w:rPr>
                <w:rFonts w:ascii="Arial" w:cs="Arial" w:eastAsia="Arial" w:hAnsi="Arial"/>
                <w:sz w:val="18"/>
                <w:szCs w:val="18"/>
                <w:color w:val="auto"/>
              </w:rPr>
              <w:t>(11,050)</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(9,171)</w:t>
            </w:r>
          </w:p>
        </w:tc>
        <w:tc>
          <w:tcPr>
            <w:tcW w:w="13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2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23,732</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25,606</w:t>
            </w:r>
          </w:p>
        </w:tc>
        <w:tc>
          <w:tcPr>
            <w:tcW w:w="13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line="202" w:lineRule="exact"/>
              <w:rPr>
                <w:sz w:val="20"/>
                <w:szCs w:val="20"/>
                <w:color w:val="auto"/>
              </w:rPr>
            </w:pPr>
            <w:r>
              <w:rPr>
                <w:rFonts w:ascii="Arial" w:cs="Arial" w:eastAsia="Arial" w:hAnsi="Arial"/>
                <w:sz w:val="18"/>
                <w:szCs w:val="18"/>
                <w:color w:val="auto"/>
              </w:rPr>
              <w:t>(3,858)</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(109)</w:t>
            </w:r>
          </w:p>
        </w:tc>
        <w:tc>
          <w:tcPr>
            <w:tcW w:w="138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19,874</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25,497</w:t>
            </w:r>
          </w:p>
        </w:tc>
        <w:tc>
          <w:tcPr>
            <w:tcW w:w="13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4300" w:type="dxa"/>
            <w:vAlign w:val="bottom"/>
          </w:tcPr>
          <w:p>
            <w:pPr>
              <w:ind w:left="200"/>
              <w:spacing w:after="0"/>
              <w:rPr>
                <w:sz w:val="20"/>
                <w:szCs w:val="20"/>
                <w:color w:val="auto"/>
              </w:rPr>
            </w:pPr>
            <w:r>
              <w:rPr>
                <w:rFonts w:ascii="Arial" w:cs="Arial" w:eastAsia="Arial" w:hAnsi="Arial"/>
                <w:sz w:val="18"/>
                <w:szCs w:val="18"/>
                <w:color w:val="auto"/>
              </w:rPr>
              <w:t>Not meaningful</w:t>
            </w: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quarter ended April 30, 2008, compared to the same quarter in 2007, are more fully described below.</w:t>
      </w:r>
    </w:p>
    <w:p>
      <w:pPr>
        <w:spacing w:after="0" w:line="67" w:lineRule="exact"/>
        <w:rPr>
          <w:sz w:val="20"/>
          <w:szCs w:val="20"/>
          <w:color w:val="auto"/>
        </w:rPr>
      </w:pPr>
    </w:p>
    <w:p>
      <w:pPr>
        <w:ind w:right="220" w:firstLine="250"/>
        <w:spacing w:after="0" w:line="244"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Janitorial Sales increased $226.0 million, or 56.6%, in the second quarter of 2008 compared to the second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$212.9 million of additional revenue contributed by OneSource. Excluding the impact of the OneSource acquisition, Janitorial Sales increased by $13.2 million, or 3.3%. All Janitorial regions, except for the Southeast and Southwestern regions, experienced Sales growth, which was due to increased business from new customers and price increases to pass through a portion of union wage and benefit increases.</w:t>
      </w:r>
    </w:p>
    <w:p>
      <w:pPr>
        <w:spacing w:after="0" w:line="91"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Operating profit increased $6.1 million, or 25.6%, during the second quarter of 2008 compared to the second quarter of 2007. The increase was primarily attributable to $7.9 million of additional profit as a result of the OneSource acquisition, of which $6.8 million was attributable to synergies generated from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integration of OneSource’s operations into the Janitorial segment. The synergies were achieved through a reduction of duplicative positions and back office functions, the consolidation of facilities, and the reduction in professional fees and other services. The OneSource operating profit also includes $1.2 million of amortization expense associated with the acquired customer contracts and relationships intangible assets as discussed above. Excluding the impact of OneSource, Janitorial experienced a $1.8 million decrease in operating profit, which was primarily the result of $2.3 million additional labor expense from an extra day in the second quarter of 2008 compared to the second quarter of 2007.</w:t>
      </w:r>
    </w:p>
    <w:p>
      <w:pPr>
        <w:spacing w:after="0" w:line="73" w:lineRule="exact"/>
        <w:rPr>
          <w:sz w:val="20"/>
          <w:szCs w:val="20"/>
          <w:color w:val="auto"/>
        </w:rPr>
      </w:pPr>
    </w:p>
    <w:p>
      <w:pPr>
        <w:ind w:right="260" w:firstLine="250"/>
        <w:spacing w:after="0" w:line="244"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$6.0 million, or 5.1%, during the second quarter of 2008 compared to the second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$6.1 million of Sales contributed by HPSA, which was acquired on April 2, 2007, a $3.8 million increase in allowance, lease, and visitor parking revenues, and $1.1 million higher reimbursements for out-of-pocket expenses from managed parking lot clients in the second quarter of 2008 than in the same quarter in 2007. These increases to Parking Sales, were partially offset by the absence of the $5.0 million gain recorded in the second quarter of 2007 associated with the termination of an off-airport parking garage lease.</w:t>
      </w:r>
    </w:p>
    <w:p>
      <w:pPr>
        <w:spacing w:after="0" w:line="91" w:lineRule="exact"/>
        <w:rPr>
          <w:sz w:val="20"/>
          <w:szCs w:val="20"/>
          <w:color w:val="auto"/>
        </w:rPr>
      </w:pPr>
    </w:p>
    <w:p>
      <w:pPr>
        <w:jc w:val="both"/>
        <w:ind w:right="300" w:firstLine="250"/>
        <w:spacing w:after="0"/>
        <w:rPr>
          <w:sz w:val="20"/>
          <w:szCs w:val="20"/>
          <w:color w:val="auto"/>
        </w:rPr>
      </w:pPr>
      <w:r>
        <w:rPr>
          <w:rFonts w:ascii="Arial" w:cs="Arial" w:eastAsia="Arial" w:hAnsi="Arial"/>
          <w:sz w:val="18"/>
          <w:szCs w:val="18"/>
          <w:color w:val="auto"/>
        </w:rPr>
        <w:t>Operating profit decreased $3.6 million, or 45.2%, during the second quarter of 2008 compared to the second quarter of 2007 due to the absence of the $5.0 million lease termination gain recorded in the second quarter of 2007, partially offset by $1.0 million of additional profit earned on increased allowance, lease and visitor parking revenue and $0.5 million of additional profit contributed by HPSA.</w:t>
      </w:r>
    </w:p>
    <w:p>
      <w:pPr>
        <w:spacing w:after="0" w:line="73" w:lineRule="exact"/>
        <w:rPr>
          <w:sz w:val="20"/>
          <w:szCs w:val="20"/>
          <w:color w:val="auto"/>
        </w:rPr>
      </w:pPr>
    </w:p>
    <w:p>
      <w:pPr>
        <w:ind w:right="480" w:firstLine="250"/>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$4.7 million, or 6.1%, in the second quarter of 2008 compared to the second quarter of 2007.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business resulted from new customers in the Southwest, South Central and Northwest regions and expansion of services to existing customers in Northern California, which more than offset lost business in the Northeast, Central and Gulf regions. In addition, the Midwest region recorded $2.9 million of revenue from a new contract in the second quarter of 2008.</w:t>
      </w:r>
    </w:p>
    <w:p>
      <w:pPr>
        <w:spacing w:after="0" w:line="88" w:lineRule="exact"/>
        <w:rPr>
          <w:sz w:val="20"/>
          <w:szCs w:val="20"/>
          <w:color w:val="auto"/>
        </w:rPr>
      </w:pPr>
    </w:p>
    <w:p>
      <w:pPr>
        <w:ind w:right="180" w:firstLine="250"/>
        <w:spacing w:after="0" w:line="239" w:lineRule="auto"/>
        <w:rPr>
          <w:sz w:val="20"/>
          <w:szCs w:val="20"/>
          <w:color w:val="auto"/>
        </w:rPr>
      </w:pPr>
      <w:r>
        <w:rPr>
          <w:rFonts w:ascii="Arial" w:cs="Arial" w:eastAsia="Arial" w:hAnsi="Arial"/>
          <w:sz w:val="18"/>
          <w:szCs w:val="18"/>
          <w:color w:val="auto"/>
        </w:rPr>
        <w:t>Operating profit increased by $ 1.9 million in the second quarter of 2008 compared to the second quarter of 2007, primarily due to the absence of a $1.7 million litigation settlement recorded in the second quarter of 2007, which was previously accrued as a litigation loss provision in Corporate prior to settlement. In addition, operating profit was impacted by a decrease of insurance expense attributable to lower rates.</w:t>
      </w:r>
    </w:p>
    <w:p>
      <w:pPr>
        <w:spacing w:after="0" w:line="72" w:lineRule="exact"/>
        <w:rPr>
          <w:sz w:val="20"/>
          <w:szCs w:val="20"/>
          <w:color w:val="auto"/>
        </w:rPr>
      </w:pPr>
    </w:p>
    <w:p>
      <w:pPr>
        <w:ind w:right="200" w:firstLine="250"/>
        <w:spacing w:after="0" w:line="253"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$7.3 million, or 10.1%, during the second quarter of 2008 compared to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2007, primarily due to new business and expansion of services to existing customers. Operating profit increased by $1.4 million, or 48.0%, in the second quarter of 2008 compared to the second quarter in 2007, primarily due to additional profit from increased Sales.</w:t>
      </w:r>
    </w:p>
    <w:p>
      <w:pPr>
        <w:spacing w:after="0" w:line="61" w:lineRule="exact"/>
        <w:rPr>
          <w:sz w:val="20"/>
          <w:szCs w:val="20"/>
          <w:color w:val="auto"/>
        </w:rPr>
      </w:pPr>
    </w:p>
    <w:p>
      <w:pPr>
        <w:ind w:right="240" w:firstLine="250"/>
        <w:spacing w:after="0" w:line="244"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$2.7 million, or 9.4%, during the second quarter of 2008 compared to the second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 decrease in time and material, and special project business. Operating loss was $5.2 million in the second quarter of 2008 compared to a $0.6 million operating profit in the second quarter of 2007. The difference of $5.8 million was primarily due to the $4.5 million charge associated with the impairment of goodwill, the decrease in Sales, and an increase in fuel expense. These decreases were partially offset by a decrease in selling, general, and administrative payroll expense due to fewer employees.</w:t>
      </w:r>
    </w:p>
    <w:p>
      <w:pPr>
        <w:spacing w:after="0" w:line="69" w:lineRule="exact"/>
        <w:rPr>
          <w:sz w:val="20"/>
          <w:szCs w:val="20"/>
          <w:color w:val="auto"/>
        </w:rPr>
      </w:pPr>
    </w:p>
    <w:p>
      <w:pPr>
        <w:ind w:right="80" w:firstLine="250"/>
        <w:spacing w:after="0" w:line="24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$1.9 million, or 20.5%, in the second quarter of 2008 compared to the second quarter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primarily due to $2.4 million of expenses associated with the integration of OneSource’s operations, a $1.6 million increase in professional fees, the absence of a $1.4 million benefit recorded in the second quarter of 2007 from reversing a loss provision upon a litigation settlement, the cost of which was recorded in the Security segment, a $1.2 million increase in expenses related to severance, retention bonuses and new hires associated with the move of the Company’s corporate headquarters to New York, $0.8 million in costs associated with the operations of the Shared Services Center in Houston and a $0.6 million increase in information technology costs. The impact of these increases to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 was partially offset by a $7.2 million reduction in self-insurance reserves related to prior years.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April 30, 2008 vs. Six Months Ended April 30, 2007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center"/>
              <w:ind w:right="413"/>
              <w:spacing w:after="0"/>
              <w:rPr>
                <w:sz w:val="20"/>
                <w:szCs w:val="20"/>
                <w:color w:val="auto"/>
              </w:rPr>
            </w:pPr>
            <w:r>
              <w:rPr>
                <w:rFonts w:ascii="Arial" w:cs="Arial" w:eastAsia="Arial" w:hAnsi="Arial"/>
                <w:sz w:val="14"/>
                <w:szCs w:val="14"/>
                <w:color w:val="auto"/>
              </w:rPr>
              <w:t>Six Months</w:t>
            </w: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center"/>
              <w:ind w:right="413"/>
              <w:spacing w:after="0"/>
              <w:rPr>
                <w:sz w:val="20"/>
                <w:szCs w:val="20"/>
                <w:color w:val="auto"/>
              </w:rPr>
            </w:pPr>
            <w:r>
              <w:rPr>
                <w:rFonts w:ascii="Arial" w:cs="Arial" w:eastAsia="Arial" w:hAnsi="Arial"/>
                <w:sz w:val="14"/>
                <w:szCs w:val="14"/>
                <w:color w:val="auto"/>
              </w:rPr>
              <w:t>Six Months</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center"/>
              <w:ind w:right="413"/>
              <w:spacing w:after="0"/>
              <w:rPr>
                <w:sz w:val="20"/>
                <w:szCs w:val="20"/>
                <w:color w:val="auto"/>
              </w:rPr>
            </w:pPr>
            <w:r>
              <w:rPr>
                <w:rFonts w:ascii="Arial" w:cs="Arial" w:eastAsia="Arial" w:hAnsi="Arial"/>
                <w:sz w:val="14"/>
                <w:szCs w:val="14"/>
                <w:color w:val="auto"/>
                <w:w w:val="98"/>
              </w:rPr>
              <w:t>Ended</w:t>
            </w:r>
          </w:p>
        </w:tc>
        <w:tc>
          <w:tcPr>
            <w:tcW w:w="1420" w:type="dxa"/>
            <w:vAlign w:val="bottom"/>
          </w:tcPr>
          <w:p>
            <w:pPr>
              <w:jc w:val="right"/>
              <w:ind w:right="493"/>
              <w:spacing w:after="0"/>
              <w:rPr>
                <w:sz w:val="20"/>
                <w:szCs w:val="20"/>
                <w:color w:val="auto"/>
              </w:rPr>
            </w:pPr>
            <w:r>
              <w:rPr>
                <w:rFonts w:ascii="Arial" w:cs="Arial" w:eastAsia="Arial" w:hAnsi="Arial"/>
                <w:sz w:val="14"/>
                <w:szCs w:val="14"/>
                <w:color w:val="auto"/>
              </w:rPr>
              <w:t>% of</w:t>
            </w:r>
          </w:p>
        </w:tc>
        <w:tc>
          <w:tcPr>
            <w:tcW w:w="480" w:type="dxa"/>
            <w:vAlign w:val="bottom"/>
          </w:tcPr>
          <w:p>
            <w:pPr>
              <w:spacing w:after="0"/>
              <w:rPr>
                <w:sz w:val="14"/>
                <w:szCs w:val="14"/>
                <w:color w:val="auto"/>
              </w:rPr>
            </w:pPr>
          </w:p>
        </w:tc>
        <w:tc>
          <w:tcPr>
            <w:tcW w:w="1280" w:type="dxa"/>
            <w:vAlign w:val="bottom"/>
          </w:tcPr>
          <w:p>
            <w:pPr>
              <w:jc w:val="center"/>
              <w:ind w:right="413"/>
              <w:spacing w:after="0"/>
              <w:rPr>
                <w:sz w:val="20"/>
                <w:szCs w:val="20"/>
                <w:color w:val="auto"/>
              </w:rPr>
            </w:pPr>
            <w:r>
              <w:rPr>
                <w:rFonts w:ascii="Arial" w:cs="Arial" w:eastAsia="Arial" w:hAnsi="Arial"/>
                <w:sz w:val="14"/>
                <w:szCs w:val="14"/>
                <w:color w:val="auto"/>
              </w:rPr>
              <w:t>Ended</w:t>
            </w:r>
          </w:p>
        </w:tc>
        <w:tc>
          <w:tcPr>
            <w:tcW w:w="1440" w:type="dxa"/>
            <w:vAlign w:val="bottom"/>
          </w:tcPr>
          <w:p>
            <w:pPr>
              <w:jc w:val="right"/>
              <w:ind w:right="513"/>
              <w:spacing w:after="0"/>
              <w:rPr>
                <w:sz w:val="20"/>
                <w:szCs w:val="20"/>
                <w:color w:val="auto"/>
              </w:rPr>
            </w:pPr>
            <w:r>
              <w:rPr>
                <w:rFonts w:ascii="Arial" w:cs="Arial" w:eastAsia="Arial" w:hAnsi="Arial"/>
                <w:sz w:val="14"/>
                <w:szCs w:val="14"/>
                <w:color w:val="auto"/>
              </w:rPr>
              <w:t>% of</w:t>
            </w:r>
          </w:p>
        </w:tc>
        <w:tc>
          <w:tcPr>
            <w:tcW w:w="1280" w:type="dxa"/>
            <w:vAlign w:val="bottom"/>
          </w:tcPr>
          <w:p>
            <w:pPr>
              <w:jc w:val="right"/>
              <w:ind w:right="193"/>
              <w:spacing w:after="0"/>
              <w:rPr>
                <w:sz w:val="20"/>
                <w:szCs w:val="20"/>
                <w:color w:val="auto"/>
              </w:rPr>
            </w:pPr>
            <w:r>
              <w:rPr>
                <w:rFonts w:ascii="Arial" w:cs="Arial" w:eastAsia="Arial" w:hAnsi="Arial"/>
                <w:sz w:val="14"/>
                <w:szCs w:val="14"/>
                <w:color w:val="auto"/>
              </w:rPr>
              <w:t>Increase</w:t>
            </w:r>
          </w:p>
        </w:tc>
      </w:tr>
      <w:tr>
        <w:trPr>
          <w:trHeight w:val="164"/>
        </w:trPr>
        <w:tc>
          <w:tcPr>
            <w:tcW w:w="3800" w:type="dxa"/>
            <w:vAlign w:val="bottom"/>
            <w:gridSpan w:val="3"/>
          </w:tcPr>
          <w:p>
            <w:pPr>
              <w:spacing w:after="0" w:line="157" w:lineRule="exact"/>
              <w:rPr>
                <w:sz w:val="20"/>
                <w:szCs w:val="20"/>
                <w:color w:val="auto"/>
              </w:rPr>
            </w:pPr>
            <w:r>
              <w:rPr>
                <w:rFonts w:ascii="Arial" w:cs="Arial" w:eastAsia="Arial" w:hAnsi="Arial"/>
                <w:sz w:val="14"/>
                <w:szCs w:val="14"/>
                <w:color w:val="auto"/>
              </w:rPr>
              <w:t>($ in thousands)</w:t>
            </w:r>
          </w:p>
        </w:tc>
        <w:tc>
          <w:tcPr>
            <w:tcW w:w="17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April 30, 2008</w:t>
            </w:r>
          </w:p>
        </w:tc>
        <w:tc>
          <w:tcPr>
            <w:tcW w:w="1420" w:type="dxa"/>
            <w:vAlign w:val="bottom"/>
          </w:tcPr>
          <w:p>
            <w:pPr>
              <w:jc w:val="right"/>
              <w:ind w:right="453"/>
              <w:spacing w:after="0" w:line="157" w:lineRule="exact"/>
              <w:rPr>
                <w:sz w:val="20"/>
                <w:szCs w:val="20"/>
                <w:color w:val="auto"/>
              </w:rPr>
            </w:pPr>
            <w:r>
              <w:rPr>
                <w:rFonts w:ascii="Arial" w:cs="Arial" w:eastAsia="Arial" w:hAnsi="Arial"/>
                <w:sz w:val="14"/>
                <w:szCs w:val="14"/>
                <w:color w:val="auto"/>
              </w:rPr>
              <w:t>Sales</w:t>
            </w:r>
          </w:p>
        </w:tc>
        <w:tc>
          <w:tcPr>
            <w:tcW w:w="176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April 30, 2007</w:t>
            </w:r>
          </w:p>
        </w:tc>
        <w:tc>
          <w:tcPr>
            <w:tcW w:w="1440" w:type="dxa"/>
            <w:vAlign w:val="bottom"/>
          </w:tcPr>
          <w:p>
            <w:pPr>
              <w:jc w:val="right"/>
              <w:ind w:right="473"/>
              <w:spacing w:after="0" w:line="157" w:lineRule="exact"/>
              <w:rPr>
                <w:sz w:val="20"/>
                <w:szCs w:val="20"/>
                <w:color w:val="auto"/>
              </w:rPr>
            </w:pPr>
            <w:r>
              <w:rPr>
                <w:rFonts w:ascii="Arial" w:cs="Arial" w:eastAsia="Arial" w:hAnsi="Arial"/>
                <w:sz w:val="14"/>
                <w:szCs w:val="14"/>
                <w:color w:val="auto"/>
              </w:rPr>
              <w:t>Sales</w:t>
            </w:r>
          </w:p>
        </w:tc>
        <w:tc>
          <w:tcPr>
            <w:tcW w:w="1280" w:type="dxa"/>
            <w:vAlign w:val="bottom"/>
          </w:tcPr>
          <w:p>
            <w:pPr>
              <w:jc w:val="right"/>
              <w:ind w:right="113"/>
              <w:spacing w:after="0" w:line="157" w:lineRule="exact"/>
              <w:rPr>
                <w:sz w:val="20"/>
                <w:szCs w:val="20"/>
                <w:color w:val="auto"/>
              </w:rPr>
            </w:pPr>
            <w:r>
              <w:rPr>
                <w:rFonts w:ascii="Arial" w:cs="Arial" w:eastAsia="Arial" w:hAnsi="Arial"/>
                <w:sz w:val="14"/>
                <w:szCs w:val="14"/>
                <w:color w:val="auto"/>
              </w:rPr>
              <w:t>(Decrease)</w:t>
            </w:r>
          </w:p>
        </w:tc>
      </w:tr>
      <w:tr>
        <w:trPr>
          <w:trHeight w:val="203"/>
        </w:trPr>
        <w:tc>
          <w:tcPr>
            <w:tcW w:w="20" w:type="dxa"/>
            <w:vAlign w:val="bottom"/>
          </w:tcPr>
          <w:p>
            <w:pPr>
              <w:spacing w:after="0"/>
              <w:rPr>
                <w:sz w:val="17"/>
                <w:szCs w:val="17"/>
                <w:color w:val="auto"/>
              </w:rPr>
            </w:pPr>
          </w:p>
        </w:tc>
        <w:tc>
          <w:tcPr>
            <w:tcW w:w="378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Sales and other income</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93"/>
              <w:spacing w:after="0" w:line="202" w:lineRule="exact"/>
              <w:rPr>
                <w:sz w:val="20"/>
                <w:szCs w:val="20"/>
                <w:color w:val="auto"/>
              </w:rPr>
            </w:pPr>
            <w:r>
              <w:rPr>
                <w:rFonts w:ascii="Arial" w:cs="Arial" w:eastAsia="Arial" w:hAnsi="Arial"/>
                <w:sz w:val="18"/>
                <w:szCs w:val="18"/>
                <w:color w:val="auto"/>
                <w:w w:val="99"/>
              </w:rPr>
              <w:t>1,861,170</w:t>
            </w:r>
          </w:p>
        </w:tc>
        <w:tc>
          <w:tcPr>
            <w:tcW w:w="14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100.0%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93"/>
              <w:spacing w:after="0" w:line="202" w:lineRule="exact"/>
              <w:rPr>
                <w:sz w:val="20"/>
                <w:szCs w:val="20"/>
                <w:color w:val="auto"/>
              </w:rPr>
            </w:pPr>
            <w:r>
              <w:rPr>
                <w:rFonts w:ascii="Arial" w:cs="Arial" w:eastAsia="Arial" w:hAnsi="Arial"/>
                <w:sz w:val="18"/>
                <w:szCs w:val="18"/>
                <w:color w:val="auto"/>
                <w:w w:val="97"/>
              </w:rPr>
              <w:t>1,401,400</w:t>
            </w:r>
          </w:p>
        </w:tc>
        <w:tc>
          <w:tcPr>
            <w:tcW w:w="14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100.0%</w:t>
            </w:r>
          </w:p>
        </w:tc>
        <w:tc>
          <w:tcPr>
            <w:tcW w:w="12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32.8%</w:t>
            </w: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 and cost of goods sold</w:t>
            </w:r>
          </w:p>
        </w:tc>
        <w:tc>
          <w:tcPr>
            <w:tcW w:w="420" w:type="dxa"/>
            <w:vAlign w:val="bottom"/>
          </w:tcPr>
          <w:p>
            <w:pPr>
              <w:spacing w:after="0"/>
              <w:rPr>
                <w:sz w:val="17"/>
                <w:szCs w:val="17"/>
                <w:color w:val="auto"/>
              </w:rPr>
            </w:pPr>
          </w:p>
        </w:tc>
        <w:tc>
          <w:tcPr>
            <w:tcW w:w="1300" w:type="dxa"/>
            <w:vAlign w:val="bottom"/>
          </w:tcPr>
          <w:p>
            <w:pPr>
              <w:jc w:val="right"/>
              <w:ind w:right="393"/>
              <w:spacing w:after="0" w:line="202" w:lineRule="exact"/>
              <w:rPr>
                <w:sz w:val="20"/>
                <w:szCs w:val="20"/>
                <w:color w:val="auto"/>
              </w:rPr>
            </w:pPr>
            <w:r>
              <w:rPr>
                <w:rFonts w:ascii="Arial" w:cs="Arial" w:eastAsia="Arial" w:hAnsi="Arial"/>
                <w:sz w:val="18"/>
                <w:szCs w:val="18"/>
                <w:color w:val="auto"/>
                <w:w w:val="99"/>
              </w:rPr>
              <w:t>1,666,239</w:t>
            </w:r>
          </w:p>
        </w:tc>
        <w:tc>
          <w:tcPr>
            <w:tcW w:w="14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89.5%</w:t>
            </w:r>
          </w:p>
        </w:tc>
        <w:tc>
          <w:tcPr>
            <w:tcW w:w="480" w:type="dxa"/>
            <w:vAlign w:val="bottom"/>
          </w:tcPr>
          <w:p>
            <w:pPr>
              <w:spacing w:after="0"/>
              <w:rPr>
                <w:sz w:val="17"/>
                <w:szCs w:val="17"/>
                <w:color w:val="auto"/>
              </w:rPr>
            </w:pPr>
          </w:p>
        </w:tc>
        <w:tc>
          <w:tcPr>
            <w:tcW w:w="1280" w:type="dxa"/>
            <w:vAlign w:val="bottom"/>
          </w:tcPr>
          <w:p>
            <w:pPr>
              <w:jc w:val="right"/>
              <w:ind w:right="393"/>
              <w:spacing w:after="0" w:line="202" w:lineRule="exact"/>
              <w:rPr>
                <w:sz w:val="20"/>
                <w:szCs w:val="20"/>
                <w:color w:val="auto"/>
              </w:rPr>
            </w:pPr>
            <w:r>
              <w:rPr>
                <w:rFonts w:ascii="Arial" w:cs="Arial" w:eastAsia="Arial" w:hAnsi="Arial"/>
                <w:sz w:val="18"/>
                <w:szCs w:val="18"/>
                <w:color w:val="auto"/>
                <w:w w:val="97"/>
              </w:rPr>
              <w:t>1,249,418</w:t>
            </w:r>
          </w:p>
        </w:tc>
        <w:tc>
          <w:tcPr>
            <w:tcW w:w="14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89.2%</w:t>
            </w:r>
          </w:p>
        </w:tc>
        <w:tc>
          <w:tcPr>
            <w:tcW w:w="12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33.4%</w:t>
            </w: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146,441</w:t>
            </w:r>
          </w:p>
        </w:tc>
        <w:tc>
          <w:tcPr>
            <w:tcW w:w="142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110,214</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7.9%</w:t>
            </w:r>
          </w:p>
        </w:tc>
        <w:tc>
          <w:tcPr>
            <w:tcW w:w="12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32.9%</w:t>
            </w:r>
          </w:p>
        </w:tc>
      </w:tr>
      <w:tr>
        <w:trPr>
          <w:trHeight w:val="203"/>
        </w:trPr>
        <w:tc>
          <w:tcPr>
            <w:tcW w:w="20" w:type="dxa"/>
            <w:vAlign w:val="bottom"/>
          </w:tcPr>
          <w:p>
            <w:pPr>
              <w:spacing w:after="0"/>
              <w:rPr>
                <w:sz w:val="17"/>
                <w:szCs w:val="17"/>
                <w:color w:val="auto"/>
              </w:rPr>
            </w:pPr>
          </w:p>
        </w:tc>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Goodwill impairment</w:t>
            </w:r>
          </w:p>
        </w:tc>
        <w:tc>
          <w:tcPr>
            <w:tcW w:w="420" w:type="dxa"/>
            <w:vAlign w:val="bottom"/>
          </w:tcPr>
          <w:p>
            <w:pPr>
              <w:spacing w:after="0"/>
              <w:rPr>
                <w:sz w:val="17"/>
                <w:szCs w:val="17"/>
                <w:color w:val="auto"/>
              </w:rPr>
            </w:pPr>
          </w:p>
        </w:tc>
        <w:tc>
          <w:tcPr>
            <w:tcW w:w="130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4,500</w:t>
            </w:r>
          </w:p>
        </w:tc>
        <w:tc>
          <w:tcPr>
            <w:tcW w:w="142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0.2%</w:t>
            </w:r>
          </w:p>
        </w:tc>
        <w:tc>
          <w:tcPr>
            <w:tcW w:w="480" w:type="dxa"/>
            <w:vAlign w:val="bottom"/>
          </w:tcPr>
          <w:p>
            <w:pPr>
              <w:spacing w:after="0"/>
              <w:rPr>
                <w:sz w:val="17"/>
                <w:szCs w:val="17"/>
                <w:color w:val="auto"/>
              </w:rPr>
            </w:pPr>
          </w:p>
        </w:tc>
        <w:tc>
          <w:tcPr>
            <w:tcW w:w="128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0.0%</w:t>
            </w:r>
          </w:p>
        </w:tc>
        <w:tc>
          <w:tcPr>
            <w:tcW w:w="12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37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4,925</w:t>
            </w:r>
          </w:p>
        </w:tc>
        <w:tc>
          <w:tcPr>
            <w:tcW w:w="142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0.3%</w:t>
            </w:r>
          </w:p>
        </w:tc>
        <w:tc>
          <w:tcPr>
            <w:tcW w:w="4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2,671</w:t>
            </w:r>
          </w:p>
        </w:tc>
        <w:tc>
          <w:tcPr>
            <w:tcW w:w="144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0.2%</w:t>
            </w:r>
          </w:p>
        </w:tc>
        <w:tc>
          <w:tcPr>
            <w:tcW w:w="128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84.4%</w:t>
            </w:r>
          </w:p>
        </w:tc>
      </w:tr>
      <w:tr>
        <w:trPr>
          <w:trHeight w:val="217"/>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99"/>
              </w:rPr>
              <w:t>1,822,105</w:t>
            </w: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97.9%</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97"/>
              </w:rPr>
              <w:t>1,362,303</w:t>
            </w: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97.2%</w:t>
            </w: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33.8%</w:t>
            </w: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39,065</w:t>
            </w:r>
          </w:p>
        </w:tc>
        <w:tc>
          <w:tcPr>
            <w:tcW w:w="142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39,097</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2.8%</w:t>
            </w:r>
          </w:p>
        </w:tc>
        <w:tc>
          <w:tcPr>
            <w:tcW w:w="12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-0.1%</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8,590</w:t>
            </w:r>
          </w:p>
        </w:tc>
        <w:tc>
          <w:tcPr>
            <w:tcW w:w="142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242</w:t>
            </w:r>
          </w:p>
        </w:tc>
        <w:tc>
          <w:tcPr>
            <w:tcW w:w="14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0.0%</w:t>
            </w:r>
          </w:p>
        </w:tc>
        <w:tc>
          <w:tcPr>
            <w:tcW w:w="128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30,475</w:t>
            </w:r>
          </w:p>
        </w:tc>
        <w:tc>
          <w:tcPr>
            <w:tcW w:w="142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38,855</w:t>
            </w:r>
          </w:p>
        </w:tc>
        <w:tc>
          <w:tcPr>
            <w:tcW w:w="144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2.8%</w:t>
            </w:r>
          </w:p>
        </w:tc>
        <w:tc>
          <w:tcPr>
            <w:tcW w:w="12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-21.6%</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13,039</w:t>
            </w:r>
          </w:p>
        </w:tc>
        <w:tc>
          <w:tcPr>
            <w:tcW w:w="142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0.7%</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color w:val="auto"/>
              </w:rPr>
              <w:t>13,429</w:t>
            </w:r>
          </w:p>
        </w:tc>
        <w:tc>
          <w:tcPr>
            <w:tcW w:w="144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color w:val="auto"/>
              </w:rPr>
              <w:t>1.0%</w:t>
            </w:r>
          </w:p>
        </w:tc>
        <w:tc>
          <w:tcPr>
            <w:tcW w:w="128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 w:type="dxa"/>
            <w:vAlign w:val="bottom"/>
          </w:tcPr>
          <w:p>
            <w:pPr>
              <w:spacing w:after="0"/>
              <w:rPr>
                <w:sz w:val="17"/>
                <w:szCs w:val="17"/>
                <w:color w:val="auto"/>
              </w:rPr>
            </w:pPr>
          </w:p>
        </w:tc>
        <w:tc>
          <w:tcPr>
            <w:tcW w:w="37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17,436</w:t>
            </w:r>
          </w:p>
        </w:tc>
        <w:tc>
          <w:tcPr>
            <w:tcW w:w="142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0.9%</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25,426</w:t>
            </w:r>
          </w:p>
        </w:tc>
        <w:tc>
          <w:tcPr>
            <w:tcW w:w="144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1.8%</w:t>
            </w:r>
          </w:p>
        </w:tc>
        <w:tc>
          <w:tcPr>
            <w:tcW w:w="128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-31.4%</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320"/>
              <w:spacing w:after="0"/>
              <w:rPr>
                <w:sz w:val="20"/>
                <w:szCs w:val="20"/>
                <w:color w:val="auto"/>
              </w:rPr>
            </w:pPr>
            <w:r>
              <w:rPr>
                <w:rFonts w:ascii="Arial" w:cs="Arial" w:eastAsia="Arial" w:hAnsi="Arial"/>
                <w:sz w:val="18"/>
                <w:szCs w:val="18"/>
                <w:color w:val="auto"/>
              </w:rPr>
              <w:t>Not meaningful</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72"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Although the Janitorial, Security and Engineering segments had increases to operating profit, consolidated net income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six months of 2008 decreased by $8.0 million, or 31.4%, to $17.4 million ($0.34 per diluted share) from $25.4 million ($0.51 per diluted share) in the first six months of 2007. The decrease was primarily due to $8.6 million ($5.1 million after-tax) of interest expense attributable to the financing of the OneSource and Southern Management acquisitions, the absence of a $5.0 million ($3.0 million after-tax) gain recorded in the second quarter of 2007 in Parking in connection with the termination of an off-airport parking garage lease, a $4.5 million ($4.0 million after-tax) impairment charge in the first six months of 2008 associated with Lighting goodwill, $3.8 million ($ 2.3 million after-tax) of additional labor expense in Janitorial from an extra day in the first six months of 2008 compared to the first six months of 2007, $ 3.0 million ($1.8 million after-tax) of expenses associated with the integration of OneSource’s operations, a $2.3 million ($1.4 million after-tax) increase in intangible amortization primarily from OneSource intangible assets, and a $2.2 million ($1.3 million after-tax) increase in expenses related to severance, retention bonuses and new hires associated with the move of the Company’s corporate headquarters to New York. The negative impact of these items on net income was partially offset by a $3.0 million ($ 1.8 million after-tax) reduction in self-insurance reserves relating to prior years in the first six months of 2008 than in the first six months of 2007, and the absence of additional share-based compensation expense of $3.9 million ($2.4 million after-tax) relating to the acceleration of price vested options recorded in the first six months of 2007.</w:t>
      </w:r>
    </w:p>
    <w:p>
      <w:pPr>
        <w:spacing w:after="0" w:line="95"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Operating profit from the operating segments, excluding Corporate, increased $4.9 million ($3.0 million after-tax), in the first six months of 2008 compared to the first six months of 2007. The operating profit in the first six months of 2008 was impacted by the $4.5 million goodwill impairment charge,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$3.8 million additional labor expense in Janitorial and the $2.3 million increase in intangible amortization expense, as described above, without the benefit of the $5.0 million lease termination gain. Included in operating profit from the operating segments for the first six months of 2008 was $11.6 million ($7.0 million after-tax) of additional profit as a result of the OneSource acquisition, of which $9.2 million ($5.6 million after tax) was attributable to synergies generated from the integration of OneSource’s operations.</w:t>
      </w:r>
    </w:p>
    <w:p>
      <w:pPr>
        <w:spacing w:after="0" w:line="72" w:lineRule="exact"/>
        <w:rPr>
          <w:sz w:val="20"/>
          <w:szCs w:val="20"/>
          <w:color w:val="auto"/>
        </w:rPr>
      </w:pPr>
    </w:p>
    <w:p>
      <w:pPr>
        <w:ind w:right="20" w:firstLine="250"/>
        <w:spacing w:after="0" w:line="244"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Sales in the first six months of 2008 increased $459.8 million, or 32.8%, to $1,861.2 million from $1,401.4 million in the first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2007, primarily due to $402.2 million and $14.8 million of additional revenues contributed by OneSource and HPSA, respectively. Excluding the OneSource and HPSA revenues, Sales increased by $42.8 million or 3.1% during the first six months of 2008 compared to 2007, which was primarily due to new business and expansion of services in all segments except Lighting. Partially offsetting these increases to revenue, Parking Sales in the first six months of 2007 included the $5.0 million gain in connection with the lease termination described above.</w:t>
      </w:r>
    </w:p>
    <w:p>
      <w:pPr>
        <w:spacing w:after="0" w:line="69" w:lineRule="exact"/>
        <w:rPr>
          <w:sz w:val="20"/>
          <w:szCs w:val="20"/>
          <w:color w:val="auto"/>
        </w:rPr>
      </w:pPr>
    </w:p>
    <w:p>
      <w:pPr>
        <w:ind w:right="140" w:firstLine="250"/>
        <w:spacing w:after="0" w:line="244"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margin was 10.5% and 10.8% in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and 2007, respectively. The decrease in margin was primarily due to the absence of a $5.0 million gain in Parking in connection with the termination of an off-airport parking garage lease recorded in the first six months of 2007, and the $3.8 million of labor expense in Janitorial from an extra day in the first six months of 2008 compared to the first six months of 2007, partially offset by a $3.0 million reduction in the Company’s self insurance reserves in the first six months of 2008 than in the first six months of 2007.</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$36.3 million, or 32.9%, in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2008 compared to the first six months of 2007 primarily due to an additional $33.0 million of OneSource expenses in the first</w:t>
      </w:r>
    </w:p>
    <w:p>
      <w:pPr>
        <w:spacing w:after="0" w:line="234" w:lineRule="auto"/>
        <w:rPr>
          <w:sz w:val="20"/>
          <w:szCs w:val="20"/>
          <w:color w:val="auto"/>
        </w:rPr>
      </w:pPr>
      <w:r>
        <w:rPr>
          <w:rFonts w:ascii="Arial" w:cs="Arial" w:eastAsia="Arial" w:hAnsi="Arial"/>
          <w:sz w:val="18"/>
          <w:szCs w:val="18"/>
          <w:color w:val="auto"/>
        </w:rPr>
        <w:t>six months of 2008. Excluding OneSource, selling, general and administrative expenses increased $3.3 million, which was primarily due to</w:t>
      </w:r>
    </w:p>
    <w:p>
      <w:pPr>
        <w:spacing w:after="0" w:line="235" w:lineRule="auto"/>
        <w:rPr>
          <w:sz w:val="20"/>
          <w:szCs w:val="20"/>
          <w:color w:val="auto"/>
        </w:rPr>
      </w:pPr>
      <w:r>
        <w:rPr>
          <w:rFonts w:ascii="Arial" w:cs="Arial" w:eastAsia="Arial" w:hAnsi="Arial"/>
          <w:sz w:val="18"/>
          <w:szCs w:val="18"/>
          <w:color w:val="auto"/>
        </w:rPr>
        <w:t>$3.0 million of Corporate expenses associated with the integration of OneSource’s operations, a $2.2 million increase in expenses related to</w:t>
      </w:r>
    </w:p>
    <w:p>
      <w:pPr>
        <w:spacing w:after="0" w:line="235" w:lineRule="auto"/>
        <w:rPr>
          <w:sz w:val="20"/>
          <w:szCs w:val="20"/>
          <w:color w:val="auto"/>
        </w:rPr>
      </w:pPr>
      <w:r>
        <w:rPr>
          <w:rFonts w:ascii="Arial" w:cs="Arial" w:eastAsia="Arial" w:hAnsi="Arial"/>
          <w:sz w:val="18"/>
          <w:szCs w:val="18"/>
          <w:color w:val="auto"/>
        </w:rPr>
        <w:t>severance, retention bonuses and new hires associated with the move of the Company’s corporate headquarters to New York, a $1.5 million</w:t>
      </w:r>
    </w:p>
    <w:p>
      <w:pPr>
        <w:spacing w:after="0" w:line="235" w:lineRule="auto"/>
        <w:rPr>
          <w:sz w:val="20"/>
          <w:szCs w:val="20"/>
          <w:color w:val="auto"/>
        </w:rPr>
      </w:pPr>
      <w:r>
        <w:rPr>
          <w:rFonts w:ascii="Arial" w:cs="Arial" w:eastAsia="Arial" w:hAnsi="Arial"/>
          <w:sz w:val="18"/>
          <w:szCs w:val="18"/>
          <w:color w:val="auto"/>
        </w:rPr>
        <w:t>increase in information technology costs, $1.3 million increase in costs associated with the operations of the Shared Services Center in</w:t>
      </w:r>
    </w:p>
    <w:p>
      <w:pPr>
        <w:spacing w:after="0" w:line="235" w:lineRule="auto"/>
        <w:rPr>
          <w:sz w:val="20"/>
          <w:szCs w:val="20"/>
          <w:color w:val="auto"/>
        </w:rPr>
      </w:pPr>
      <w:r>
        <w:rPr>
          <w:rFonts w:ascii="Arial" w:cs="Arial" w:eastAsia="Arial" w:hAnsi="Arial"/>
          <w:sz w:val="18"/>
          <w:szCs w:val="18"/>
          <w:color w:val="auto"/>
        </w:rPr>
        <w:t>Houston. The impact of the increases in these items on selling, general and administrative expenses was partially offset by the absence of</w:t>
      </w:r>
    </w:p>
    <w:p>
      <w:pPr>
        <w:spacing w:after="0" w:line="235" w:lineRule="auto"/>
        <w:rPr>
          <w:sz w:val="20"/>
          <w:szCs w:val="20"/>
          <w:color w:val="auto"/>
        </w:rPr>
      </w:pPr>
      <w:r>
        <w:rPr>
          <w:rFonts w:ascii="Arial" w:cs="Arial" w:eastAsia="Arial" w:hAnsi="Arial"/>
          <w:sz w:val="18"/>
          <w:szCs w:val="18"/>
          <w:color w:val="auto"/>
        </w:rPr>
        <w:t>$3.9 million of share-based compensation expense related to the acceleration of price-vested options recognized when target prices for ABM</w:t>
      </w:r>
    </w:p>
    <w:p>
      <w:pPr>
        <w:spacing w:after="0"/>
        <w:rPr>
          <w:sz w:val="20"/>
          <w:szCs w:val="20"/>
          <w:color w:val="auto"/>
        </w:rPr>
      </w:pPr>
      <w:r>
        <w:rPr>
          <w:rFonts w:ascii="Arial" w:cs="Arial" w:eastAsia="Arial" w:hAnsi="Arial"/>
          <w:sz w:val="18"/>
          <w:szCs w:val="18"/>
          <w:color w:val="auto"/>
        </w:rPr>
        <w:t>common stock were achieved, which was recorded in the first six months of 2007.</w:t>
      </w:r>
    </w:p>
    <w:p>
      <w:pPr>
        <w:spacing w:after="0" w:line="82" w:lineRule="exact"/>
        <w:rPr>
          <w:sz w:val="20"/>
          <w:szCs w:val="20"/>
          <w:color w:val="auto"/>
        </w:rPr>
      </w:pPr>
    </w:p>
    <w:p>
      <w:pPr>
        <w:ind w:right="180" w:firstLine="250"/>
        <w:spacing w:after="0" w:line="244" w:lineRule="auto"/>
        <w:rPr>
          <w:sz w:val="20"/>
          <w:szCs w:val="20"/>
          <w:color w:val="auto"/>
        </w:rPr>
      </w:pPr>
      <w:r>
        <w:rPr>
          <w:rFonts w:ascii="Arial" w:cs="Arial" w:eastAsia="Arial" w:hAnsi="Arial"/>
          <w:sz w:val="18"/>
          <w:szCs w:val="18"/>
          <w:b w:val="1"/>
          <w:bCs w:val="1"/>
          <w:color w:val="auto"/>
        </w:rPr>
        <w:t xml:space="preserve">Goodwill Impairment. </w:t>
      </w:r>
      <w:r>
        <w:rPr>
          <w:rFonts w:ascii="Arial" w:cs="Arial" w:eastAsia="Arial" w:hAnsi="Arial"/>
          <w:sz w:val="18"/>
          <w:szCs w:val="18"/>
          <w:color w:val="auto"/>
        </w:rPr>
        <w:t>In response to objective evidence about the implied fair value of goodwill relating to the Company’s Lighting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noted in connection with the preparation of the financial statements for the three months ended April 30, 2008, the Company performed an assessment of goodwill for impairment. On a preliminary basis, the goodwill in the Lighting segment was determined to be impaired and a non-cash, pre-tax goodwill impairment charge of $4.5 million was recorded on April 30, 2008. This estimate will be finalized in the quarter ending July 31, 2008.</w:t>
      </w:r>
    </w:p>
    <w:p>
      <w:pPr>
        <w:spacing w:after="0" w:line="69" w:lineRule="exact"/>
        <w:rPr>
          <w:sz w:val="20"/>
          <w:szCs w:val="20"/>
          <w:color w:val="auto"/>
        </w:rPr>
      </w:pPr>
    </w:p>
    <w:p>
      <w:pPr>
        <w:jc w:val="both"/>
        <w:ind w:right="20" w:firstLine="250"/>
        <w:spacing w:after="0" w:line="253"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assets amortization expense increased $2.3 million, or 84.4%, in the first six months of 2008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first six months of 2007, primarily due to the amortization of $34.4 million allocated to customer contracts and relationships in connection with the acquisition of OneSource.</w:t>
      </w:r>
    </w:p>
    <w:p>
      <w:pPr>
        <w:spacing w:after="0" w:line="61" w:lineRule="exact"/>
        <w:rPr>
          <w:sz w:val="20"/>
          <w:szCs w:val="20"/>
          <w:color w:val="auto"/>
        </w:rPr>
      </w:pPr>
    </w:p>
    <w:p>
      <w:pPr>
        <w:jc w:val="both"/>
        <w:ind w:right="60" w:firstLine="250"/>
        <w:spacing w:after="0" w:line="253"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first six months of 2008 was $8.6 million compared to $0.2 million in the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is primarily the result of amounts drawn on the Company’s line of credit in connection with the acquisitions of OneSource and the remaining 50% of equity of Southern Management. Included in interest expense in the first six months of 2008 was $1.0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million of interest accretion related to OneSource insurance claim liabilities assumed as part of the OneSource acquisition.</w:t>
      </w:r>
    </w:p>
    <w:p>
      <w:pPr>
        <w:spacing w:after="0" w:line="82" w:lineRule="exact"/>
        <w:rPr>
          <w:sz w:val="20"/>
          <w:szCs w:val="20"/>
          <w:color w:val="auto"/>
        </w:rPr>
      </w:pPr>
    </w:p>
    <w:p>
      <w:pPr>
        <w:ind w:right="20" w:firstLine="25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estimated annual effective tax rate, excluding discrete items, for the first six months of 2008 was 38.0%,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37.0% used for the first six months of 2007. The increase was largely due to a higher estimated overall state tax rate arising from the requirement to file a combined gross margin tax return in Texas. The effective tax rate was 42.8% and 34.6% in the first six months of 2008 and 2007, respectively, due to certain discrete tax items. The effective tax rate for the three- and six-month periods in 2008 was higher than the expected annual rate primarily due to a portion of the goodwill impairment charge being non-deductible for tax purposes, which reduced the expected tax benefit by $1.3 million. The first six months of 2007 included a $0.3 million tax benefit that was primarily due to the inclusion in the period of Work Opportunity Tax Credits attributable to 2006, but not recognizable in 2006 because the program had expired and was not extended until 2007. The Work Opportunity Tax Credits attributable to 2008 and 2007 were recorded in 2008 and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0" w:type="dxa"/>
            <w:vAlign w:val="bottom"/>
            <w:gridSpan w:val="3"/>
          </w:tcPr>
          <w:p>
            <w:pPr>
              <w:jc w:val="right"/>
              <w:ind w:right="891"/>
              <w:spacing w:after="0"/>
              <w:rPr>
                <w:sz w:val="20"/>
                <w:szCs w:val="20"/>
                <w:color w:val="auto"/>
              </w:rPr>
            </w:pPr>
            <w:r>
              <w:rPr>
                <w:rFonts w:ascii="Arial" w:cs="Arial" w:eastAsia="Arial" w:hAnsi="Arial"/>
                <w:sz w:val="14"/>
                <w:szCs w:val="14"/>
                <w:color w:val="auto"/>
              </w:rPr>
              <w:t>Six Months Ended April 30,</w:t>
            </w:r>
          </w:p>
        </w:tc>
        <w:tc>
          <w:tcPr>
            <w:tcW w:w="1360" w:type="dxa"/>
            <w:vAlign w:val="bottom"/>
          </w:tcPr>
          <w:p>
            <w:pPr>
              <w:jc w:val="right"/>
              <w:ind w:right="192"/>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64"/>
        </w:trPr>
        <w:tc>
          <w:tcPr>
            <w:tcW w:w="4520" w:type="dxa"/>
            <w:vAlign w:val="bottom"/>
            <w:gridSpan w:val="3"/>
          </w:tcPr>
          <w:p>
            <w:pPr>
              <w:spacing w:after="0" w:line="157" w:lineRule="exact"/>
              <w:rPr>
                <w:sz w:val="20"/>
                <w:szCs w:val="20"/>
                <w:color w:val="auto"/>
              </w:rPr>
            </w:pPr>
            <w:r>
              <w:rPr>
                <w:rFonts w:ascii="Arial" w:cs="Arial" w:eastAsia="Arial" w:hAnsi="Arial"/>
                <w:sz w:val="14"/>
                <w:szCs w:val="14"/>
                <w:color w:val="auto"/>
              </w:rPr>
              <w:t>($ in thousands)</w:t>
            </w:r>
          </w:p>
        </w:tc>
        <w:tc>
          <w:tcPr>
            <w:tcW w:w="2340" w:type="dxa"/>
            <w:vAlign w:val="bottom"/>
          </w:tcPr>
          <w:p>
            <w:pPr>
              <w:spacing w:after="0"/>
              <w:rPr>
                <w:sz w:val="14"/>
                <w:szCs w:val="14"/>
                <w:color w:val="auto"/>
              </w:rPr>
            </w:pPr>
          </w:p>
        </w:tc>
        <w:tc>
          <w:tcPr>
            <w:tcW w:w="1360" w:type="dxa"/>
            <w:vAlign w:val="bottom"/>
          </w:tcPr>
          <w:p>
            <w:pPr>
              <w:jc w:val="right"/>
              <w:ind w:right="712"/>
              <w:spacing w:after="0" w:line="157"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4"/>
                <w:szCs w:val="14"/>
                <w:color w:val="auto"/>
              </w:rPr>
            </w:pPr>
          </w:p>
        </w:tc>
        <w:tc>
          <w:tcPr>
            <w:tcW w:w="1300" w:type="dxa"/>
            <w:vAlign w:val="bottom"/>
          </w:tcPr>
          <w:p>
            <w:pPr>
              <w:jc w:val="right"/>
              <w:ind w:right="651"/>
              <w:spacing w:after="0" w:line="157" w:lineRule="exact"/>
              <w:rPr>
                <w:sz w:val="20"/>
                <w:szCs w:val="20"/>
                <w:color w:val="auto"/>
              </w:rPr>
            </w:pPr>
            <w:r>
              <w:rPr>
                <w:rFonts w:ascii="Arial" w:cs="Arial" w:eastAsia="Arial" w:hAnsi="Arial"/>
                <w:sz w:val="14"/>
                <w:szCs w:val="14"/>
                <w:color w:val="auto"/>
              </w:rPr>
              <w:t>2007</w:t>
            </w:r>
          </w:p>
        </w:tc>
        <w:tc>
          <w:tcPr>
            <w:tcW w:w="136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2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line="202" w:lineRule="exact"/>
              <w:rPr>
                <w:sz w:val="20"/>
                <w:szCs w:val="20"/>
                <w:color w:val="auto"/>
              </w:rPr>
            </w:pPr>
            <w:r>
              <w:rPr>
                <w:rFonts w:ascii="Arial" w:cs="Arial" w:eastAsia="Arial" w:hAnsi="Arial"/>
                <w:sz w:val="18"/>
                <w:szCs w:val="18"/>
                <w:color w:val="auto"/>
                <w:w w:val="97"/>
              </w:rPr>
              <w:t>1,231,587**</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799,744</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248,467</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233,327</w:t>
            </w:r>
          </w:p>
        </w:tc>
        <w:tc>
          <w:tcPr>
            <w:tcW w:w="1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2340" w:type="dxa"/>
            <w:vAlign w:val="bottom"/>
          </w:tcPr>
          <w:p>
            <w:pPr>
              <w:spacing w:after="0"/>
              <w:rPr>
                <w:sz w:val="17"/>
                <w:szCs w:val="17"/>
                <w:color w:val="auto"/>
              </w:rPr>
            </w:pPr>
          </w:p>
        </w:tc>
        <w:tc>
          <w:tcPr>
            <w:tcW w:w="136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163,226</w:t>
            </w:r>
          </w:p>
        </w:tc>
        <w:tc>
          <w:tcPr>
            <w:tcW w:w="54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158,367</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161,161</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146,822</w:t>
            </w:r>
          </w:p>
        </w:tc>
        <w:tc>
          <w:tcPr>
            <w:tcW w:w="1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Lighting</w:t>
            </w:r>
          </w:p>
        </w:tc>
        <w:tc>
          <w:tcPr>
            <w:tcW w:w="2340" w:type="dxa"/>
            <w:vAlign w:val="bottom"/>
          </w:tcPr>
          <w:p>
            <w:pPr>
              <w:spacing w:after="0"/>
              <w:rPr>
                <w:sz w:val="17"/>
                <w:szCs w:val="17"/>
                <w:color w:val="auto"/>
              </w:rPr>
            </w:pPr>
          </w:p>
        </w:tc>
        <w:tc>
          <w:tcPr>
            <w:tcW w:w="136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55,095</w:t>
            </w:r>
          </w:p>
        </w:tc>
        <w:tc>
          <w:tcPr>
            <w:tcW w:w="54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59,980</w:t>
            </w:r>
          </w:p>
        </w:tc>
        <w:tc>
          <w:tcPr>
            <w:tcW w:w="1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1,634</w:t>
            </w:r>
          </w:p>
        </w:tc>
        <w:tc>
          <w:tcPr>
            <w:tcW w:w="5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3,160</w:t>
            </w:r>
          </w:p>
        </w:tc>
        <w:tc>
          <w:tcPr>
            <w:tcW w:w="13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7"/>
              </w:rPr>
              <w:t>1,861,170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7"/>
              </w:rPr>
              <w:t>1,401,400</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50,786**</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40,600</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8,253</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11,007</w:t>
            </w:r>
          </w:p>
        </w:tc>
        <w:tc>
          <w:tcPr>
            <w:tcW w:w="1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2340" w:type="dxa"/>
            <w:vAlign w:val="bottom"/>
          </w:tcPr>
          <w:p>
            <w:pPr>
              <w:spacing w:after="0"/>
              <w:rPr>
                <w:sz w:val="17"/>
                <w:szCs w:val="17"/>
                <w:color w:val="auto"/>
              </w:rPr>
            </w:pPr>
          </w:p>
        </w:tc>
        <w:tc>
          <w:tcPr>
            <w:tcW w:w="136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2,865</w:t>
            </w:r>
          </w:p>
        </w:tc>
        <w:tc>
          <w:tcPr>
            <w:tcW w:w="54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666</w:t>
            </w: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7,812</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5,970</w:t>
            </w:r>
          </w:p>
        </w:tc>
        <w:tc>
          <w:tcPr>
            <w:tcW w:w="1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Lighting</w:t>
            </w:r>
          </w:p>
        </w:tc>
        <w:tc>
          <w:tcPr>
            <w:tcW w:w="2340" w:type="dxa"/>
            <w:vAlign w:val="bottom"/>
          </w:tcPr>
          <w:p>
            <w:pPr>
              <w:spacing w:after="0"/>
              <w:rPr>
                <w:sz w:val="17"/>
                <w:szCs w:val="17"/>
                <w:color w:val="auto"/>
              </w:rPr>
            </w:pPr>
          </w:p>
        </w:tc>
        <w:tc>
          <w:tcPr>
            <w:tcW w:w="13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(809)</w:t>
            </w:r>
          </w:p>
        </w:tc>
        <w:tc>
          <w:tcPr>
            <w:tcW w:w="54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1,265</w:t>
            </w:r>
          </w:p>
        </w:tc>
        <w:tc>
          <w:tcPr>
            <w:tcW w:w="13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Lighting goodwill impairment</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(4,500)</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Corporate</w:t>
            </w:r>
          </w:p>
        </w:tc>
        <w:tc>
          <w:tcPr>
            <w:tcW w:w="2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2"/>
              <w:spacing w:after="0" w:line="202" w:lineRule="exact"/>
              <w:rPr>
                <w:sz w:val="20"/>
                <w:szCs w:val="20"/>
                <w:color w:val="auto"/>
              </w:rPr>
            </w:pPr>
            <w:r>
              <w:rPr>
                <w:rFonts w:ascii="Arial" w:cs="Arial" w:eastAsia="Arial" w:hAnsi="Arial"/>
                <w:sz w:val="18"/>
                <w:szCs w:val="18"/>
                <w:color w:val="auto"/>
              </w:rPr>
              <w:t>(25,342)</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color w:val="auto"/>
              </w:rPr>
              <w:t>(20,411)</w:t>
            </w:r>
          </w:p>
        </w:tc>
        <w:tc>
          <w:tcPr>
            <w:tcW w:w="13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w:t>
            </w:r>
          </w:p>
        </w:tc>
        <w:tc>
          <w:tcPr>
            <w:tcW w:w="2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39,065</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39,097</w:t>
            </w:r>
          </w:p>
        </w:tc>
        <w:tc>
          <w:tcPr>
            <w:tcW w:w="1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2"/>
              <w:spacing w:after="0" w:line="202" w:lineRule="exact"/>
              <w:rPr>
                <w:sz w:val="20"/>
                <w:szCs w:val="20"/>
                <w:color w:val="auto"/>
              </w:rPr>
            </w:pPr>
            <w:r>
              <w:rPr>
                <w:rFonts w:ascii="Arial" w:cs="Arial" w:eastAsia="Arial" w:hAnsi="Arial"/>
                <w:sz w:val="18"/>
                <w:szCs w:val="18"/>
                <w:color w:val="auto"/>
              </w:rPr>
              <w:t>(8,590)</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color w:val="auto"/>
              </w:rPr>
              <w:t>(242)</w:t>
            </w:r>
          </w:p>
        </w:tc>
        <w:tc>
          <w:tcPr>
            <w:tcW w:w="13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30,475</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38,855</w:t>
            </w:r>
          </w:p>
        </w:tc>
        <w:tc>
          <w:tcPr>
            <w:tcW w:w="13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4260" w:type="dxa"/>
            <w:vAlign w:val="bottom"/>
          </w:tcPr>
          <w:p>
            <w:pPr>
              <w:ind w:left="200"/>
              <w:spacing w:after="0"/>
              <w:rPr>
                <w:sz w:val="20"/>
                <w:szCs w:val="20"/>
                <w:color w:val="auto"/>
              </w:rPr>
            </w:pPr>
            <w:r>
              <w:rPr>
                <w:rFonts w:ascii="Arial" w:cs="Arial" w:eastAsia="Arial" w:hAnsi="Arial"/>
                <w:sz w:val="18"/>
                <w:szCs w:val="18"/>
                <w:color w:val="auto"/>
              </w:rPr>
              <w:t>Not meaningful</w:t>
            </w:r>
          </w:p>
        </w:tc>
        <w:tc>
          <w:tcPr>
            <w:tcW w:w="2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OneSource results from date of acquisition on November 14, 2007</w:t>
      </w:r>
    </w:p>
    <w:p>
      <w:pPr>
        <w:spacing w:after="0" w:line="104" w:lineRule="exact"/>
        <w:rPr>
          <w:sz w:val="20"/>
          <w:szCs w:val="20"/>
          <w:color w:val="auto"/>
        </w:rPr>
      </w:pPr>
    </w:p>
    <w:p>
      <w:pPr>
        <w:ind w:right="8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six months ended April 30, 2008, compared to the same period in 2007, are more fully described below.</w:t>
      </w:r>
    </w:p>
    <w:p>
      <w:pPr>
        <w:spacing w:after="0" w:line="67" w:lineRule="exact"/>
        <w:rPr>
          <w:sz w:val="20"/>
          <w:szCs w:val="20"/>
          <w:color w:val="auto"/>
        </w:rPr>
      </w:pPr>
    </w:p>
    <w:p>
      <w:pPr>
        <w:jc w:val="both"/>
        <w:ind w:right="140" w:firstLine="250"/>
        <w:spacing w:after="0" w:line="247"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Janitorial Sales increased $431.8 million, or 54.0%, during the first six months of 2008 compared to the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$402.2 million of additional revenue contributed by OneSource. Excluding the impact of the OneSource acquisition, Janitorial Sales increased by $29.6 million. All Janitorial regions, except the Southeast and Southwestern regions, experienced Sales growth which was due to increased business from new customers and price increases to pass through a portion of union wage and benefit increases.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Operating profit increased $10.2 million, or 25.1%, during the first six months of 2008 compared to the first six months of 2007. The increase was primarily attributable to $11.6 million of additional profit as a result of the OneSource acquisition, of which $9.2 million was attributable to synergies generated from the integration of OneSource’s operations into the Janitorial segment. The synergies were achieved through a reduction of duplicative positions and back office functions, the consolidation of facilities, and the reduction in professional fees and other services. The OneSource operating profit also included $2.3 million of amortization expense associated with the acquired customer contracts and relationships intangible asset discussed above. Excluding the impact of OneSource, Janitorial experienced a $ 1.4 million decrease in operating profit, which was primarily the result of $2.3 million additional labor expense from an extra day in the first six months of 2008 compared to the first six months of 2007.</w:t>
      </w:r>
    </w:p>
    <w:p>
      <w:pPr>
        <w:spacing w:after="0" w:line="78" w:lineRule="exact"/>
        <w:rPr>
          <w:sz w:val="20"/>
          <w:szCs w:val="20"/>
          <w:color w:val="auto"/>
        </w:rPr>
      </w:pPr>
    </w:p>
    <w:p>
      <w:pPr>
        <w:ind w:firstLine="250"/>
        <w:spacing w:after="0" w:line="247"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$15.1 million, or 6.5%, during the first six months of 2008 compared to the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$14.8 million of Sales contributed by HPSA, which was acquired on April 2, 2007, and $6.1 million increase in allowance, lease and visitor parking revenues. These increases to Parking Sales, were partially offset by the absence of the $5.0 million gain recorded in the first six months of 2007 associated with the termination of an off-airport parking garage lease in Philadelphia.</w:t>
      </w:r>
    </w:p>
    <w:p>
      <w:pPr>
        <w:spacing w:after="0" w:line="88" w:lineRule="exact"/>
        <w:rPr>
          <w:sz w:val="20"/>
          <w:szCs w:val="20"/>
          <w:color w:val="auto"/>
        </w:rPr>
      </w:pPr>
    </w:p>
    <w:p>
      <w:pPr>
        <w:jc w:val="both"/>
        <w:ind w:right="320" w:firstLine="250"/>
        <w:spacing w:after="0"/>
        <w:rPr>
          <w:sz w:val="20"/>
          <w:szCs w:val="20"/>
          <w:color w:val="auto"/>
        </w:rPr>
      </w:pPr>
      <w:r>
        <w:rPr>
          <w:rFonts w:ascii="Arial" w:cs="Arial" w:eastAsia="Arial" w:hAnsi="Arial"/>
          <w:sz w:val="18"/>
          <w:szCs w:val="18"/>
          <w:color w:val="auto"/>
        </w:rPr>
        <w:t>Operating profit decreased $2.8 million, or 25.0%, during the first six months of 2008 compared to the first six months of 2007 due to the absence of the $5.0 million lease termination gain recorded in the first six months of 2007, partially offset by $1.3 million of additional profit earned on increased lease and visitor parking revenue and $0.9 million of additional operating profit contributed by HPSA.</w:t>
      </w:r>
    </w:p>
    <w:p>
      <w:pPr>
        <w:spacing w:after="0" w:line="73" w:lineRule="exact"/>
        <w:rPr>
          <w:sz w:val="20"/>
          <w:szCs w:val="20"/>
          <w:color w:val="auto"/>
        </w:rPr>
      </w:pPr>
    </w:p>
    <w:p>
      <w:pPr>
        <w:jc w:val="both"/>
        <w:ind w:right="340" w:firstLine="250"/>
        <w:spacing w:after="0" w:line="271"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$4.9 million, or 3.1%, during the first six months of 2008 compared to the first six months of 2007. All</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except for South Central experienced business from new customers and expansion of services to existing customers.</w:t>
      </w:r>
    </w:p>
    <w:p>
      <w:pPr>
        <w:spacing w:after="0" w:line="68" w:lineRule="exact"/>
        <w:rPr>
          <w:sz w:val="20"/>
          <w:szCs w:val="20"/>
          <w:color w:val="auto"/>
        </w:rPr>
      </w:pPr>
    </w:p>
    <w:p>
      <w:pPr>
        <w:ind w:right="600" w:firstLine="250"/>
        <w:spacing w:after="0" w:line="246" w:lineRule="auto"/>
        <w:rPr>
          <w:sz w:val="20"/>
          <w:szCs w:val="20"/>
          <w:color w:val="auto"/>
        </w:rPr>
      </w:pPr>
      <w:r>
        <w:rPr>
          <w:rFonts w:ascii="Arial" w:cs="Arial" w:eastAsia="Arial" w:hAnsi="Arial"/>
          <w:sz w:val="18"/>
          <w:szCs w:val="18"/>
          <w:color w:val="auto"/>
        </w:rPr>
        <w:t>Operating profit increased by $ 2.2 million in the first six months of 2008 compared to the first six months of 2007, primarily due to the absence of a $1.7 million litigation settlement recorded in the first six months of 2007.</w:t>
      </w:r>
    </w:p>
    <w:p>
      <w:pPr>
        <w:spacing w:after="0" w:line="67" w:lineRule="exact"/>
        <w:rPr>
          <w:sz w:val="20"/>
          <w:szCs w:val="20"/>
          <w:color w:val="auto"/>
        </w:rPr>
      </w:pPr>
    </w:p>
    <w:p>
      <w:pPr>
        <w:ind w:right="60" w:firstLine="250"/>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$14.3 million, or 9.8%, during the first six months of 2008 compared to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2007. All regions except for the Midwest and Southern California region experienced growth in Sales primarily due to business from new customers and expansion of services to existing customers. Operating profit increased by $1.8 million, or 30.9%, in the first six months of 2008 compared to the first six months in 2007, primarily due to additional profit from the increased Sales.</w:t>
      </w:r>
    </w:p>
    <w:p>
      <w:pPr>
        <w:spacing w:after="0" w:line="66" w:lineRule="exact"/>
        <w:rPr>
          <w:sz w:val="20"/>
          <w:szCs w:val="20"/>
          <w:color w:val="auto"/>
        </w:rPr>
      </w:pPr>
    </w:p>
    <w:p>
      <w:pPr>
        <w:ind w:right="180" w:firstLine="250"/>
        <w:spacing w:after="0" w:line="244"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$4.9 million, or 8.1%, during the first six months of 2008 compared to the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 decrease in time and material, and special project business. Operating loss was $ 5.3 million in the first six months of 2008 compared to an operating profit of $1.3 million in the first six months of 2007. The difference of $ 6.6 million is primarily due to the $4.5 million charge associated with the impairment of goodwill, and the decrease in Sales. These decreases were partially offset by a decrease in selling, general, and administrative payroll expense due to fewer employees.</w:t>
      </w:r>
    </w:p>
    <w:p>
      <w:pPr>
        <w:spacing w:after="0" w:line="69" w:lineRule="exact"/>
        <w:rPr>
          <w:sz w:val="20"/>
          <w:szCs w:val="20"/>
          <w:color w:val="auto"/>
        </w:rPr>
      </w:pPr>
    </w:p>
    <w:p>
      <w:pPr>
        <w:ind w:right="20" w:firstLine="250"/>
        <w:spacing w:after="0" w:line="24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$4.9 million, or 24.2%, in the first six months of 2008 compared to the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primarily due to $3.0 million of costs associated with the integration of OneSource’s operations, a $2.2 million in expenses related to severance, retention bonuses and new hires associated with the move of the Company’s corporate headquarters to New York, a $1.5 million increase in information technology costs, a $ 1.5 million expense associated with a legal claim, and $1.5 million in additional share-based compensation costs (excluding the effects of the acceleration of price-vested options in the second quarter of 2007 but including a $0.4 million expense from an adjustment of the estimated forfeiture rate assumptions in the second quarter of 2008), and a $1.3 million increase in costs associated with the operations of the Shared Services Center in Houston. The impact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these increases to Corporate expense was partially offset by a $3.0 million reduction in self-insurance reserves in the first six months of 2008 than in the first six months of 2007, and the absence of a $3.9 million of share-based compensation expense relating to the acceleration of price vested options, which was recorded in the first six months of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6"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 (FIN 48). FIN 48 prescribes a consistent recognition threshold and measurement standard, as well as clear criteria for subsequently recognizing, derecognizing, classifying and measuring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 See Note 14 – Income Taxes of the Notes to Consolidated Financial Statements contained in Item 1.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300" w:firstLine="250"/>
        <w:spacing w:after="0" w:line="238" w:lineRule="auto"/>
        <w:rPr>
          <w:sz w:val="20"/>
          <w:szCs w:val="20"/>
          <w:color w:val="auto"/>
        </w:rPr>
      </w:pPr>
      <w:r>
        <w:rPr>
          <w:rFonts w:ascii="Arial" w:cs="Arial" w:eastAsia="Arial" w:hAnsi="Arial"/>
          <w:sz w:val="18"/>
          <w:szCs w:val="18"/>
          <w:color w:val="auto"/>
        </w:rPr>
        <w:t>In September 2006, the FASB issued Statement of Financial Accounting Standards (SFAS) No. 157, “Fair Value Measurements” (SFAS No. 157). SFAS No. 157 was issued to provide guidance and consistency for comparability in fair value measurements and for expanded disclosures about fair value measurements. The Company does not anticipate that SFAS No. 157 will have a material impact on the Company’s consolidated financial position, results of operations or disclosures in the Company’s financial statements. SFAS No. 157 will be effective beginning in fiscal year 2009.</w:t>
      </w:r>
    </w:p>
    <w:p>
      <w:pPr>
        <w:spacing w:after="0" w:line="95"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FASB Statement No. 115” (SFAS No. 159). SFAS No. 159 was issued to permit entities to choose to measure many financial instruments and certain other items at fair value. The fair value option established by SFAS No. 159 permits entities to choose to measure eligible items at fair value at specified election dates and includes presentation and disclosure requirements designed to facilitate comparisons between entities that choose different measurement attributes for similar types of assets and liabilities. If the Company chooses to adopt SFAS No. 159, the Company does not anticipate that SFAS No. 159 will have a material impact on the Company’s consolidated financial position, results of operations or disclosures in the Company’s financial statements. If adopted, SFAS No. 159 would be effective beginning in fiscal year 2009.</w:t>
      </w:r>
    </w:p>
    <w:p>
      <w:pPr>
        <w:spacing w:after="0" w:line="100"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In December 2007, the FASB issued SFAS No. 141 (revised 2007), “Business Combinations” (SFAS No. 141R). The purpose of issuing the statement was to replace current guidance in SFAS No. 141 to better represent the economic value of a business combination transaction. The changes to be effected with SFAS No. 141R from the current guidance include, but are not limited to: (1) acquisition costs will be recognized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Company anticipates that the adoption of SFAS No. 141R will have an impact on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way in which business combinations will be accounted for compared to current practice. SFAS No. 141R will be effective for any business combination that occurs beginning in 2010.</w:t>
      </w:r>
    </w:p>
    <w:p>
      <w:pPr>
        <w:spacing w:after="0" w:line="89"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SFAS No. 160 was issued to improve the relevance, comparability, and transparency of financial information provided to investors by requiring all entities to report noncontrolling (minority) interests in subsidiaries in the same way, that is, as equity in the consolidated financial statements. Moreover, SFAS No. 160 eliminates the diversity that currently exists in accounting for transactions between an entity and noncontrolling interests by requiring they be treated as equity transactions. SFAS No. 160 will be effective beginning in 2010. The Company is currently evaluating the impact that SFAS No. 160 will have on its financial statements and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180" w:firstLine="247"/>
        <w:spacing w:after="0" w:line="238"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2007 Annual Report on Form 10-K for the year ended October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 Sensitive Instruments</w:t>
      </w:r>
    </w:p>
    <w:p>
      <w:pPr>
        <w:spacing w:after="0" w:line="122" w:lineRule="exact"/>
        <w:rPr>
          <w:sz w:val="20"/>
          <w:szCs w:val="20"/>
          <w:color w:val="auto"/>
        </w:rPr>
      </w:pPr>
    </w:p>
    <w:p>
      <w:pPr>
        <w:ind w:right="160" w:firstLine="247"/>
        <w:spacing w:after="0" w:line="239"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Actual results of changes in rates may differ materially from the following hypothetical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Company’s exposure to interest rate risk relates primarily to its cash equivalents and London Interbank Offered Rate (LIBOR) and Interbank Offered Rate (IBOR) based borrowings under the $450.0 million five-year syndicated line of credit that expires in November 2012. At April 30, 2008, outstanding LIBOR and IBOR based borrowings of $301.5 million represented 100% of the Company’s total debt obligations. While these borrowings mature over the next 30 days, the line of credit facility the Company has in place will continue to allow it to borrow against the line of credit through November 2012. The Company anticipates borrowing similar amounts for periods of one week to one month. If interest rates increase 1% and the loan balance remains at $301.5 the impact on the Company’s results of operations for the remainder of 2008 would be approximately $1.5 million of additional interest expense.</w:t>
      </w:r>
    </w:p>
    <w:p>
      <w:pPr>
        <w:spacing w:after="0" w:line="95" w:lineRule="exact"/>
        <w:rPr>
          <w:sz w:val="20"/>
          <w:szCs w:val="20"/>
          <w:color w:val="auto"/>
        </w:rPr>
      </w:pPr>
    </w:p>
    <w:p>
      <w:pPr>
        <w:ind w:right="160" w:firstLine="240"/>
        <w:spacing w:after="0" w:line="234" w:lineRule="auto"/>
        <w:rPr>
          <w:sz w:val="20"/>
          <w:szCs w:val="20"/>
          <w:color w:val="auto"/>
        </w:rPr>
      </w:pPr>
      <w:r>
        <w:rPr>
          <w:rFonts w:ascii="Arial" w:cs="Arial" w:eastAsia="Arial" w:hAnsi="Arial"/>
          <w:sz w:val="18"/>
          <w:szCs w:val="18"/>
          <w:color w:val="auto"/>
        </w:rPr>
        <w:t>At April 30, 2008, the Company had certain investments in auction rate securities. With the liquidity issues experienced in global credit and capital markets, the Company’s auction rate securities have experienced multiple failed auctions. The Company continues to earn interest at the maximum contractual rate for each security, which as a portfolio is higher than what the Company pays on outstanding borrowings. The estimated values of the five auction rate securities held by the Company are no longer at par. As of April 30, 2008, the Company had</w:t>
      </w:r>
    </w:p>
    <w:p>
      <w:pPr>
        <w:spacing w:after="0" w:line="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$23.5 million in auction rate securities in the consolidated balance sheet, which is net of an unrealized loss of $1.5 million. The unrealized loss is included in other comprehensive income as the decline in value is deemed to be temporary due primarily to the Company’s ability and intent to hold these securities long enough to recover its investments.</w:t>
      </w:r>
    </w:p>
    <w:p>
      <w:pPr>
        <w:spacing w:after="0" w:line="95" w:lineRule="exact"/>
        <w:rPr>
          <w:sz w:val="20"/>
          <w:szCs w:val="20"/>
          <w:color w:val="auto"/>
        </w:rPr>
      </w:pPr>
    </w:p>
    <w:p>
      <w:pPr>
        <w:ind w:right="560" w:firstLine="247"/>
        <w:spacing w:after="0" w:line="246" w:lineRule="auto"/>
        <w:rPr>
          <w:sz w:val="20"/>
          <w:szCs w:val="20"/>
          <w:color w:val="auto"/>
        </w:rPr>
      </w:pPr>
      <w:r>
        <w:rPr>
          <w:rFonts w:ascii="Arial" w:cs="Arial" w:eastAsia="Arial" w:hAnsi="Arial"/>
          <w:sz w:val="18"/>
          <w:szCs w:val="18"/>
          <w:color w:val="auto"/>
        </w:rPr>
        <w:t>The Company continues to monitor the market for auction rate securities and consider its impact (if any) on the fair market value of its investments. If the current market conditions continue, 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anticipated recovery in market values does not occur, the Company may be required to record additional unrealized losses or record an impairment charge in 2008.</w:t>
      </w:r>
    </w:p>
    <w:p>
      <w:pPr>
        <w:spacing w:after="0" w:line="89" w:lineRule="exact"/>
        <w:rPr>
          <w:sz w:val="20"/>
          <w:szCs w:val="20"/>
          <w:color w:val="auto"/>
        </w:rPr>
      </w:pPr>
    </w:p>
    <w:p>
      <w:pPr>
        <w:ind w:right="180" w:firstLine="247"/>
        <w:spacing w:after="0"/>
        <w:rPr>
          <w:sz w:val="20"/>
          <w:szCs w:val="20"/>
          <w:color w:val="auto"/>
        </w:rPr>
      </w:pPr>
      <w:r>
        <w:rPr>
          <w:rFonts w:ascii="Arial" w:cs="Arial" w:eastAsia="Arial" w:hAnsi="Arial"/>
          <w:sz w:val="18"/>
          <w:szCs w:val="18"/>
          <w:color w:val="auto"/>
        </w:rPr>
        <w:t>The Company intends and has the ability to hold these auction rate securities until the market recovers. Based on the Company’s ability to access its cash, its expected operating cash flows, and other sources of cash, the Company does not anticipate the lack of liquidity of these investments will affect the Company’s ability to operate its business in the ordinary course.</w:t>
      </w:r>
    </w:p>
    <w:p>
      <w:pPr>
        <w:spacing w:after="0" w:line="95" w:lineRule="exact"/>
        <w:rPr>
          <w:sz w:val="20"/>
          <w:szCs w:val="20"/>
          <w:color w:val="auto"/>
        </w:rPr>
      </w:pPr>
    </w:p>
    <w:p>
      <w:pPr>
        <w:ind w:right="500" w:firstLine="250"/>
        <w:spacing w:after="0" w:line="246"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Rules 13a-15 or 15d-15 under the Securities Exchange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79" w:lineRule="exact"/>
        <w:rPr>
          <w:sz w:val="20"/>
          <w:szCs w:val="20"/>
          <w:color w:val="auto"/>
        </w:rPr>
      </w:pPr>
    </w:p>
    <w:p>
      <w:pPr>
        <w:ind w:right="460" w:firstLine="250"/>
        <w:spacing w:after="0" w:line="253"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 over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during the quarter ended April 30, 2008 that have materially affected, or are reasonably likely to materially affect, the Company’s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380" w:firstLine="247"/>
        <w:spacing w:after="0" w:line="239" w:lineRule="auto"/>
        <w:rPr>
          <w:sz w:val="20"/>
          <w:szCs w:val="20"/>
          <w:color w:val="auto"/>
        </w:rPr>
      </w:pPr>
      <w:r>
        <w:rPr>
          <w:rFonts w:ascii="Arial" w:cs="Arial" w:eastAsia="Arial" w:hAnsi="Arial"/>
          <w:sz w:val="18"/>
          <w:szCs w:val="18"/>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94"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is a defendant in the following purported class action lawsuits related to alleged violations of federal or California wage-and-hour laws: (1) The consolidated cases of Augustus, Hall and Davis v. American Commercial Security Services (ACSS) filed July 12, 2005, in the Superior Court of California, Los Angeles County (L.A. Superior Ct.); (2) the consolidated cases of Bucio and Martinez v. ABM Janitorial Services filed on April 7, 2006, in the Superior Court of California, County of San Francisco; (3) the consolidated cases of Batiz/Heine v. ACSS filed on June 7, 2006, in the U.S. District Court of California, Central District (Batiz); (4) the consolidated cases of Diaz/Morales/Reyes v. Ampco System Parking filed on December 5, 2006, in L.A. Superior Ct; (5) Castellanos v. ABM Industries filed on April 5, 2007, in the U.S. District Court of California, Central District; and (6) Villacres v. ABM Security filed on August 15, 2007, in the U.S. District Court of California, Central District (Villacres); (7) Chen v. Ampco System Parking and ABM Industries filed on March 6, 2008, in the U.S. District Court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California, Southern District; (8) Khadera v. American Building Maintenance Co.-West and ABM Industries filed on March 24, 2008, in U.S District Court of Washington, Western District; and (9) Hickey v. ABM Security Services filed on March 25, 2008, in the U.S. District Court of Florida, Middle District.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 The Company believes it has meritorious defenses to these claims and intends to continue to vigorously defend itself on claims not settled.</w:t>
      </w:r>
    </w:p>
    <w:p>
      <w:pPr>
        <w:spacing w:after="0" w:line="95" w:lineRule="exact"/>
        <w:rPr>
          <w:sz w:val="20"/>
          <w:szCs w:val="20"/>
          <w:color w:val="auto"/>
        </w:rPr>
      </w:pPr>
    </w:p>
    <w:p>
      <w:pPr>
        <w:ind w:right="280" w:firstLine="250"/>
        <w:spacing w:after="0" w:line="246" w:lineRule="auto"/>
        <w:rPr>
          <w:sz w:val="20"/>
          <w:szCs w:val="20"/>
          <w:color w:val="auto"/>
        </w:rPr>
      </w:pPr>
      <w:r>
        <w:rPr>
          <w:rFonts w:ascii="Arial" w:cs="Arial" w:eastAsia="Arial" w:hAnsi="Arial"/>
          <w:sz w:val="18"/>
          <w:szCs w:val="18"/>
          <w:color w:val="auto"/>
        </w:rPr>
        <w:t>In January 2008, the U.S. District Court of California, Central District conditionally certified the Fair Labor Standards Acts claims stated in Batiz. The Company believes that subsequent discovery will garner the evidence necessary to move for decertification.</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described in more detail in Note 1 – Insurance of the Notes to Consolidated Financial Statements contained in the Company’s Form 10-K</w:t>
      </w:r>
    </w:p>
    <w:p>
      <w:pPr>
        <w:spacing w:after="0" w:line="234" w:lineRule="auto"/>
        <w:rPr>
          <w:sz w:val="20"/>
          <w:szCs w:val="20"/>
          <w:color w:val="auto"/>
        </w:rPr>
      </w:pPr>
      <w:r>
        <w:rPr>
          <w:rFonts w:ascii="Arial" w:cs="Arial" w:eastAsia="Arial" w:hAnsi="Arial"/>
          <w:sz w:val="18"/>
          <w:szCs w:val="18"/>
          <w:color w:val="auto"/>
        </w:rPr>
        <w:t>Annual Report for the fiscal year ended October 31, 2007, the Company self-insures certain insurable risks and, based on its periodic</w:t>
      </w:r>
    </w:p>
    <w:p>
      <w:pPr>
        <w:spacing w:after="0" w:line="235" w:lineRule="auto"/>
        <w:rPr>
          <w:sz w:val="20"/>
          <w:szCs w:val="20"/>
          <w:color w:val="auto"/>
        </w:rPr>
      </w:pPr>
      <w:r>
        <w:rPr>
          <w:rFonts w:ascii="Arial" w:cs="Arial" w:eastAsia="Arial" w:hAnsi="Arial"/>
          <w:sz w:val="18"/>
          <w:szCs w:val="18"/>
          <w:color w:val="auto"/>
        </w:rPr>
        <w:t>evaluations of estimated claim costs and liabilities, accrues self-insurance reserves to the Company’s best estimate. One such evaluation,</w:t>
      </w:r>
    </w:p>
    <w:p>
      <w:pPr>
        <w:spacing w:after="0" w:line="235" w:lineRule="auto"/>
        <w:rPr>
          <w:sz w:val="20"/>
          <w:szCs w:val="20"/>
          <w:color w:val="auto"/>
        </w:rPr>
      </w:pPr>
      <w:r>
        <w:rPr>
          <w:rFonts w:ascii="Arial" w:cs="Arial" w:eastAsia="Arial" w:hAnsi="Arial"/>
          <w:sz w:val="18"/>
          <w:szCs w:val="18"/>
          <w:color w:val="auto"/>
        </w:rPr>
        <w:t>completed in November 2004, indicated adverse developments in the insurance reserves that were primarily related to workers’ compensation</w:t>
      </w:r>
    </w:p>
    <w:p>
      <w:pPr>
        <w:spacing w:after="0" w:line="235" w:lineRule="auto"/>
        <w:rPr>
          <w:sz w:val="20"/>
          <w:szCs w:val="20"/>
          <w:color w:val="auto"/>
        </w:rPr>
      </w:pPr>
      <w:r>
        <w:rPr>
          <w:rFonts w:ascii="Arial" w:cs="Arial" w:eastAsia="Arial" w:hAnsi="Arial"/>
          <w:sz w:val="18"/>
          <w:szCs w:val="18"/>
          <w:color w:val="auto"/>
        </w:rPr>
        <w:t>claims in the state of California during the four-year period ended October 31, 2003 and resulted in the Company recording a charge of</w:t>
      </w:r>
    </w:p>
    <w:p>
      <w:pPr>
        <w:spacing w:after="0" w:line="235" w:lineRule="auto"/>
        <w:rPr>
          <w:sz w:val="20"/>
          <w:szCs w:val="20"/>
          <w:color w:val="auto"/>
        </w:rPr>
      </w:pPr>
      <w:r>
        <w:rPr>
          <w:rFonts w:ascii="Arial" w:cs="Arial" w:eastAsia="Arial" w:hAnsi="Arial"/>
          <w:sz w:val="18"/>
          <w:szCs w:val="18"/>
          <w:color w:val="auto"/>
        </w:rPr>
        <w:t>$17.2 million in the fourth quarter of 2004. The Company believes a substantial portion of the $17.2 million, as well as other costs incurred by</w:t>
      </w:r>
    </w:p>
    <w:p>
      <w:pPr>
        <w:spacing w:after="0" w:line="235" w:lineRule="auto"/>
        <w:rPr>
          <w:sz w:val="20"/>
          <w:szCs w:val="20"/>
          <w:color w:val="auto"/>
        </w:rPr>
      </w:pPr>
      <w:r>
        <w:rPr>
          <w:rFonts w:ascii="Arial" w:cs="Arial" w:eastAsia="Arial" w:hAnsi="Arial"/>
          <w:sz w:val="18"/>
          <w:szCs w:val="18"/>
          <w:color w:val="auto"/>
        </w:rPr>
        <w:t>the Company in its insurance claims, was related to poor claims management by a third party administrator that no longer performs these</w:t>
      </w:r>
    </w:p>
    <w:p>
      <w:pPr>
        <w:spacing w:after="0" w:line="235" w:lineRule="auto"/>
        <w:rPr>
          <w:sz w:val="20"/>
          <w:szCs w:val="20"/>
          <w:color w:val="auto"/>
        </w:rPr>
      </w:pPr>
      <w:r>
        <w:rPr>
          <w:rFonts w:ascii="Arial" w:cs="Arial" w:eastAsia="Arial" w:hAnsi="Arial"/>
          <w:sz w:val="18"/>
          <w:szCs w:val="18"/>
          <w:color w:val="auto"/>
        </w:rPr>
        <w:t>services for the Company. The Company believes that poor claims administration in certain other states, particularly New York, also led to</w:t>
      </w:r>
    </w:p>
    <w:p>
      <w:pPr>
        <w:spacing w:after="0" w:line="235" w:lineRule="auto"/>
        <w:rPr>
          <w:sz w:val="20"/>
          <w:szCs w:val="20"/>
          <w:color w:val="auto"/>
        </w:rPr>
      </w:pPr>
      <w:r>
        <w:rPr>
          <w:rFonts w:ascii="Arial" w:cs="Arial" w:eastAsia="Arial" w:hAnsi="Arial"/>
          <w:sz w:val="18"/>
          <w:szCs w:val="18"/>
          <w:color w:val="auto"/>
        </w:rPr>
        <w:t>higher costs for the Company. The Company has filed a claim against its former third party administrator for its damages related to claims</w:t>
      </w:r>
    </w:p>
    <w:p>
      <w:pPr>
        <w:spacing w:after="0" w:line="235" w:lineRule="auto"/>
        <w:rPr>
          <w:sz w:val="20"/>
          <w:szCs w:val="20"/>
          <w:color w:val="auto"/>
        </w:rPr>
      </w:pPr>
      <w:r>
        <w:rPr>
          <w:rFonts w:ascii="Arial" w:cs="Arial" w:eastAsia="Arial" w:hAnsi="Arial"/>
          <w:sz w:val="18"/>
          <w:szCs w:val="18"/>
          <w:color w:val="auto"/>
        </w:rPr>
        <w:t>mismanagement. The Company is actively pursuing this claim, which is subject to arbitration in accordance with the rules of the American</w:t>
      </w:r>
    </w:p>
    <w:p>
      <w:pPr>
        <w:spacing w:after="0" w:line="234" w:lineRule="auto"/>
        <w:rPr>
          <w:sz w:val="20"/>
          <w:szCs w:val="20"/>
          <w:color w:val="auto"/>
        </w:rPr>
      </w:pPr>
      <w:r>
        <w:rPr>
          <w:rFonts w:ascii="Arial" w:cs="Arial" w:eastAsia="Arial" w:hAnsi="Arial"/>
          <w:sz w:val="18"/>
          <w:szCs w:val="18"/>
          <w:color w:val="auto"/>
        </w:rPr>
        <w:t>Arbitration Association. The three-person arbitration panel has been designated and discovery is underway, including examination of a sample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claims by insurance experts.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August 2005, ABM filed an action for declaratory relief, breach of contract and breach of the implied covenant of good faith and fair</w:t>
      </w:r>
    </w:p>
    <w:p>
      <w:pPr>
        <w:spacing w:after="0" w:line="234" w:lineRule="auto"/>
        <w:rPr>
          <w:sz w:val="20"/>
          <w:szCs w:val="20"/>
          <w:color w:val="auto"/>
        </w:rPr>
      </w:pPr>
      <w:r>
        <w:rPr>
          <w:rFonts w:ascii="Arial" w:cs="Arial" w:eastAsia="Arial" w:hAnsi="Arial"/>
          <w:sz w:val="18"/>
          <w:szCs w:val="18"/>
          <w:color w:val="auto"/>
        </w:rPr>
        <w:t>dealing in U.S. District Court in The Northern District of California against its insurance carriers, Zurich American Insurance Company (Zurich</w:t>
      </w:r>
    </w:p>
    <w:p>
      <w:pPr>
        <w:spacing w:after="0" w:line="235" w:lineRule="auto"/>
        <w:rPr>
          <w:sz w:val="20"/>
          <w:szCs w:val="20"/>
          <w:color w:val="auto"/>
        </w:rPr>
      </w:pPr>
      <w:r>
        <w:rPr>
          <w:rFonts w:ascii="Arial" w:cs="Arial" w:eastAsia="Arial" w:hAnsi="Arial"/>
          <w:sz w:val="18"/>
          <w:szCs w:val="18"/>
          <w:color w:val="auto"/>
        </w:rPr>
        <w:t>American) and National Union Fire Insurance Company (National Union) relating to the carriers’ failure to provide coverage for ABM and one of</w:t>
      </w:r>
    </w:p>
    <w:p>
      <w:pPr>
        <w:spacing w:after="0" w:line="235" w:lineRule="auto"/>
        <w:rPr>
          <w:sz w:val="20"/>
          <w:szCs w:val="20"/>
          <w:color w:val="auto"/>
        </w:rPr>
      </w:pPr>
      <w:r>
        <w:rPr>
          <w:rFonts w:ascii="Arial" w:cs="Arial" w:eastAsia="Arial" w:hAnsi="Arial"/>
          <w:sz w:val="18"/>
          <w:szCs w:val="18"/>
          <w:color w:val="auto"/>
        </w:rPr>
        <w:t>its Parking subsidiaries. In September 2006, the Company settled its claims against Zurich American for $400,000. Zurich American had</w:t>
      </w:r>
    </w:p>
    <w:p>
      <w:pPr>
        <w:spacing w:after="0" w:line="235" w:lineRule="auto"/>
        <w:rPr>
          <w:sz w:val="20"/>
          <w:szCs w:val="20"/>
          <w:color w:val="auto"/>
        </w:rPr>
      </w:pPr>
      <w:r>
        <w:rPr>
          <w:rFonts w:ascii="Arial" w:cs="Arial" w:eastAsia="Arial" w:hAnsi="Arial"/>
          <w:sz w:val="18"/>
          <w:szCs w:val="18"/>
          <w:color w:val="auto"/>
        </w:rPr>
        <w:t>provided $850,000 in coverage. In September 2006, the Company lost a motion for summary adjudication filed by National Union on the issue</w:t>
      </w:r>
    </w:p>
    <w:p>
      <w:pPr>
        <w:spacing w:after="0" w:line="235" w:lineRule="auto"/>
        <w:rPr>
          <w:sz w:val="20"/>
          <w:szCs w:val="20"/>
          <w:color w:val="auto"/>
        </w:rPr>
      </w:pPr>
      <w:r>
        <w:rPr>
          <w:rFonts w:ascii="Arial" w:cs="Arial" w:eastAsia="Arial" w:hAnsi="Arial"/>
          <w:sz w:val="18"/>
          <w:szCs w:val="18"/>
          <w:color w:val="auto"/>
        </w:rPr>
        <w:t>of the duty to defend. The Company has appealed that ruling and filed its reply brief in March 2007. ABM’s claim includes “bad faith” allegations</w:t>
      </w:r>
    </w:p>
    <w:p>
      <w:pPr>
        <w:spacing w:after="0" w:line="235" w:lineRule="auto"/>
        <w:rPr>
          <w:sz w:val="20"/>
          <w:szCs w:val="20"/>
          <w:color w:val="auto"/>
        </w:rPr>
      </w:pPr>
      <w:r>
        <w:rPr>
          <w:rFonts w:ascii="Arial" w:cs="Arial" w:eastAsia="Arial" w:hAnsi="Arial"/>
          <w:sz w:val="18"/>
          <w:szCs w:val="18"/>
          <w:color w:val="auto"/>
        </w:rPr>
        <w:t>for National Union’s breach of its duty to defend the Company in litigation with IAH-JFK Airport Parking Co., LLC. In early 2006, ABM paid</w:t>
      </w:r>
    </w:p>
    <w:p>
      <w:pPr>
        <w:spacing w:after="0" w:line="235" w:lineRule="auto"/>
        <w:rPr>
          <w:sz w:val="20"/>
          <w:szCs w:val="20"/>
          <w:color w:val="auto"/>
        </w:rPr>
      </w:pPr>
      <w:r>
        <w:rPr>
          <w:rFonts w:ascii="Arial" w:cs="Arial" w:eastAsia="Arial" w:hAnsi="Arial"/>
          <w:sz w:val="18"/>
          <w:szCs w:val="18"/>
          <w:color w:val="auto"/>
        </w:rPr>
        <w:t>$6.3 million in settlement costs in the IAH-JFK litigation and seeks to recover $5.3 million of these settlement costs and legal fees from National</w:t>
      </w:r>
    </w:p>
    <w:p>
      <w:pPr>
        <w:spacing w:after="0"/>
        <w:rPr>
          <w:sz w:val="20"/>
          <w:szCs w:val="20"/>
          <w:color w:val="auto"/>
        </w:rPr>
      </w:pPr>
      <w:r>
        <w:rPr>
          <w:rFonts w:ascii="Arial" w:cs="Arial" w:eastAsia="Arial" w:hAnsi="Arial"/>
          <w:sz w:val="18"/>
          <w:szCs w:val="18"/>
          <w:color w:val="auto"/>
        </w:rPr>
        <w:t>Union.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right="80" w:firstLine="247"/>
        <w:spacing w:after="0" w:line="237"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referred to in these Risk Factors as “we” or “us”) also provides forward-looking statements in other written materials released to the public, as well as oral forward-looking statements. Such statements give our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We try, wherever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possible, to identify such statements by using words such as “anticipate,” “believe,” “estimate,” “expect,” “intend,” “plan,” “project” and similar expressions.</w:t>
      </w:r>
    </w:p>
    <w:p>
      <w:pPr>
        <w:spacing w:after="0" w:line="89"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Set forth below are factors that we think, individually or in the aggregate, could cause our actual results to differ materially from past results or those anticipated, estimated or projected. We note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72" w:lineRule="exact"/>
        <w:rPr>
          <w:sz w:val="20"/>
          <w:szCs w:val="20"/>
          <w:color w:val="auto"/>
        </w:rPr>
      </w:pPr>
    </w:p>
    <w:p>
      <w:pPr>
        <w:ind w:right="60" w:firstLine="250"/>
        <w:spacing w:after="0" w:line="241" w:lineRule="auto"/>
        <w:rPr>
          <w:sz w:val="20"/>
          <w:szCs w:val="20"/>
          <w:color w:val="auto"/>
        </w:rPr>
      </w:pPr>
      <w:r>
        <w:rPr>
          <w:rFonts w:ascii="Arial" w:cs="Arial" w:eastAsia="Arial" w:hAnsi="Arial"/>
          <w:sz w:val="18"/>
          <w:szCs w:val="18"/>
          <w:b w:val="1"/>
          <w:bCs w:val="1"/>
          <w:color w:val="auto"/>
        </w:rPr>
        <w:t xml:space="preserve">OneSource and other acquisitions may divert our focus and lead to unexpected difficulties. </w:t>
      </w:r>
      <w:r>
        <w:rPr>
          <w:rFonts w:ascii="Arial" w:cs="Arial" w:eastAsia="Arial" w:hAnsi="Arial"/>
          <w:sz w:val="18"/>
          <w:szCs w:val="18"/>
          <w:color w:val="auto"/>
        </w:rPr>
        <w:t>On November 14, 2007, we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OneSource, which effectively increased our janitorial operations by approximately 45% (when measured by revenues). Realization of the benefits of the acquisition will depend, among other things, upon our ability to integrate the business with our Janitorial segment successfully and on schedule and to achieve the anticipated savings associated with reductions in offices, staffing and other costs. There can be no assurance that the acquisition of OneSource or any acquisition that we make in the future will provide the benefits that were anticipated when entering the transaction. The process of integrating an acquired business may create unforeseen difficulties and expenses. The areas in which we may face risks include:</w:t>
      </w:r>
    </w:p>
    <w:p>
      <w:pPr>
        <w:spacing w:after="0" w:line="93"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Diversion of management time and focus from operating the business to acquisition integration;</w:t>
      </w:r>
    </w:p>
    <w:p>
      <w:pPr>
        <w:spacing w:after="0" w:line="117" w:lineRule="exact"/>
        <w:rPr>
          <w:rFonts w:ascii="Arial" w:cs="Arial" w:eastAsia="Arial" w:hAnsi="Arial"/>
          <w:sz w:val="18"/>
          <w:szCs w:val="18"/>
          <w:b w:val="1"/>
          <w:bCs w:val="1"/>
          <w:color w:val="auto"/>
        </w:rPr>
      </w:pPr>
    </w:p>
    <w:p>
      <w:pPr>
        <w:ind w:left="560" w:hanging="444"/>
        <w:spacing w:after="0" w:line="246"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need to integrate the acquired business’s accounting, information technology, human resources and other administrative systems to permit effective management and reduce expenses;</w:t>
      </w:r>
    </w:p>
    <w:p>
      <w:pPr>
        <w:spacing w:after="0" w:line="102" w:lineRule="exact"/>
        <w:rPr>
          <w:rFonts w:ascii="Arial" w:cs="Arial" w:eastAsia="Arial" w:hAnsi="Arial"/>
          <w:sz w:val="18"/>
          <w:szCs w:val="18"/>
          <w:b w:val="1"/>
          <w:bCs w:val="1"/>
          <w:color w:val="auto"/>
        </w:rPr>
      </w:pPr>
    </w:p>
    <w:p>
      <w:pPr>
        <w:ind w:left="560" w:right="40" w:hanging="444"/>
        <w:spacing w:after="0" w:line="246"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need to implement or improve internal controls, procedures and policies appropriate for a public company at a business that prior to the acquisition lacked some of these controls, procedures and policies;</w:t>
      </w:r>
    </w:p>
    <w:p>
      <w:pPr>
        <w:spacing w:after="0" w:line="102" w:lineRule="exact"/>
        <w:rPr>
          <w:rFonts w:ascii="Arial" w:cs="Arial" w:eastAsia="Arial" w:hAnsi="Arial"/>
          <w:sz w:val="18"/>
          <w:szCs w:val="18"/>
          <w:b w:val="1"/>
          <w:bCs w:val="1"/>
          <w:color w:val="auto"/>
        </w:rPr>
      </w:pPr>
    </w:p>
    <w:p>
      <w:pPr>
        <w:ind w:left="560" w:right="140" w:hanging="444"/>
        <w:spacing w:after="0" w:line="246"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maintain relationships with customers of the acquired business or to renew contracts with those customers upon acceptable terms or at all;</w:t>
      </w:r>
    </w:p>
    <w:p>
      <w:pPr>
        <w:spacing w:after="0" w:line="102"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retain employees, particularly sales and operational personnel, of the acquired business;</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Write-offs or impairment charges relating to goodwill and other intangible assets from the acquisition;</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Larger than anticipated liabilities or unknown liabilities relating to the acquired business; and</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Lower than expected valuation for assets relating to the acquired business.</w:t>
      </w:r>
    </w:p>
    <w:p>
      <w:pPr>
        <w:spacing w:after="0" w:line="104"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In addition, pursuit of our announced strategy of international growth will entail new risks associated with currency fluctuations, international economic fluctuations, and language and cultural differences.</w:t>
      </w:r>
    </w:p>
    <w:p>
      <w:pPr>
        <w:spacing w:after="0" w:line="67"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Our transition to new information technology systems may result in functional delays and resource constraints. </w:t>
      </w:r>
      <w:r>
        <w:rPr>
          <w:rFonts w:ascii="Arial" w:cs="Arial" w:eastAsia="Arial" w:hAnsi="Arial"/>
          <w:sz w:val="18"/>
          <w:szCs w:val="18"/>
          <w:color w:val="auto"/>
        </w:rPr>
        <w:t>Although we use</w:t>
      </w:r>
      <w:r>
        <w:rPr>
          <w:rFonts w:ascii="Arial" w:cs="Arial" w:eastAsia="Arial" w:hAnsi="Arial"/>
          <w:sz w:val="18"/>
          <w:szCs w:val="18"/>
          <w:b w:val="1"/>
          <w:bCs w:val="1"/>
          <w:color w:val="auto"/>
        </w:rPr>
        <w:t xml:space="preserve"> </w:t>
      </w:r>
      <w:r>
        <w:rPr>
          <w:rFonts w:ascii="Arial" w:cs="Arial" w:eastAsia="Arial" w:hAnsi="Arial"/>
          <w:sz w:val="18"/>
          <w:szCs w:val="18"/>
          <w:color w:val="auto"/>
        </w:rPr>
        <w:t>centralized accounting systems, we rely on a number of legacy information technology systems, particularly our payroll systems, as well as manual processes, to operate. These systems and processes may be unable to provide adequate support for the business and create excessive reliance upon manual rather than system controls. Use of the legacy payroll systems could result, for instance, in delays in meeting payroll obligations, in difficulty calculating and tracking appropriate governmental withholding and other payroll regulatory obligations, and in higher internal and external expenses to work around these systems. Additionally, the current technology environment is unable to support the integration of acquired businesses and anticipated organic growth. Effective October 2006, we entered into the Services Agreement with IBM to obtain information technology infrastructure and support services. With IBM’s assistance, we are implementing a new payroll and human resources information system, and upgrading the existing accounting systems. The upgrade of the accounting systems includes the consolidation of multiple databases, the potential replacement of custom systems and business process redesign to facilitate the implementation of shared-services functions across the Company. In addition to the risk of potential failure in each project, supporting multiple concurrent projects may result in resource constraints and the inability to complete projects 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schedule. The acquisition of OneSource will necessitate information technology system integration and consolidation. We plan to continue to use the OneSource information technology systems during a transition period and will then transfer OneSource operations to our new payroll and human resources information system and the upgraded accounting systems. IBM also supports our current technology environment. While we believe that IBM’s experience and expertise will lead to improvements in our technology environment, the risks associated with outsourcing include the dependence upon a third party for essential aspects of our business and risks to the security and integrity of our data in the hands of third parties. We may also have potentially less control over costs associated with necessary systems when they are supported by a third party, as well as potentially less responsiveness from vendors than employees.</w:t>
      </w:r>
    </w:p>
    <w:p>
      <w:pPr>
        <w:spacing w:after="0" w:line="73"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b w:val="1"/>
          <w:bCs w:val="1"/>
          <w:color w:val="auto"/>
        </w:rPr>
        <w:t xml:space="preserve">Transition to a Shared Services Center could create disruption in functions affected. </w:t>
      </w:r>
      <w:r>
        <w:rPr>
          <w:rFonts w:ascii="Arial" w:cs="Arial" w:eastAsia="Arial" w:hAnsi="Arial"/>
          <w:sz w:val="18"/>
          <w:szCs w:val="18"/>
          <w:color w:val="auto"/>
        </w:rPr>
        <w:t>We have historically performed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such as accounts payable, accounts receivable collection and payroll, in a decentralized manner through regional accounting centers in our businesses. In 2007, we began consolidating these functions in a Shared Services Center in Houston, Texas. The consolidation has taken place in certain accounting functions for Janitorial (including OneSource) and Security and over the next two years other functions and additional business units will be moved to the Shared Services Center. The timing of the consolidation of different functions is tied to the upgrade of the Company’s accounting systems and implementation of a new payroll system and human resources information system. In addition to the risks associated with technology changes, the Shared Services Center implementation could lead to the turnover of personnel with critical knowledge, which could impede our ability to bill customers and collect receivables and might cause customer dissatisfaction associated with an inability to respond to questions about billings and other information until new employees can be retained and fully trained. Because the consolidation of functions in the Shared Services Center is tied to the upgrade of our accounting systems and implementation of a new payroll system and human resources information system, delays in the implementation of the technology changes would lead to delays in our ability to realize the benefits associated with the Shared Services Center.</w:t>
      </w:r>
    </w:p>
    <w:p>
      <w:pPr>
        <w:spacing w:after="0" w:line="76"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b w:val="1"/>
          <w:bCs w:val="1"/>
          <w:color w:val="auto"/>
        </w:rPr>
        <w:t xml:space="preserve">The move of our corporate headquarters has led and may lead to loss of personnel and institutional knowledge, and may disrupt the continuity of control functions. </w:t>
      </w:r>
      <w:r>
        <w:rPr>
          <w:rFonts w:ascii="Arial" w:cs="Arial" w:eastAsia="Arial" w:hAnsi="Arial"/>
          <w:sz w:val="18"/>
          <w:szCs w:val="18"/>
          <w:color w:val="auto"/>
        </w:rPr>
        <w:t>In January 2008, we began to move our corporate headquarters to New York City from San Francisco.</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substantially complete, the transition will continue over the next two years. In addition, certain functions that have operated centrally from corporate headquarters, such as the finance and legal organizations, will be dispersed in a combination of corporate headquarters, division headquarters and the Shared Services Center. These moves are increasing employee turnover, particularly in finance, legal, insurance, and human resources. The loss of personnel could lead to disruptions in control functions stemming from delays in filling vacant positions and a lack of personnel with institutional knowledge.</w:t>
      </w:r>
    </w:p>
    <w:p>
      <w:pPr>
        <w:spacing w:after="0" w:line="71"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b w:val="1"/>
          <w:bCs w:val="1"/>
          <w:color w:val="auto"/>
        </w:rPr>
        <w:t xml:space="preserve">A change in the frequency or severity of claims, a deterioration in claims management, the cancellation or non-renewal of primary insurance policies or a change in our customer’s insurance needs could adversely affect results. </w:t>
      </w:r>
      <w:r>
        <w:rPr>
          <w:rFonts w:ascii="Arial" w:cs="Arial" w:eastAsia="Arial" w:hAnsi="Arial"/>
          <w:sz w:val="18"/>
          <w:szCs w:val="18"/>
          <w:color w:val="auto"/>
        </w:rPr>
        <w:t>Many customers, particularly</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institutional owners and large property management companies, prefer to do business with contractors, such as us, with significant financial resources, who can provide substantial insurance coverage. In fact, many of our clients choose to obtain insurance coverage for the risks associated with our services by being named as additional insureds under our master liability insurance policies and by seeking contractual indemnification for any damages associated with our services. In addition, pursuant to our management and service contracts, we charge certain clients an allocated portion of our insurance-related costs, including workers’ compensation insurance, at rates that, because of the scale of our operations and claims experience, we believe are competitive. A material change in insurance costs due to a change in the number of claims, claims costs or premiums could have a material effect on our operating profit. In addition, should we be unable to renew our umbrella and other commercial insurance policies at competitive rates, it would have an adverse impact on our business, as would catastrophic uninsured claims or the inability or refusal of our insurance carriers to pay otherwise insured claims. Furthermore, where we self-insure, a deterioration in claims management, whether by us or by a third party claims administrator, could increase claim costs, particularly in the workers’ compensation area.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b w:val="1"/>
          <w:bCs w:val="1"/>
          <w:color w:val="auto"/>
        </w:rPr>
        <w:t xml:space="preserve">A change in estimated claims costs could affect results. </w:t>
      </w:r>
      <w:r>
        <w:rPr>
          <w:rFonts w:ascii="Arial" w:cs="Arial" w:eastAsia="Arial" w:hAnsi="Arial"/>
          <w:sz w:val="18"/>
          <w:szCs w:val="18"/>
          <w:color w:val="auto"/>
        </w:rPr>
        <w:t>We periodically evaluate estimated claims costs and liabilities to ensure that</w:t>
      </w:r>
      <w:r>
        <w:rPr>
          <w:rFonts w:ascii="Arial" w:cs="Arial" w:eastAsia="Arial" w:hAnsi="Arial"/>
          <w:sz w:val="18"/>
          <w:szCs w:val="18"/>
          <w:b w:val="1"/>
          <w:bCs w:val="1"/>
          <w:color w:val="auto"/>
        </w:rPr>
        <w:t xml:space="preserve"> </w:t>
      </w:r>
      <w:r>
        <w:rPr>
          <w:rFonts w:ascii="Arial" w:cs="Arial" w:eastAsia="Arial" w:hAnsi="Arial"/>
          <w:sz w:val="18"/>
          <w:szCs w:val="18"/>
          <w:color w:val="auto"/>
        </w:rPr>
        <w:t>self-insurance reserves are appropriate. Additionally, we monitor new claims and claims development to assess the adequacy of insurance reserves. Trend analysis is complex and highly subjective. The interpretation of trends requires the knowledge of all factors affecting the trends that may or may not be reflective of adverse developments (</w:t>
      </w:r>
      <w:r>
        <w:rPr>
          <w:rFonts w:ascii="Arial" w:cs="Arial" w:eastAsia="Arial" w:hAnsi="Arial"/>
          <w:sz w:val="18"/>
          <w:szCs w:val="18"/>
          <w:i w:val="1"/>
          <w:iCs w:val="1"/>
          <w:color w:val="auto"/>
        </w:rPr>
        <w:t>e.g.</w:t>
      </w:r>
      <w:r>
        <w:rPr>
          <w:rFonts w:ascii="Arial" w:cs="Arial" w:eastAsia="Arial" w:hAnsi="Arial"/>
          <w:sz w:val="18"/>
          <w:szCs w:val="18"/>
          <w:color w:val="auto"/>
        </w:rPr>
        <w:t>, changes in regulatory requirements). If the trends suggest that the frequency or severity of claims incurred has increased, we might be required to record additional expenses for self-insurance liabilities. In addition, variations in estimates that cause changes in our insurance reserves may not always be related to changes in claims experience. Changes in insurance reserves as a result of our periodic evaluations of the liabilities can cause swings in operating results that may not be indicative of the operations of our ongoing business. In addition, because of the time required for the analysis, we may not learn of a deterioration in claims, particularly claims administered by a third party, until additional costs have been incurred or are projected. Because we base pricing in part on our estimated insurance costs, our prices could be higher or lower than they otherwise might be if better information were available resulting in a competitive disadvantage in the former case and reduced margins or unprofitable contracts in the latter.</w:t>
      </w:r>
    </w:p>
    <w:p>
      <w:pPr>
        <w:spacing w:after="0" w:line="79"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b w:val="1"/>
          <w:bCs w:val="1"/>
          <w:color w:val="auto"/>
        </w:rPr>
        <w:t xml:space="preserve">Debt to fund the acquisition of OneSource, as well as any future increase in the level of debt or in interest rates, can affect our results of operations. </w:t>
      </w:r>
      <w:r>
        <w:rPr>
          <w:rFonts w:ascii="Arial" w:cs="Arial" w:eastAsia="Arial" w:hAnsi="Arial"/>
          <w:sz w:val="18"/>
          <w:szCs w:val="18"/>
          <w:color w:val="auto"/>
        </w:rPr>
        <w:t>We incurred debt to acquire OneSource and Southern Management, and any future increase in the level of debt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Company’s interest expense. Unless the operating income associated with the use of these funds exceeds the debt expense, borrowing money will have an adverse impact on the Company’s results. In addition, incurring debt requires that a portion of cash flow from operating activities be dedicated to interest payments and principal payments at maturity. Unless the cash flows generated by OneSource and Southern Management (or future acquisitions funded by debt) exceed the required payments, debt service requirements could reduce our ability to use our cash flow to fund operations and capital expenditures, and to capitalize on future business opportunities (including additional acquisitions). Because current interest rates on our debt are variable, an increase in prevailing rates would increase our interest costs. Further, our credit facility agreement contains both financial covenants and covenants that limit our ability to engage in specified transactions, which may also constrain our flexibility.</w:t>
      </w:r>
    </w:p>
    <w:p>
      <w:pPr>
        <w:spacing w:after="0" w:line="73"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b w:val="1"/>
          <w:bCs w:val="1"/>
          <w:color w:val="auto"/>
        </w:rPr>
        <w:t xml:space="preserve">Our ability to operate and pay our debt obligations depends upon our access to cash. </w:t>
      </w:r>
      <w:r>
        <w:rPr>
          <w:rFonts w:ascii="Arial" w:cs="Arial" w:eastAsia="Arial" w:hAnsi="Arial"/>
          <w:sz w:val="18"/>
          <w:szCs w:val="18"/>
          <w:color w:val="auto"/>
        </w:rPr>
        <w:t>Because ABM conducts business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operating subsidiaries, we depend on those entities to generate the funds necessary to meet financial obligations. Delays in collections or legal restrictions could restrict ABM’s subsidiaries’ ability to make distributions or loans to ABM. The earnings from, or other available assets of, these operating subsidiaries may not be sufficient to make distributions to enable ABM to pay interest on debt obligations when due or to pay the principal of such debt at maturity. In addition, a substantial portion of our investment portfolio is invested in auction rate securities and, if an auction fails for securities in which we have invested, the investment will not be liquid. In 2007, auctions for $25.0 million of these securities failed and such failure continued in the first six months of 2008 and could occur in the future. In the event we need to access these funds, we will not be able to do so until a future auction is successful, the issuer redeems the outstanding securities or the securities mature (between 20 and 50 years). The estimated values of these securities are no longer at par and we have booked an unrealized loss of</w:t>
      </w:r>
    </w:p>
    <w:p>
      <w:pPr>
        <w:spacing w:after="0" w:line="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$1.5 million. If the issuer of the securities is unable to successfully close future auctions and its credit rating deteriorates and if the insurers are not financially able to honor their obligations as insurer, we may be required to record additional unrealized losses or an impairment charge.</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An impairment charge could have a material adverse effect on our financial condition and results of operations</w:t>
      </w:r>
      <w:r>
        <w:rPr>
          <w:rFonts w:ascii="Arial" w:cs="Arial" w:eastAsia="Arial" w:hAnsi="Arial"/>
          <w:sz w:val="18"/>
          <w:szCs w:val="18"/>
          <w:color w:val="auto"/>
        </w:rPr>
        <w:t>. Under SFAS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 142, “Goodwill and Other Intangible Assets”, we are required to test acquired goodwill for impairment on an annual basis based upon a fair value approach, rather than amortizing it over time. Goodwill represents the excess of the amount we paid to acquire our subsidiaries and other businesses over the fair value of their net assets at the dates of the acquisitions. We have chosen to perform our annual impairment reviews of goodwill at the beginning of the fourth quarter of each fiscal year. We also are required to test goodwill for impairment between annual tests if events occur or circumstances change that would more likely than not reduce our enterprise fair value below 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book value. In addition, we test certain intangible assets for impairment annually if events occur or circumstances change that would indicate the remaining net book value of these intangible assets might not be recoverable. These events or circumstances could include a significant change in the business climate, legal factors, operating performance indicators, competition, sale or disposition of a significant portion of one of our business, and other factors. If the fair market value of one of our businesses is less than its book value, we could be required to record an impairment charge. The valuation of the businesses requires judgment in estimating future cash flows, discount rates and other factors. In making these judgments, we evaluate the financial health of our businesses, including such factors as market performance, changes in our customer base and operating cash flows. The amount of any impairment could be significant and could have a material adverse effect on our reported financial results for the period in which the charge is taken.</w:t>
      </w:r>
    </w:p>
    <w:p>
      <w:pPr>
        <w:spacing w:after="0" w:line="100"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In November 2007, we acquired OneSource for an aggregate purchase price of $390.5 million including payment of its $21.5 million line of credit and direct acquisition costs of $4.0 million. We paid a premium in excess of fair value of the net tangible and intangible assets of $282 million as of April 30, 2008, which is recorded as goodwill. We were willing to pay this premium as a result of our identification of significant synergies that we anticipated we would realize, are realizing and expect to continue to realize through the acquisition. However, if we determine that we are not able to realize these expected synergies and we determine that the fair value of the assets acquired is less than the book value of these assets, then we would have to recognize an impairment to goodwill as a current-period expense. Because of the significant amount of goodwill recognized in the OneSource acquisition, an impairment of that goodwill could result in a material non-cash expense.</w:t>
      </w:r>
    </w:p>
    <w:p>
      <w:pPr>
        <w:spacing w:after="0" w:line="95"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In response to objective evidence about the implied fair value of goodwill relating to the Company’s Lighting segment noted in connection with the preparation of the financial statements for the three months ended April 30, 2008, the Company performed an assessment of goodwill for impairment. On a preliminary basis, the goodwill in the Lighting segment was determined to be impaired and a non-cash, pre-tax goodwill impairment charge of $4.5 million was recorded on April 30, 2008. This estimate will be finalized in the quarter ending July 31, 2008.</w:t>
      </w:r>
    </w:p>
    <w:p>
      <w:pPr>
        <w:spacing w:after="0" w:line="94" w:lineRule="exact"/>
        <w:rPr>
          <w:sz w:val="20"/>
          <w:szCs w:val="20"/>
          <w:color w:val="auto"/>
        </w:rPr>
      </w:pPr>
    </w:p>
    <w:p>
      <w:pPr>
        <w:ind w:right="60" w:firstLine="290"/>
        <w:spacing w:after="0" w:line="238" w:lineRule="auto"/>
        <w:rPr>
          <w:sz w:val="20"/>
          <w:szCs w:val="20"/>
          <w:color w:val="auto"/>
        </w:rPr>
      </w:pPr>
      <w:r>
        <w:rPr>
          <w:rFonts w:ascii="Arial" w:cs="Arial" w:eastAsia="Arial" w:hAnsi="Arial"/>
          <w:sz w:val="18"/>
          <w:szCs w:val="18"/>
          <w:color w:val="auto"/>
        </w:rPr>
        <w:t>As of April 30, 2008, we had $553.9 million of goodwill and $54.5 million of other intangible assets net of accumulated depreciation. Our goodwill and other intangible assets collectively represented 38% of our total assets of $1,622 million as of April 30, 2008. As of April 30, 2008, the Company had not completed the allocation of the purchase price of the acquisition. Accordingly, further changes to the fair values of acquired goodwill and other intangible assets will be recorded as the valuation and purchase price allocations are finalized during the remainder of the fiscal year 2008.</w:t>
      </w:r>
    </w:p>
    <w:p>
      <w:pPr>
        <w:spacing w:after="0" w:line="73"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b w:val="1"/>
          <w:bCs w:val="1"/>
          <w:color w:val="auto"/>
        </w:rPr>
        <w:t xml:space="preserve">Labor disputes could lead to loss of sales or expense variations. </w:t>
      </w:r>
      <w:r>
        <w:rPr>
          <w:rFonts w:ascii="Arial" w:cs="Arial" w:eastAsia="Arial" w:hAnsi="Arial"/>
          <w:sz w:val="18"/>
          <w:szCs w:val="18"/>
          <w:color w:val="auto"/>
        </w:rPr>
        <w:t>At April 30, 2008, approximately 36% of our employees were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various local collective bargaining agreements, some of which will expire or become subject to renegotiation during the year. In addition, we are facing a number of union organizing drives. When one or more of our major collective bargaining agreements becomes subject to renegotiation or when we face union organizing drives, we and the union may disagree on important issues which, in turn, could lead to a strike, work slowdown or other job actions at one or more of our locations. In a market where we and a number of major competitors are unionized, but other competitors are not unionized, we could lose customers to competitors who are not unionized. A strike, work slowdown or other job action could in some cases disrupt us from providing services, resulting in reduced revenue. If declines in customer service occur or if our customers are targeted for sympathy strikes by other unionized workers, contract cancellations could result. The result of negotiating a first time agreement or renegotiating an existing collective bargaining agreement could be a substantial increase in labor and benefits expenses that we may be unable to pass through to customers for some period of time, if at all.</w:t>
      </w:r>
    </w:p>
    <w:p>
      <w:pPr>
        <w:spacing w:after="0" w:line="73" w:lineRule="exact"/>
        <w:rPr>
          <w:sz w:val="20"/>
          <w:szCs w:val="20"/>
          <w:color w:val="auto"/>
        </w:rPr>
      </w:pPr>
    </w:p>
    <w:p>
      <w:pPr>
        <w:ind w:right="100" w:firstLine="250"/>
        <w:spacing w:after="0" w:line="241" w:lineRule="auto"/>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sales and profitability. </w:t>
      </w:r>
      <w:r>
        <w:rPr>
          <w:rFonts w:ascii="Arial" w:cs="Arial" w:eastAsia="Arial" w:hAnsi="Arial"/>
          <w:sz w:val="18"/>
          <w:szCs w:val="18"/>
          <w:color w:val="auto"/>
        </w:rPr>
        <w:t>Our sales directly depend on</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real estate occupancy levels. In certain geographic areas and service segments, our most profitable sales are known as tag jobs, which are services performed for tenants in buildings in which our business performs building services for the property owner or management company. A decline in occupancy rates could result in a decline in fees paid by landlords, as well as tag work, which would lower sales, and create pricing pressures and therefore lower margins. In addition, in those areas where the workers are unionized, decreases in sales can be accompanied by relative increases in labor costs if we are obligated by collective bargaining agreements to retain workers with seniority and consequently higher compensation levels and cannot pass through these costs to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firstLine="250"/>
        <w:spacing w:after="0" w:line="244" w:lineRule="auto"/>
        <w:rPr>
          <w:sz w:val="20"/>
          <w:szCs w:val="20"/>
          <w:color w:val="auto"/>
        </w:rPr>
      </w:pPr>
      <w:r>
        <w:rPr>
          <w:rFonts w:ascii="Arial" w:cs="Arial" w:eastAsia="Arial" w:hAnsi="Arial"/>
          <w:sz w:val="18"/>
          <w:szCs w:val="18"/>
          <w:b w:val="1"/>
          <w:bCs w:val="1"/>
          <w:color w:val="auto"/>
        </w:rPr>
        <w:t xml:space="preserve">The financial difficulties or bankruptcy of one or more of our major customers could adversely affect results. </w:t>
      </w:r>
      <w:r>
        <w:rPr>
          <w:rFonts w:ascii="Arial" w:cs="Arial" w:eastAsia="Arial" w:hAnsi="Arial"/>
          <w:sz w:val="18"/>
          <w:szCs w:val="18"/>
          <w:color w:val="auto"/>
        </w:rPr>
        <w:t>Future sales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collect accounts receivable depend, in part, on the financial strength of customers. We estimate an allowance for accounts we do not consider collectible and this allowance adversely impacts profitability. In the event customers experience financial difficulty, and particularly if bankruptcy results, profitability is further impacted by our failure to collect accounts receivable in excess of the estimated allowance. Additionally, our future sales would be reduced by the loss of these customers.</w:t>
      </w:r>
    </w:p>
    <w:p>
      <w:pPr>
        <w:spacing w:after="0" w:line="69" w:lineRule="exact"/>
        <w:rPr>
          <w:sz w:val="20"/>
          <w:szCs w:val="20"/>
          <w:color w:val="auto"/>
        </w:rPr>
      </w:pPr>
    </w:p>
    <w:p>
      <w:pPr>
        <w:jc w:val="both"/>
        <w:ind w:right="320" w:firstLine="250"/>
        <w:spacing w:after="0" w:line="247" w:lineRule="auto"/>
        <w:rPr>
          <w:sz w:val="20"/>
          <w:szCs w:val="20"/>
          <w:color w:val="auto"/>
        </w:rPr>
      </w:pPr>
      <w:r>
        <w:rPr>
          <w:rFonts w:ascii="Arial" w:cs="Arial" w:eastAsia="Arial" w:hAnsi="Arial"/>
          <w:sz w:val="18"/>
          <w:szCs w:val="18"/>
          <w:b w:val="1"/>
          <w:bCs w:val="1"/>
          <w:color w:val="auto"/>
        </w:rPr>
        <w:t xml:space="preserve">Acquisition activity could slow. </w:t>
      </w:r>
      <w:r>
        <w:rPr>
          <w:rFonts w:ascii="Arial" w:cs="Arial" w:eastAsia="Arial" w:hAnsi="Arial"/>
          <w:sz w:val="18"/>
          <w:szCs w:val="18"/>
          <w:color w:val="auto"/>
        </w:rPr>
        <w:t>A significant portion of our historic growth has come through acquisitions and we expect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businesses in the future as part of our growth strategy. A slowdown in acquisitions could lead to a slower growth rate. Because new contracts frequently involve start-up costs, sales associated with acquired operations often have higher margins than sales associated with organic growth. Therefore, a slowdown in acquisition activity could lead to constant or lower margins, as well as lower revenue growth.</w:t>
      </w:r>
    </w:p>
    <w:p>
      <w:pPr>
        <w:spacing w:after="0" w:line="66"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Our success depends on our ability to preserve our long-term relationships with customers. </w:t>
      </w:r>
      <w:r>
        <w:rPr>
          <w:rFonts w:ascii="Arial" w:cs="Arial" w:eastAsia="Arial" w:hAnsi="Arial"/>
          <w:sz w:val="18"/>
          <w:szCs w:val="18"/>
          <w:color w:val="auto"/>
        </w:rPr>
        <w:t>Our contracts with our customers can</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be terminated upon relatively short notice. However, the business associated with long-term relationships is generally more profitable than that from short-term relationships because we incur start-up costs with many new contracts, particularly for training, operating equipment and uniforms. Once these costs are expensed or fully depreciated over the appropriate periods, the underlying contracts become more profitable. Therefore, our loss of long-term customers could have an adverse impact on our profitability even if we generate equivalent sales from new customers.</w:t>
      </w:r>
    </w:p>
    <w:p>
      <w:pPr>
        <w:spacing w:after="0" w:line="71"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We are subject to intense competition that can constrain our ability to gain business, as well as our profitability. </w:t>
      </w:r>
      <w:r>
        <w:rPr>
          <w:rFonts w:ascii="Arial" w:cs="Arial" w:eastAsia="Arial" w:hAnsi="Arial"/>
          <w:sz w:val="18"/>
          <w:szCs w:val="18"/>
          <w:color w:val="auto"/>
        </w:rPr>
        <w:t>We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each aspect of our business is highly competitive, and that such competition is based primarily on price and quality of service. We provide nearly all our services under contracts originally obtained through competitive bidding. The low cost of entry to the facility services business has led to strongly competitive markets consisting primarily of regional and local owner-operated companies, with particularly intense competition in the janitorial business in the Southeast and South Central regions of the United States. We also compete with a few large, diversified facility services and manufacturing companies on a national basis. Indirectly, we compete with building owners and tenants that can perform internally one or more of the services that we provide. These building owners and tenants have a competitive advantage in locations where our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impede our success in bidding for profitable business and our ability to increase prices even as costs rise, thereby reducing margins. Further, if sales decline, we may not be able to reduce expenses correspondingly.</w:t>
      </w:r>
    </w:p>
    <w:p>
      <w:pPr>
        <w:spacing w:after="0" w:line="79" w:lineRule="exact"/>
        <w:rPr>
          <w:sz w:val="20"/>
          <w:szCs w:val="20"/>
          <w:color w:val="auto"/>
        </w:rPr>
      </w:pPr>
    </w:p>
    <w:p>
      <w:pPr>
        <w:ind w:right="280" w:firstLine="250"/>
        <w:spacing w:after="0" w:line="244" w:lineRule="auto"/>
        <w:rPr>
          <w:sz w:val="20"/>
          <w:szCs w:val="20"/>
          <w:color w:val="auto"/>
        </w:rPr>
      </w:pPr>
      <w:r>
        <w:rPr>
          <w:rFonts w:ascii="Arial" w:cs="Arial" w:eastAsia="Arial" w:hAnsi="Arial"/>
          <w:sz w:val="18"/>
          <w:szCs w:val="18"/>
          <w:b w:val="1"/>
          <w:bCs w:val="1"/>
          <w:color w:val="auto"/>
        </w:rPr>
        <w:t xml:space="preserve">An increase in costs that we cannot pass on to customers could affect profitability. </w:t>
      </w:r>
      <w:r>
        <w:rPr>
          <w:rFonts w:ascii="Arial" w:cs="Arial" w:eastAsia="Arial" w:hAnsi="Arial"/>
          <w:sz w:val="18"/>
          <w:szCs w:val="18"/>
          <w:color w:val="auto"/>
        </w:rPr>
        <w:t>We negotiate many contracts under which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agree to pay certain costs at rates that we set, particularly workers’ compensation and other insurance coverage where we self insure much of our risk. If actual costs exceed the rates we set, then our profitability may decline unless we can negotiate increases in these rates. In addition, if our costs, particularly workers’ compensation, other insurance costs, labor costs, payroll taxes, and fuel costs, exceed those of our competitors, we may lose business unless we establish rates that do not fully cover our costs.</w:t>
      </w:r>
    </w:p>
    <w:p>
      <w:pPr>
        <w:spacing w:after="0" w:line="69"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Natural disasters or acts of terrorism could disrupt services. </w:t>
      </w:r>
      <w:r>
        <w:rPr>
          <w:rFonts w:ascii="Arial" w:cs="Arial" w:eastAsia="Arial" w:hAnsi="Arial"/>
          <w:sz w:val="18"/>
          <w:szCs w:val="18"/>
          <w:color w:val="auto"/>
        </w:rPr>
        <w:t>Storms, earthquakes, drought, floods or other natural disasters or acts of</w:t>
      </w:r>
      <w:r>
        <w:rPr>
          <w:rFonts w:ascii="Arial" w:cs="Arial" w:eastAsia="Arial" w:hAnsi="Arial"/>
          <w:sz w:val="18"/>
          <w:szCs w:val="18"/>
          <w:b w:val="1"/>
          <w:bCs w:val="1"/>
          <w:color w:val="auto"/>
        </w:rPr>
        <w:t xml:space="preserve"> </w:t>
      </w:r>
      <w:r>
        <w:rPr>
          <w:rFonts w:ascii="Arial" w:cs="Arial" w:eastAsia="Arial" w:hAnsi="Arial"/>
          <w:sz w:val="18"/>
          <w:szCs w:val="18"/>
          <w:color w:val="auto"/>
        </w:rPr>
        <w:t>terrorism may result in reduced sales or property damage. Disasters may also cause economic dislocations throughout the country. In addition, natural disasters or acts of terrorism may increase the volatility of financial results, either due to increased costs caused by the disaster with partial or no corresponding compensation from customers, or, alternatively, increased sales and profitability related to tag jobs, special projects and other higher margin work necessitated by the disaster. In addition, a significant portion of Parking sales is tied to the numbers of airline passengers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and hotel guests and Parking results could be adversely affected if people curtail business and personal travel as a result of any such event.</w:t>
      </w:r>
    </w:p>
    <w:p>
      <w:pPr>
        <w:spacing w:after="0" w:line="82" w:lineRule="exact"/>
        <w:rPr>
          <w:sz w:val="20"/>
          <w:szCs w:val="20"/>
          <w:color w:val="auto"/>
        </w:rPr>
      </w:pPr>
    </w:p>
    <w:p>
      <w:pPr>
        <w:ind w:right="80" w:firstLine="250"/>
        <w:spacing w:after="0" w:line="242" w:lineRule="auto"/>
        <w:rPr>
          <w:sz w:val="20"/>
          <w:szCs w:val="20"/>
          <w:color w:val="auto"/>
        </w:rPr>
      </w:pPr>
      <w:r>
        <w:rPr>
          <w:rFonts w:ascii="Arial" w:cs="Arial" w:eastAsia="Arial" w:hAnsi="Arial"/>
          <w:sz w:val="18"/>
          <w:szCs w:val="18"/>
          <w:b w:val="1"/>
          <w:bCs w:val="1"/>
          <w:color w:val="auto"/>
        </w:rPr>
        <w:t xml:space="preserve">We incur significant accounting and other control costs that reduce profitability. </w:t>
      </w:r>
      <w:r>
        <w:rPr>
          <w:rFonts w:ascii="Arial" w:cs="Arial" w:eastAsia="Arial" w:hAnsi="Arial"/>
          <w:sz w:val="18"/>
          <w:szCs w:val="18"/>
          <w:color w:val="auto"/>
        </w:rPr>
        <w:t>As a publicly traded corporation, we incur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costs to comply 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 Should sales decline or if we are unsuccessful at increasing prices to cover higher expenditures for internal controls and audits, the costs associated with regulatory compliance will rise as a percentage of sales.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26" w:lineRule="exact"/>
        <w:rPr>
          <w:sz w:val="20"/>
          <w:szCs w:val="20"/>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Unanticipated adverse jury determinations, judicial rulings or other developments in litigation or arbitration to which we are subject;</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New accounting pronouncements or changes in accounting policies;</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federal (U.S.) or state immigration law that raise our administrative costs;</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Labor shortages that adversely affect our ability to employ entry level personnel;</w:t>
      </w:r>
    </w:p>
    <w:p>
      <w:pPr>
        <w:spacing w:after="0" w:line="117" w:lineRule="exact"/>
        <w:rPr>
          <w:rFonts w:ascii="Arial" w:cs="Arial" w:eastAsia="Arial" w:hAnsi="Arial"/>
          <w:sz w:val="18"/>
          <w:szCs w:val="18"/>
          <w:b w:val="1"/>
          <w:bCs w:val="1"/>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Legislation or other governmental action that detrimentally impacts expenses or reduces sales by adversely affecting our customers;</w:t>
      </w:r>
    </w:p>
    <w:p>
      <w:pPr>
        <w:spacing w:after="0" w:line="117" w:lineRule="exact"/>
        <w:rPr>
          <w:rFonts w:ascii="Arial" w:cs="Arial" w:eastAsia="Arial" w:hAnsi="Arial"/>
          <w:sz w:val="18"/>
          <w:szCs w:val="18"/>
          <w:b w:val="1"/>
          <w:bCs w:val="1"/>
          <w:color w:val="auto"/>
        </w:rPr>
      </w:pPr>
    </w:p>
    <w:p>
      <w:pPr>
        <w:ind w:left="560" w:right="340" w:hanging="444"/>
        <w:spacing w:after="0" w:line="246"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Low levels of capital investments by customers, which tend to be cyclical in nature, could adversely impact the results of the Lighting segment; and</w:t>
      </w:r>
    </w:p>
    <w:p>
      <w:pPr>
        <w:spacing w:after="0" w:line="102" w:lineRule="exact"/>
        <w:rPr>
          <w:rFonts w:ascii="Arial" w:cs="Arial" w:eastAsia="Arial" w:hAnsi="Arial"/>
          <w:sz w:val="18"/>
          <w:szCs w:val="18"/>
          <w:b w:val="1"/>
          <w:bCs w:val="1"/>
          <w:color w:val="auto"/>
        </w:rPr>
      </w:pPr>
    </w:p>
    <w:p>
      <w:pPr>
        <w:ind w:left="560" w:right="280" w:hanging="444"/>
        <w:spacing w:after="0" w:line="246"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resignation, termination, death or disability of one or more key executives that adversely affects customer retention or day-to-day management.</w:t>
      </w:r>
    </w:p>
    <w:p>
      <w:pPr>
        <w:spacing w:after="0" w:line="89" w:lineRule="exact"/>
        <w:rPr>
          <w:sz w:val="20"/>
          <w:szCs w:val="20"/>
          <w:color w:val="auto"/>
        </w:rPr>
      </w:pPr>
    </w:p>
    <w:p>
      <w:pPr>
        <w:jc w:val="both"/>
        <w:ind w:right="60" w:firstLine="250"/>
        <w:spacing w:after="0"/>
        <w:rPr>
          <w:sz w:val="20"/>
          <w:szCs w:val="20"/>
          <w:color w:val="auto"/>
        </w:rPr>
      </w:pPr>
      <w:r>
        <w:rPr>
          <w:rFonts w:ascii="Arial" w:cs="Arial" w:eastAsia="Arial" w:hAnsi="Arial"/>
          <w:sz w:val="18"/>
          <w:szCs w:val="18"/>
          <w:color w:val="auto"/>
        </w:rPr>
        <w:t>We believe that the Company has the human and financial resources for business success, but future profit and cash flow can be adversely (or advantageously) influenced by a number of factors, including those listed above, any and all of which are inherently difficult to forecast.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4, 2008.</w:t>
      </w:r>
    </w:p>
    <w:p>
      <w:pPr>
        <w:spacing w:after="0" w:line="117"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directors were elected by a vote of stockholders, each to serve for a term ending at the annual meeting in the year 2011: Anthony G. Fernandes and Maryellen C. Herringer.</w:t>
      </w:r>
    </w:p>
    <w:p>
      <w:pPr>
        <w:spacing w:after="0" w:line="102" w:lineRule="exact"/>
        <w:rPr>
          <w:rFonts w:ascii="Arial" w:cs="Arial" w:eastAsia="Arial" w:hAnsi="Arial"/>
          <w:sz w:val="18"/>
          <w:szCs w:val="18"/>
          <w:color w:val="auto"/>
        </w:rPr>
      </w:pPr>
    </w:p>
    <w:p>
      <w:pPr>
        <w:ind w:left="340" w:right="580"/>
        <w:spacing w:after="0" w:line="246" w:lineRule="auto"/>
        <w:rPr>
          <w:rFonts w:ascii="Arial" w:cs="Arial" w:eastAsia="Arial" w:hAnsi="Arial"/>
          <w:sz w:val="18"/>
          <w:szCs w:val="18"/>
          <w:color w:val="auto"/>
        </w:rPr>
      </w:pPr>
      <w:r>
        <w:rPr>
          <w:rFonts w:ascii="Arial" w:cs="Arial" w:eastAsia="Arial" w:hAnsi="Arial"/>
          <w:sz w:val="18"/>
          <w:szCs w:val="18"/>
          <w:color w:val="auto"/>
        </w:rPr>
        <w:t>The following directors remained in office: Linda L. Chavez, Luke S. Helms, Henry L. Kotkins, Jr., Theodore T. Rosenberg, Henrik C. Slipsager and William W. Steele.</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matters were voted upon at the meeting:</w:t>
      </w:r>
    </w:p>
    <w:p>
      <w:pPr>
        <w:spacing w:after="0" w:line="103" w:lineRule="exact"/>
        <w:rPr>
          <w:rFonts w:ascii="Arial" w:cs="Arial" w:eastAsia="Arial" w:hAnsi="Arial"/>
          <w:sz w:val="18"/>
          <w:szCs w:val="18"/>
          <w:color w:val="auto"/>
        </w:rPr>
      </w:pPr>
    </w:p>
    <w:p>
      <w:pPr>
        <w:ind w:left="660" w:hanging="436"/>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Nominee</w:t>
            </w:r>
          </w:p>
        </w:tc>
        <w:tc>
          <w:tcPr>
            <w:tcW w:w="4720" w:type="dxa"/>
            <w:vAlign w:val="bottom"/>
            <w:tcBorders>
              <w:bottom w:val="single" w:sz="8" w:color="auto"/>
            </w:tcBorders>
          </w:tcPr>
          <w:p>
            <w:pPr>
              <w:jc w:val="center"/>
              <w:ind w:left="2616"/>
              <w:spacing w:after="0"/>
              <w:rPr>
                <w:sz w:val="20"/>
                <w:szCs w:val="20"/>
                <w:color w:val="auto"/>
              </w:rPr>
            </w:pPr>
            <w:r>
              <w:rPr>
                <w:rFonts w:ascii="Arial" w:cs="Arial" w:eastAsia="Arial" w:hAnsi="Arial"/>
                <w:sz w:val="14"/>
                <w:szCs w:val="14"/>
                <w:color w:val="auto"/>
              </w:rPr>
              <w:t>For</w:t>
            </w:r>
          </w:p>
        </w:tc>
        <w:tc>
          <w:tcPr>
            <w:tcW w:w="1640" w:type="dxa"/>
            <w:vAlign w:val="bottom"/>
            <w:tcBorders>
              <w:bottom w:val="single" w:sz="8" w:color="auto"/>
            </w:tcBorders>
          </w:tcPr>
          <w:p>
            <w:pPr>
              <w:jc w:val="center"/>
              <w:ind w:left="156"/>
              <w:spacing w:after="0"/>
              <w:rPr>
                <w:sz w:val="20"/>
                <w:szCs w:val="20"/>
                <w:color w:val="auto"/>
              </w:rPr>
            </w:pPr>
            <w:r>
              <w:rPr>
                <w:rFonts w:ascii="Arial" w:cs="Arial" w:eastAsia="Arial" w:hAnsi="Arial"/>
                <w:sz w:val="14"/>
                <w:szCs w:val="14"/>
                <w:color w:val="auto"/>
              </w:rPr>
              <w:t>Withheld</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Anthony G. Fernandes</w:t>
            </w:r>
          </w:p>
        </w:tc>
        <w:tc>
          <w:tcPr>
            <w:tcW w:w="4720" w:type="dxa"/>
            <w:vAlign w:val="bottom"/>
          </w:tcPr>
          <w:p>
            <w:pPr>
              <w:jc w:val="center"/>
              <w:ind w:left="2616"/>
              <w:spacing w:after="0"/>
              <w:rPr>
                <w:sz w:val="20"/>
                <w:szCs w:val="20"/>
                <w:color w:val="auto"/>
              </w:rPr>
            </w:pPr>
            <w:r>
              <w:rPr>
                <w:rFonts w:ascii="Arial" w:cs="Arial" w:eastAsia="Arial" w:hAnsi="Arial"/>
                <w:sz w:val="18"/>
                <w:szCs w:val="18"/>
                <w:color w:val="auto"/>
                <w:w w:val="99"/>
              </w:rPr>
              <w:t>38,428,628</w:t>
            </w:r>
          </w:p>
        </w:tc>
        <w:tc>
          <w:tcPr>
            <w:tcW w:w="1640" w:type="dxa"/>
            <w:vAlign w:val="bottom"/>
          </w:tcPr>
          <w:p>
            <w:pPr>
              <w:jc w:val="center"/>
              <w:ind w:left="156"/>
              <w:spacing w:after="0"/>
              <w:rPr>
                <w:sz w:val="20"/>
                <w:szCs w:val="20"/>
                <w:color w:val="auto"/>
              </w:rPr>
            </w:pPr>
            <w:r>
              <w:rPr>
                <w:rFonts w:ascii="Arial" w:cs="Arial" w:eastAsia="Arial" w:hAnsi="Arial"/>
                <w:sz w:val="18"/>
                <w:szCs w:val="18"/>
                <w:color w:val="auto"/>
                <w:w w:val="99"/>
              </w:rPr>
              <w:t>7,501,481</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Maryellen C. Herringer</w:t>
            </w:r>
          </w:p>
        </w:tc>
        <w:tc>
          <w:tcPr>
            <w:tcW w:w="4720" w:type="dxa"/>
            <w:vAlign w:val="bottom"/>
          </w:tcPr>
          <w:p>
            <w:pPr>
              <w:jc w:val="center"/>
              <w:ind w:left="2616"/>
              <w:spacing w:after="0"/>
              <w:rPr>
                <w:sz w:val="20"/>
                <w:szCs w:val="20"/>
                <w:color w:val="auto"/>
              </w:rPr>
            </w:pPr>
            <w:r>
              <w:rPr>
                <w:rFonts w:ascii="Arial" w:cs="Arial" w:eastAsia="Arial" w:hAnsi="Arial"/>
                <w:sz w:val="18"/>
                <w:szCs w:val="18"/>
                <w:color w:val="auto"/>
                <w:w w:val="99"/>
              </w:rPr>
              <w:t>39,805,865</w:t>
            </w:r>
          </w:p>
        </w:tc>
        <w:tc>
          <w:tcPr>
            <w:tcW w:w="1640" w:type="dxa"/>
            <w:vAlign w:val="bottom"/>
          </w:tcPr>
          <w:p>
            <w:pPr>
              <w:jc w:val="center"/>
              <w:ind w:left="156"/>
              <w:spacing w:after="0"/>
              <w:rPr>
                <w:sz w:val="20"/>
                <w:szCs w:val="20"/>
                <w:color w:val="auto"/>
              </w:rPr>
            </w:pPr>
            <w:r>
              <w:rPr>
                <w:rFonts w:ascii="Arial" w:cs="Arial" w:eastAsia="Arial" w:hAnsi="Arial"/>
                <w:sz w:val="18"/>
                <w:szCs w:val="18"/>
                <w:color w:val="auto"/>
                <w:w w:val="99"/>
              </w:rPr>
              <w:t>6,124,244</w:t>
            </w:r>
          </w:p>
        </w:tc>
      </w:tr>
    </w:tbl>
    <w:p>
      <w:pPr>
        <w:spacing w:after="0" w:line="9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 Ratification of KPMG LLP as Independent Registered Public Accounting Firm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w:t>
            </w:r>
          </w:p>
        </w:tc>
        <w:tc>
          <w:tcPr>
            <w:tcW w:w="4000" w:type="dxa"/>
            <w:vAlign w:val="bottom"/>
            <w:tcBorders>
              <w:bottom w:val="single" w:sz="8" w:color="auto"/>
            </w:tcBorders>
          </w:tcPr>
          <w:p>
            <w:pPr>
              <w:jc w:val="right"/>
              <w:ind w:right="1196"/>
              <w:spacing w:after="0"/>
              <w:rPr>
                <w:sz w:val="20"/>
                <w:szCs w:val="20"/>
                <w:color w:val="auto"/>
              </w:rPr>
            </w:pPr>
            <w:r>
              <w:rPr>
                <w:rFonts w:ascii="Arial" w:cs="Arial" w:eastAsia="Arial" w:hAnsi="Arial"/>
                <w:sz w:val="14"/>
                <w:szCs w:val="14"/>
                <w:color w:val="auto"/>
              </w:rPr>
              <w:t>Against</w:t>
            </w:r>
          </w:p>
        </w:tc>
        <w:tc>
          <w:tcPr>
            <w:tcW w:w="26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Abstentions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Broker Non-Votes</w:t>
            </w: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45,270,156</w:t>
            </w:r>
          </w:p>
        </w:tc>
        <w:tc>
          <w:tcPr>
            <w:tcW w:w="4000" w:type="dxa"/>
            <w:vAlign w:val="bottom"/>
          </w:tcPr>
          <w:p>
            <w:pPr>
              <w:jc w:val="right"/>
              <w:ind w:right="1156"/>
              <w:spacing w:after="0"/>
              <w:rPr>
                <w:sz w:val="20"/>
                <w:szCs w:val="20"/>
                <w:color w:val="auto"/>
              </w:rPr>
            </w:pPr>
            <w:r>
              <w:rPr>
                <w:rFonts w:ascii="Arial" w:cs="Arial" w:eastAsia="Arial" w:hAnsi="Arial"/>
                <w:sz w:val="18"/>
                <w:szCs w:val="18"/>
                <w:color w:val="auto"/>
              </w:rPr>
              <w:t>630,076</w:t>
            </w:r>
          </w:p>
        </w:tc>
        <w:tc>
          <w:tcPr>
            <w:tcW w:w="2600" w:type="dxa"/>
            <w:vAlign w:val="bottom"/>
          </w:tcPr>
          <w:p>
            <w:pPr>
              <w:jc w:val="right"/>
              <w:ind w:right="719"/>
              <w:spacing w:after="0"/>
              <w:rPr>
                <w:sz w:val="20"/>
                <w:szCs w:val="20"/>
                <w:color w:val="auto"/>
              </w:rPr>
            </w:pPr>
            <w:r>
              <w:rPr>
                <w:rFonts w:ascii="Arial" w:cs="Arial" w:eastAsia="Arial" w:hAnsi="Arial"/>
                <w:sz w:val="18"/>
                <w:szCs w:val="18"/>
                <w:color w:val="auto"/>
              </w:rPr>
              <w:t>29,877</w:t>
            </w:r>
          </w:p>
        </w:tc>
        <w:tc>
          <w:tcPr>
            <w:tcW w:w="1800" w:type="dxa"/>
            <w:vAlign w:val="bottom"/>
          </w:tcPr>
          <w:p>
            <w:pPr>
              <w:jc w:val="right"/>
              <w:ind w:right="299"/>
              <w:spacing w:after="0"/>
              <w:rPr>
                <w:sz w:val="20"/>
                <w:szCs w:val="20"/>
                <w:color w:val="auto"/>
              </w:rPr>
            </w:pPr>
            <w:r>
              <w:rPr>
                <w:rFonts w:ascii="Arial" w:cs="Arial" w:eastAsia="Arial" w:hAnsi="Arial"/>
                <w:sz w:val="18"/>
                <w:szCs w:val="18"/>
                <w:color w:val="auto"/>
              </w:rPr>
              <w:t>0</w:t>
            </w:r>
          </w:p>
        </w:tc>
      </w:tr>
      <w:tr>
        <w:trPr>
          <w:trHeight w:val="392"/>
        </w:trPr>
        <w:tc>
          <w:tcPr>
            <w:tcW w:w="3020" w:type="dxa"/>
            <w:vAlign w:val="bottom"/>
          </w:tcPr>
          <w:p>
            <w:pPr>
              <w:spacing w:after="0"/>
              <w:rPr>
                <w:sz w:val="24"/>
                <w:szCs w:val="24"/>
                <w:color w:val="auto"/>
              </w:rPr>
            </w:pPr>
          </w:p>
        </w:tc>
        <w:tc>
          <w:tcPr>
            <w:tcW w:w="4000" w:type="dxa"/>
            <w:vAlign w:val="bottom"/>
          </w:tcPr>
          <w:p>
            <w:pPr>
              <w:jc w:val="right"/>
              <w:ind w:right="1116"/>
              <w:spacing w:after="0"/>
              <w:rPr>
                <w:sz w:val="20"/>
                <w:szCs w:val="20"/>
                <w:color w:val="auto"/>
              </w:rPr>
            </w:pPr>
            <w:r>
              <w:rPr>
                <w:rFonts w:ascii="Arial" w:cs="Arial" w:eastAsia="Arial" w:hAnsi="Arial"/>
                <w:sz w:val="18"/>
                <w:szCs w:val="18"/>
                <w:color w:val="auto"/>
              </w:rPr>
              <w:t>39</w:t>
            </w:r>
          </w:p>
        </w:tc>
        <w:tc>
          <w:tcPr>
            <w:tcW w:w="2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3"/>
        </w:trPr>
        <w:tc>
          <w:tcPr>
            <w:tcW w:w="302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Exhibit Index.</w:t>
      </w:r>
    </w:p>
    <w:p>
      <w:pPr>
        <w:spacing w:after="0" w:line="18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James S. Lusk</w:t>
      </w:r>
    </w:p>
    <w:p>
      <w:pPr>
        <w:ind w:left="5500"/>
        <w:spacing w:after="0" w:line="234" w:lineRule="auto"/>
        <w:rPr>
          <w:sz w:val="20"/>
          <w:szCs w:val="20"/>
          <w:color w:val="auto"/>
        </w:rPr>
      </w:pPr>
      <w:r>
        <w:rPr>
          <w:rFonts w:ascii="Arial" w:cs="Arial" w:eastAsia="Arial" w:hAnsi="Arial"/>
          <w:sz w:val="18"/>
          <w:szCs w:val="18"/>
          <w:color w:val="auto"/>
        </w:rPr>
        <w:t>Executive Vice President and</w:t>
      </w:r>
    </w:p>
    <w:p>
      <w:pPr>
        <w:ind w:left="550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Joseph F. Yospe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Joseph F. Yospe</w:t>
      </w:r>
    </w:p>
    <w:p>
      <w:pPr>
        <w:ind w:left="5500"/>
        <w:spacing w:after="0" w:line="234" w:lineRule="auto"/>
        <w:rPr>
          <w:sz w:val="20"/>
          <w:szCs w:val="20"/>
          <w:color w:val="auto"/>
        </w:rPr>
      </w:pPr>
      <w:r>
        <w:rPr>
          <w:rFonts w:ascii="Arial" w:cs="Arial" w:eastAsia="Arial" w:hAnsi="Arial"/>
          <w:sz w:val="18"/>
          <w:szCs w:val="18"/>
          <w:color w:val="auto"/>
        </w:rPr>
        <w:t>Senior Vice President, Controller and</w:t>
      </w:r>
    </w:p>
    <w:p>
      <w:pPr>
        <w:ind w:left="550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EXHIBIT INDEX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18.1 Preferability Letter Regarding Change in Accounting Policy relating to Goodwill.</w:t>
      </w:r>
    </w:p>
    <w:p>
      <w:pPr>
        <w:spacing w:after="0" w:line="117" w:lineRule="exact"/>
        <w:rPr>
          <w:sz w:val="20"/>
          <w:szCs w:val="20"/>
          <w:color w:val="auto"/>
        </w:rPr>
      </w:pPr>
    </w:p>
    <w:p>
      <w:pPr>
        <w:ind w:left="460" w:hanging="458"/>
        <w:spacing w:after="0" w:line="246" w:lineRule="auto"/>
        <w:rPr>
          <w:sz w:val="20"/>
          <w:szCs w:val="20"/>
          <w:color w:val="auto"/>
        </w:rPr>
      </w:pPr>
      <w:r>
        <w:rPr>
          <w:rFonts w:ascii="Arial" w:cs="Arial" w:eastAsia="Arial" w:hAnsi="Arial"/>
          <w:sz w:val="18"/>
          <w:szCs w:val="18"/>
          <w:color w:val="auto"/>
        </w:rPr>
        <w:t>31.1 Certification of Chief Executive Officer pursuant to Securities Exchange Act of 1934 Rule 13a-14(a) or 15d-14(a), as adopted pursuant to Section 302 of the Sarbanes-Oxley Act of 2002</w:t>
      </w:r>
    </w:p>
    <w:p>
      <w:pPr>
        <w:spacing w:after="0" w:line="102" w:lineRule="exact"/>
        <w:rPr>
          <w:sz w:val="20"/>
          <w:szCs w:val="20"/>
          <w:color w:val="auto"/>
        </w:rPr>
      </w:pPr>
    </w:p>
    <w:p>
      <w:pPr>
        <w:ind w:left="460" w:right="60" w:hanging="458"/>
        <w:spacing w:after="0" w:line="246" w:lineRule="auto"/>
        <w:rPr>
          <w:sz w:val="20"/>
          <w:szCs w:val="20"/>
          <w:color w:val="auto"/>
        </w:rPr>
      </w:pPr>
      <w:r>
        <w:rPr>
          <w:rFonts w:ascii="Arial" w:cs="Arial" w:eastAsia="Arial" w:hAnsi="Arial"/>
          <w:sz w:val="18"/>
          <w:szCs w:val="18"/>
          <w:color w:val="auto"/>
        </w:rPr>
        <w:t>31.2 Certification of Chief Financial Officer pursuant to Securities Exchange Act of 1934 Rule 13a-14(a) or 15d-14(a), as adopted pursuant to Section 302 of the Sarbanes-Oxley Act of 2002</w:t>
      </w:r>
    </w:p>
    <w:p>
      <w:pPr>
        <w:spacing w:after="0" w:line="102" w:lineRule="exact"/>
        <w:rPr>
          <w:sz w:val="20"/>
          <w:szCs w:val="20"/>
          <w:color w:val="auto"/>
        </w:rPr>
      </w:pPr>
    </w:p>
    <w:p>
      <w:pPr>
        <w:ind w:left="460" w:right="660" w:hanging="458"/>
        <w:spacing w:after="0" w:line="246" w:lineRule="auto"/>
        <w:rPr>
          <w:sz w:val="20"/>
          <w:szCs w:val="20"/>
          <w:color w:val="auto"/>
        </w:rPr>
      </w:pPr>
      <w:r>
        <w:rPr>
          <w:rFonts w:ascii="Arial" w:cs="Arial" w:eastAsia="Arial" w:hAnsi="Arial"/>
          <w:sz w:val="18"/>
          <w:szCs w:val="18"/>
          <w:color w:val="auto"/>
        </w:rPr>
        <w:t>32.1 Certifications pursuant to Securities Exchange Act of 1934 Rule 13a-14(b) or 15d-14(b) and 18 U.S.C. Section 1350, as adopted pursuant to Section 906 of the Sarbanes-Oxley Act of 2002</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19"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EXHIBIT 18.1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June 5,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rPr>
          <w:sz w:val="20"/>
          <w:szCs w:val="20"/>
          <w:color w:val="auto"/>
        </w:rPr>
      </w:pPr>
      <w:r>
        <w:rPr>
          <w:rFonts w:ascii="Arial" w:cs="Arial" w:eastAsia="Arial" w:hAnsi="Arial"/>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been furnished with a copy of the quarterly report on Form 10-Q of ABM Industries Incorporated and subsidiaries (the “Company”) for</w:t>
      </w:r>
    </w:p>
    <w:p>
      <w:pPr>
        <w:spacing w:after="0" w:line="234" w:lineRule="auto"/>
        <w:rPr>
          <w:sz w:val="20"/>
          <w:szCs w:val="20"/>
          <w:color w:val="auto"/>
        </w:rPr>
      </w:pPr>
      <w:r>
        <w:rPr>
          <w:rFonts w:ascii="Arial" w:cs="Arial" w:eastAsia="Arial" w:hAnsi="Arial"/>
          <w:sz w:val="18"/>
          <w:szCs w:val="18"/>
          <w:color w:val="auto"/>
        </w:rPr>
        <w:t>the three and six month periods ended April 30, 2008, and have read the Company’s statements contained in note 1 to the interim consolidated</w:t>
      </w:r>
    </w:p>
    <w:p>
      <w:pPr>
        <w:spacing w:after="0" w:line="235" w:lineRule="auto"/>
        <w:rPr>
          <w:sz w:val="20"/>
          <w:szCs w:val="20"/>
          <w:color w:val="auto"/>
        </w:rPr>
      </w:pPr>
      <w:r>
        <w:rPr>
          <w:rFonts w:ascii="Arial" w:cs="Arial" w:eastAsia="Arial" w:hAnsi="Arial"/>
          <w:sz w:val="18"/>
          <w:szCs w:val="18"/>
          <w:color w:val="auto"/>
        </w:rPr>
        <w:t>financial statements included therein. As stated in note 1, the Company changed the date of its annual goodwill impairment test from</w:t>
      </w:r>
    </w:p>
    <w:p>
      <w:pPr>
        <w:spacing w:after="0" w:line="235" w:lineRule="auto"/>
        <w:rPr>
          <w:sz w:val="20"/>
          <w:szCs w:val="20"/>
          <w:color w:val="auto"/>
        </w:rPr>
      </w:pPr>
      <w:r>
        <w:rPr>
          <w:rFonts w:ascii="Arial" w:cs="Arial" w:eastAsia="Arial" w:hAnsi="Arial"/>
          <w:sz w:val="18"/>
          <w:szCs w:val="18"/>
          <w:color w:val="auto"/>
        </w:rPr>
        <w:t>October 31, to August 1 and states that this accounting change is preferable in the circumstances because the change allows the Company to</w:t>
      </w:r>
    </w:p>
    <w:p>
      <w:pPr>
        <w:spacing w:after="0" w:line="235" w:lineRule="auto"/>
        <w:rPr>
          <w:sz w:val="20"/>
          <w:szCs w:val="20"/>
          <w:color w:val="auto"/>
        </w:rPr>
      </w:pPr>
      <w:r>
        <w:rPr>
          <w:rFonts w:ascii="Arial" w:cs="Arial" w:eastAsia="Arial" w:hAnsi="Arial"/>
          <w:sz w:val="18"/>
          <w:szCs w:val="18"/>
          <w:color w:val="auto"/>
        </w:rPr>
        <w:t>complete its annual goodwill impairment testing in advance of its year-end closing activities. In accordance with your request, we have</w:t>
      </w:r>
    </w:p>
    <w:p>
      <w:pPr>
        <w:spacing w:after="0" w:line="235" w:lineRule="auto"/>
        <w:rPr>
          <w:sz w:val="20"/>
          <w:szCs w:val="20"/>
          <w:color w:val="auto"/>
        </w:rPr>
      </w:pPr>
      <w:r>
        <w:rPr>
          <w:rFonts w:ascii="Arial" w:cs="Arial" w:eastAsia="Arial" w:hAnsi="Arial"/>
          <w:sz w:val="18"/>
          <w:szCs w:val="18"/>
          <w:color w:val="auto"/>
        </w:rPr>
        <w:t>reviewed and discussed with Company officials the circumstances and business judgment and planning upon which the decision to make this</w:t>
      </w:r>
    </w:p>
    <w:p>
      <w:pPr>
        <w:spacing w:after="0"/>
        <w:rPr>
          <w:sz w:val="20"/>
          <w:szCs w:val="20"/>
          <w:color w:val="auto"/>
        </w:rPr>
      </w:pPr>
      <w:r>
        <w:rPr>
          <w:rFonts w:ascii="Arial" w:cs="Arial" w:eastAsia="Arial" w:hAnsi="Arial"/>
          <w:sz w:val="18"/>
          <w:szCs w:val="18"/>
          <w:color w:val="auto"/>
        </w:rPr>
        <w:t>change in the method of accounting was based.</w:t>
      </w:r>
    </w:p>
    <w:p>
      <w:pPr>
        <w:spacing w:after="0" w:line="10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We have not audited any financial statements of the Company as of any date or for any period subsequent to October 31, 2007, nor have we audited the information set forth in the aforementioned note 1 to the interim consolidated financial statements; accordingly, we do not express an opinion concerning the factual information contained therein.</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With regard to the aforementioned accounting change, authoritative criteria have not been established for evaluating the preferability of one acceptable method of accounting over another acceptable method. However, for purposes of the Company’s compliance with the requirements of the Securities and Exchange Commission, we are furnishing this letter.</w:t>
      </w:r>
    </w:p>
    <w:p>
      <w:pPr>
        <w:spacing w:after="0" w:line="9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Based on our review and discussion, with reliance on management’s business judgment and planning, we concur that the newly adopted method of accounting is preferable in the Company’s circumstances.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ectPr>
          <w:pgSz w:w="11900" w:h="16838" w:orient="portrait"/>
          <w:cols w:equalWidth="0" w:num="1">
            <w:col w:w="11400"/>
          </w:cols>
          <w:pgMar w:left="240" w:top="14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EXHIBIT 31.1</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0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17" w:lineRule="exact"/>
        <w:rPr>
          <w:rFonts w:ascii="Arial" w:cs="Arial" w:eastAsia="Arial" w:hAnsi="Arial"/>
          <w:sz w:val="18"/>
          <w:szCs w:val="18"/>
          <w:color w:val="auto"/>
        </w:rPr>
      </w:pPr>
    </w:p>
    <w:p>
      <w:pPr>
        <w:ind w:left="460" w:right="10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160" w:hanging="452"/>
        <w:spacing w:after="0" w:line="23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900" w:right="22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4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3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460" w:right="18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900" w:right="180" w:hanging="446"/>
        <w:spacing w:after="0" w:line="246"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00" w:hanging="446"/>
        <w:spacing w:after="0" w:line="246"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40" w:top="14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31.2</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0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17" w:lineRule="exact"/>
        <w:rPr>
          <w:rFonts w:ascii="Arial" w:cs="Arial" w:eastAsia="Arial" w:hAnsi="Arial"/>
          <w:sz w:val="18"/>
          <w:szCs w:val="18"/>
          <w:color w:val="auto"/>
        </w:rPr>
      </w:pPr>
    </w:p>
    <w:p>
      <w:pPr>
        <w:ind w:left="460" w:right="10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160" w:hanging="452"/>
        <w:spacing w:after="0" w:line="23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900" w:right="22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4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3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460" w:right="18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900" w:right="180" w:hanging="446"/>
        <w:spacing w:after="0" w:line="246"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00" w:hanging="446"/>
        <w:spacing w:after="0" w:line="246"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James S. Lusk</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40" w:top="14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32.1</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13a-14(b) OR 15d-14(b) AND</w:t>
      </w:r>
    </w:p>
    <w:p>
      <w:pPr>
        <w:jc w:val="center"/>
        <w:ind w:right="-139"/>
        <w:spacing w:after="0" w:line="234" w:lineRule="auto"/>
        <w:rPr>
          <w:sz w:val="20"/>
          <w:szCs w:val="20"/>
          <w:color w:val="auto"/>
        </w:rPr>
      </w:pPr>
      <w:r>
        <w:rPr>
          <w:rFonts w:ascii="Arial" w:cs="Arial" w:eastAsia="Arial" w:hAnsi="Arial"/>
          <w:sz w:val="18"/>
          <w:szCs w:val="18"/>
          <w:b w:val="1"/>
          <w:bCs w:val="1"/>
          <w:color w:val="auto"/>
        </w:rPr>
        <w:t>18 U.S.C. SECTON 1350,</w:t>
      </w:r>
    </w:p>
    <w:p>
      <w:pPr>
        <w:jc w:val="center"/>
        <w:ind w:right="-1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2008,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95"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100" w:hanging="436"/>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June 5, 2008</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James S. Lusk</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80"/>
      </w:cols>
      <w:pgMar w:left="2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lvl w:ilvl="1">
      <w:lvlJc w:val="left"/>
      <w:lvlText w:val="(%2)"/>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2019-12-13T15:27:05Z</dcterms:created>
  <dcterms:modified xsi:type="dcterms:W3CDTF">2019-12-13T15:27:05Z</dcterms:modified>
</cp:coreProperties>
</file>