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TOLAR MIRANDA ROSE</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ABM INDUSTRIES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380" w:type="dxa"/>
            <w:vAlign w:val="bottom"/>
            <w:tcBorders>
              <w:bottom w:val="single" w:sz="8" w:color="0000EE"/>
            </w:tcBorders>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600" w:type="dxa"/>
            <w:vAlign w:val="bottom"/>
            <w:tcBorders>
              <w:top w:val="single" w:sz="8" w:color="EEEEEE"/>
            </w:tcBorders>
          </w:tcPr>
          <w:p>
            <w:pPr>
              <w:spacing w:after="0"/>
              <w:rPr>
                <w:sz w:val="4"/>
                <w:szCs w:val="4"/>
                <w:color w:val="auto"/>
              </w:rPr>
            </w:pPr>
          </w:p>
        </w:tc>
        <w:tc>
          <w:tcPr>
            <w:tcW w:w="12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1260" w:type="dxa"/>
            <w:vAlign w:val="bottom"/>
          </w:tcPr>
          <w:p>
            <w:pPr>
              <w:spacing w:after="0"/>
              <w:rPr>
                <w:sz w:val="19"/>
                <w:szCs w:val="19"/>
                <w:color w:val="auto"/>
              </w:rPr>
            </w:pP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01/07/2025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65"/>
        <w:spacing w:after="0"/>
        <w:rPr>
          <w:sz w:val="20"/>
          <w:szCs w:val="20"/>
          <w:color w:val="auto"/>
        </w:rPr>
      </w:pPr>
      <w:r>
        <w:rPr>
          <w:rFonts w:ascii="Times New Roman" w:cs="Times New Roman" w:eastAsia="Times New Roman" w:hAnsi="Times New Roman"/>
          <w:sz w:val="17"/>
          <w:szCs w:val="17"/>
          <w:color w:val="0000FF"/>
        </w:rPr>
        <w:t>EVP and General Counsel</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10006</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6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80" w:type="dxa"/>
            <w:vAlign w:val="bottom"/>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01/07/2025</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159</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50.14</w:t>
            </w:r>
          </w:p>
        </w:tc>
        <w:tc>
          <w:tcPr>
            <w:tcW w:w="380" w:type="dxa"/>
            <w:vAlign w:val="bottom"/>
          </w:tcPr>
          <w:p>
            <w:pPr>
              <w:spacing w:after="0"/>
              <w:rPr>
                <w:sz w:val="23"/>
                <w:szCs w:val="23"/>
                <w:color w:val="auto"/>
              </w:rPr>
            </w:pPr>
          </w:p>
        </w:tc>
        <w:tc>
          <w:tcPr>
            <w:tcW w:w="820" w:type="dxa"/>
            <w:vAlign w:val="bottom"/>
          </w:tcPr>
          <w:p>
            <w:pPr>
              <w:jc w:val="center"/>
              <w:ind w:right="372"/>
              <w:spacing w:after="0"/>
              <w:rPr>
                <w:sz w:val="20"/>
                <w:szCs w:val="20"/>
                <w:color w:val="auto"/>
              </w:rPr>
            </w:pPr>
            <w:r>
              <w:rPr>
                <w:rFonts w:ascii="Times New Roman" w:cs="Times New Roman" w:eastAsia="Times New Roman" w:hAnsi="Times New Roman"/>
                <w:sz w:val="17"/>
                <w:szCs w:val="17"/>
                <w:color w:val="0000FF"/>
                <w:w w:val="99"/>
              </w:rPr>
              <w:t>3,221</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01/08/2025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989</w:t>
            </w:r>
            <w:r>
              <w:rPr>
                <w:rFonts w:ascii="Times New Roman" w:cs="Times New Roman" w:eastAsia="Times New Roman" w:hAnsi="Times New Roman"/>
                <w:sz w:val="11"/>
                <w:szCs w:val="11"/>
                <w:color w:val="008000"/>
                <w:w w:val="81"/>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72"/>
              <w:spacing w:after="0"/>
              <w:rPr>
                <w:sz w:val="20"/>
                <w:szCs w:val="20"/>
                <w:color w:val="auto"/>
              </w:rPr>
            </w:pPr>
            <w:r>
              <w:rPr>
                <w:rFonts w:ascii="Times New Roman" w:cs="Times New Roman" w:eastAsia="Times New Roman" w:hAnsi="Times New Roman"/>
                <w:sz w:val="17"/>
                <w:szCs w:val="17"/>
                <w:color w:val="0000FF"/>
                <w:w w:val="99"/>
              </w:rPr>
              <w:t>4,210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80" w:type="dxa"/>
            <w:vAlign w:val="bottom"/>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01/08/2025</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294</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50.97</w:t>
            </w:r>
          </w:p>
        </w:tc>
        <w:tc>
          <w:tcPr>
            <w:tcW w:w="380" w:type="dxa"/>
            <w:vAlign w:val="bottom"/>
          </w:tcPr>
          <w:p>
            <w:pPr>
              <w:spacing w:after="0"/>
              <w:rPr>
                <w:sz w:val="23"/>
                <w:szCs w:val="23"/>
                <w:color w:val="auto"/>
              </w:rPr>
            </w:pPr>
          </w:p>
        </w:tc>
        <w:tc>
          <w:tcPr>
            <w:tcW w:w="820" w:type="dxa"/>
            <w:vAlign w:val="bottom"/>
          </w:tcPr>
          <w:p>
            <w:pPr>
              <w:jc w:val="center"/>
              <w:ind w:right="372"/>
              <w:spacing w:after="0"/>
              <w:rPr>
                <w:sz w:val="20"/>
                <w:szCs w:val="20"/>
                <w:color w:val="auto"/>
              </w:rPr>
            </w:pPr>
            <w:r>
              <w:rPr>
                <w:rFonts w:ascii="Times New Roman" w:cs="Times New Roman" w:eastAsia="Times New Roman" w:hAnsi="Times New Roman"/>
                <w:sz w:val="17"/>
                <w:szCs w:val="17"/>
                <w:color w:val="0000FF"/>
                <w:w w:val="99"/>
              </w:rPr>
              <w:t>3,916</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01/09/2025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5,297</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72"/>
              <w:spacing w:after="0"/>
              <w:rPr>
                <w:sz w:val="20"/>
                <w:szCs w:val="20"/>
                <w:color w:val="auto"/>
              </w:rPr>
            </w:pPr>
            <w:r>
              <w:rPr>
                <w:rFonts w:ascii="Times New Roman" w:cs="Times New Roman" w:eastAsia="Times New Roman" w:hAnsi="Times New Roman"/>
                <w:sz w:val="17"/>
                <w:szCs w:val="17"/>
                <w:color w:val="0000FF"/>
                <w:w w:val="99"/>
              </w:rPr>
              <w:t>9,213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01/09/2025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50.97</w:t>
            </w:r>
          </w:p>
        </w:tc>
        <w:tc>
          <w:tcPr>
            <w:tcW w:w="1200" w:type="dxa"/>
            <w:vAlign w:val="bottom"/>
            <w:tcBorders>
              <w:bottom w:val="single" w:sz="8" w:color="2C2C2C"/>
            </w:tcBorders>
            <w:gridSpan w:val="2"/>
          </w:tcPr>
          <w:p>
            <w:pPr>
              <w:jc w:val="center"/>
              <w:ind w:right="12"/>
              <w:spacing w:after="0"/>
              <w:rPr>
                <w:sz w:val="20"/>
                <w:szCs w:val="20"/>
                <w:color w:val="auto"/>
              </w:rPr>
            </w:pPr>
            <w:r>
              <w:rPr>
                <w:rFonts w:ascii="Times New Roman" w:cs="Times New Roman" w:eastAsia="Times New Roman" w:hAnsi="Times New Roman"/>
                <w:sz w:val="17"/>
                <w:szCs w:val="17"/>
                <w:color w:val="0000FF"/>
                <w:w w:val="93"/>
              </w:rPr>
              <w:t>9,028</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1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Issuer common stock acquired pursuant to vesting of performance shares that were granted to the reporting person in January 2022 and have vested based upon the satisfaction of performance criteria specified for the award at the time of grant.</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under the 2021 Equity and Incentive Compensation Plan, representing a contingent right to receive shares of common stock. Such RSUs vest in three equal annual installments beginning a year from the grant date, and will settle in shares of common stock. Dividend equivalent rights will accrue.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acquired pursuant to dividend reinvestment in transactions exempt from Section 16 pursuant to Rule 16a-11.</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01/10/2025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1064"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2025-01-10T16:21:37Z</dcterms:created>
  <dcterms:modified xsi:type="dcterms:W3CDTF">2025-01-10T16:21:37Z</dcterms:modified>
</cp:coreProperties>
</file>